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55924" w14:textId="77777777" w:rsidR="00814A22" w:rsidRDefault="009A05CD">
      <w:pPr>
        <w:pStyle w:val="Title"/>
      </w:pPr>
      <w:bookmarkStart w:id="0" w:name="_1y7dzknbacpk" w:colFirst="0" w:colLast="0"/>
      <w:bookmarkEnd w:id="0"/>
      <w:r>
        <w:t>Passiv investering - Et Ultimativt Setup</w:t>
      </w:r>
    </w:p>
    <w:p w14:paraId="0F09999E" w14:textId="77777777" w:rsidR="00814A22" w:rsidRDefault="00814A22"/>
    <w:p w14:paraId="7E56FD37" w14:textId="77777777" w:rsidR="00814A22" w:rsidRDefault="009A05CD">
      <w:pPr>
        <w:rPr>
          <w:i/>
        </w:rPr>
      </w:pPr>
      <w:r>
        <w:rPr>
          <w:i/>
        </w:rPr>
        <w:t>Udarbejdet af: Andreas Kristensen</w:t>
      </w:r>
    </w:p>
    <w:p w14:paraId="6A3D175F" w14:textId="77777777" w:rsidR="00814A22" w:rsidRDefault="00814A22"/>
    <w:p w14:paraId="44B68309" w14:textId="77777777" w:rsidR="00814A22" w:rsidRDefault="009A05CD">
      <w:r>
        <w:t>I dette dokument har jeg samlet forskellige investeringsforslag, hvor man investerer i verdensindekset. Ved de enkelte forslag kommer jeg med begrundelser for, hvorfor netop det nævnte forslag er omkostnings- og/eller skatteoptimalt på det pågældende depot</w:t>
      </w:r>
      <w:r>
        <w:t>.</w:t>
      </w:r>
    </w:p>
    <w:p w14:paraId="28CDBCD9" w14:textId="77777777" w:rsidR="00814A22" w:rsidRDefault="00814A22"/>
    <w:p w14:paraId="77D29CBB" w14:textId="77777777" w:rsidR="00814A22" w:rsidRDefault="009A05CD">
      <w:r>
        <w:t>Selve verdensindekset, vi ønsker at følge, bliver sommetider kaldt noget forskelligt - men det er typisk omtalt og defineret som ‘MSCI ACWI’ eller ‘MSCI ACWI IMI’.</w:t>
      </w:r>
    </w:p>
    <w:p w14:paraId="65D3B235" w14:textId="77777777" w:rsidR="00814A22" w:rsidRDefault="00814A22"/>
    <w:p w14:paraId="05689A43" w14:textId="77777777" w:rsidR="00814A22" w:rsidRDefault="009A05CD">
      <w:r>
        <w:t>Det er vigtigt at nævne, at jeg ikke samarbejder med nogle af de nævnte fondsudbydere. H</w:t>
      </w:r>
      <w:r>
        <w:t>vad, der bliver vist i dette dokument, er blot tidligere og ofte anvendte strategier.</w:t>
      </w:r>
    </w:p>
    <w:p w14:paraId="18F2AB3F" w14:textId="77777777" w:rsidR="00814A22" w:rsidRDefault="00814A22"/>
    <w:p w14:paraId="30A05E7D" w14:textId="77777777" w:rsidR="00814A22" w:rsidRDefault="00814A22"/>
    <w:p w14:paraId="1355A9A5" w14:textId="77777777" w:rsidR="00814A22" w:rsidRDefault="009A05CD">
      <w:pPr>
        <w:rPr>
          <w:b/>
        </w:rPr>
      </w:pPr>
      <w:r>
        <w:rPr>
          <w:b/>
        </w:rPr>
        <w:t>Depottyper</w:t>
      </w:r>
    </w:p>
    <w:sdt>
      <w:sdtPr>
        <w:id w:val="-1755591648"/>
        <w:docPartObj>
          <w:docPartGallery w:val="Table of Contents"/>
          <w:docPartUnique/>
        </w:docPartObj>
      </w:sdtPr>
      <w:sdtEndPr/>
      <w:sdtContent>
        <w:p w14:paraId="5859D650" w14:textId="77777777" w:rsidR="00814A22" w:rsidRDefault="009A05CD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2njlegqtw1op">
            <w:r>
              <w:rPr>
                <w:color w:val="1155CC"/>
                <w:u w:val="single"/>
              </w:rPr>
              <w:t>Almindeligt aktiedepot (frie midler)</w:t>
            </w:r>
          </w:hyperlink>
        </w:p>
        <w:p w14:paraId="097F9DD2" w14:textId="77777777" w:rsidR="00814A22" w:rsidRDefault="009A05CD">
          <w:pPr>
            <w:spacing w:before="200" w:line="240" w:lineRule="auto"/>
            <w:rPr>
              <w:color w:val="1155CC"/>
              <w:u w:val="single"/>
            </w:rPr>
          </w:pPr>
          <w:hyperlink w:anchor="_z4hztqlukln">
            <w:r>
              <w:rPr>
                <w:color w:val="1155CC"/>
                <w:u w:val="single"/>
              </w:rPr>
              <w:t>Aktiesparekonto (frie midler)</w:t>
            </w:r>
          </w:hyperlink>
        </w:p>
        <w:p w14:paraId="7FD64432" w14:textId="77777777" w:rsidR="00814A22" w:rsidRDefault="009A05CD">
          <w:pPr>
            <w:spacing w:before="200" w:line="240" w:lineRule="auto"/>
            <w:rPr>
              <w:color w:val="1155CC"/>
              <w:u w:val="single"/>
            </w:rPr>
          </w:pPr>
          <w:hyperlink w:anchor="_yhr60k9tnc9n">
            <w:r>
              <w:rPr>
                <w:color w:val="1155CC"/>
                <w:u w:val="single"/>
              </w:rPr>
              <w:t>Pension (aldersopsparing, rate- og kapitalpension)</w:t>
            </w:r>
          </w:hyperlink>
        </w:p>
        <w:p w14:paraId="5A033A3C" w14:textId="77777777" w:rsidR="00814A22" w:rsidRDefault="009A05CD">
          <w:pPr>
            <w:spacing w:before="200" w:line="240" w:lineRule="auto"/>
            <w:rPr>
              <w:color w:val="1155CC"/>
              <w:u w:val="single"/>
            </w:rPr>
          </w:pPr>
          <w:hyperlink w:anchor="_c7p0c6ndbhk9">
            <w:r>
              <w:rPr>
                <w:color w:val="1155CC"/>
                <w:u w:val="single"/>
              </w:rPr>
              <w:t>Børneopsparing (traditionel)</w:t>
            </w:r>
          </w:hyperlink>
        </w:p>
        <w:p w14:paraId="48DDE43E" w14:textId="77777777" w:rsidR="00814A22" w:rsidRDefault="009A05CD">
          <w:pPr>
            <w:spacing w:before="200" w:line="240" w:lineRule="auto"/>
            <w:rPr>
              <w:color w:val="1155CC"/>
              <w:u w:val="single"/>
            </w:rPr>
          </w:pPr>
          <w:hyperlink w:anchor="_nkbp1c78l71y">
            <w:r>
              <w:rPr>
                <w:color w:val="1155CC"/>
                <w:u w:val="single"/>
              </w:rPr>
              <w:t>Børneopsparing (supplerende)</w:t>
            </w:r>
          </w:hyperlink>
        </w:p>
        <w:p w14:paraId="0389ED34" w14:textId="77777777" w:rsidR="00814A22" w:rsidRDefault="009A05CD">
          <w:pPr>
            <w:spacing w:before="200" w:line="240" w:lineRule="auto"/>
            <w:rPr>
              <w:color w:val="1155CC"/>
              <w:u w:val="single"/>
            </w:rPr>
          </w:pPr>
          <w:hyperlink w:anchor="_eu5pxafz1jca">
            <w:r>
              <w:rPr>
                <w:color w:val="1155CC"/>
                <w:u w:val="single"/>
              </w:rPr>
              <w:t>Virks</w:t>
            </w:r>
            <w:r>
              <w:rPr>
                <w:color w:val="1155CC"/>
                <w:u w:val="single"/>
              </w:rPr>
              <w:t>omhedsdepot (fx VSO)</w:t>
            </w:r>
          </w:hyperlink>
          <w:r>
            <w:fldChar w:fldCharType="end"/>
          </w:r>
        </w:p>
      </w:sdtContent>
    </w:sdt>
    <w:p w14:paraId="5D5D8CBA" w14:textId="77777777" w:rsidR="00814A22" w:rsidRDefault="00814A22"/>
    <w:p w14:paraId="68EC952F" w14:textId="77777777" w:rsidR="00814A22" w:rsidRDefault="00814A22"/>
    <w:p w14:paraId="57240F34" w14:textId="77777777" w:rsidR="00814A22" w:rsidRDefault="00814A22"/>
    <w:p w14:paraId="1D6823A5" w14:textId="77777777" w:rsidR="00814A22" w:rsidRDefault="009A05CD">
      <w:pPr>
        <w:pStyle w:val="Heading1"/>
      </w:pPr>
      <w:bookmarkStart w:id="1" w:name="_2njlegqtw1op" w:colFirst="0" w:colLast="0"/>
      <w:bookmarkEnd w:id="1"/>
      <w:r>
        <w:t>Almindeligt aktiedepot (frie midler)</w:t>
      </w:r>
    </w:p>
    <w:p w14:paraId="3F2C3E0B" w14:textId="77777777" w:rsidR="00814A22" w:rsidRDefault="009A05CD">
      <w:r>
        <w:t>Navn: Sparindex INDEX Globale Aktier KL (SPVIGAKL)</w:t>
      </w:r>
    </w:p>
    <w:p w14:paraId="1F550251" w14:textId="77777777" w:rsidR="00814A22" w:rsidRDefault="00814A22"/>
    <w:p w14:paraId="1B469A7F" w14:textId="77777777" w:rsidR="00814A22" w:rsidRDefault="009A05CD">
      <w:r>
        <w:t>Begrundelse:</w:t>
      </w:r>
    </w:p>
    <w:p w14:paraId="7EA1AF08" w14:textId="77777777" w:rsidR="00814A22" w:rsidRDefault="009A05CD">
      <w:pPr>
        <w:numPr>
          <w:ilvl w:val="0"/>
          <w:numId w:val="1"/>
        </w:numPr>
      </w:pPr>
      <w:r>
        <w:t>Beskattes som aktieindkomst på et almindeligt aktiedepot</w:t>
      </w:r>
    </w:p>
    <w:p w14:paraId="1BC4CF41" w14:textId="77777777" w:rsidR="00814A22" w:rsidRDefault="009A05CD">
      <w:pPr>
        <w:numPr>
          <w:ilvl w:val="0"/>
          <w:numId w:val="1"/>
        </w:numPr>
      </w:pPr>
      <w:r>
        <w:t>Kan købes kurtagefrit</w:t>
      </w:r>
      <w:r>
        <w:t xml:space="preserve"> gennem Nordnets månedsopsparing</w:t>
      </w:r>
    </w:p>
    <w:p w14:paraId="684FA224" w14:textId="77777777" w:rsidR="00814A22" w:rsidRDefault="009A05CD">
      <w:pPr>
        <w:numPr>
          <w:ilvl w:val="0"/>
          <w:numId w:val="1"/>
        </w:numPr>
      </w:pPr>
      <w:r>
        <w:t>Værdistigninger fra fonden beskattes ved salg på dette depot</w:t>
      </w:r>
    </w:p>
    <w:p w14:paraId="520C1B64" w14:textId="77777777" w:rsidR="00814A22" w:rsidRDefault="00814A22"/>
    <w:p w14:paraId="35839CC7" w14:textId="77777777" w:rsidR="00814A22" w:rsidRDefault="009A05CD">
      <w:r>
        <w:t>For nogle vil ETF’er (se ETF’erne under afsnittet om aktiesparekontoen) dog være at foretrække, da de i nogle scenarier vil klare sig bedre grundet lagerbeskatni</w:t>
      </w:r>
      <w:r>
        <w:t>ng, som er en fordel i år med tab. Det skyldes, at man i disse år vil kunne kunne opbygge et fradrag som man vil kunne bruge i år med gevinst, og man derved vil kunne holde sig under undergrænsen for at skulle betale en højere skattesats (progressionsgræns</w:t>
      </w:r>
      <w:r>
        <w:t>e).</w:t>
      </w:r>
    </w:p>
    <w:p w14:paraId="152242C8" w14:textId="77777777" w:rsidR="00814A22" w:rsidRDefault="00814A22"/>
    <w:p w14:paraId="5E68A6E1" w14:textId="77777777" w:rsidR="00814A22" w:rsidRDefault="00814A22"/>
    <w:p w14:paraId="6FD6F6BA" w14:textId="77777777" w:rsidR="00814A22" w:rsidRDefault="00814A22"/>
    <w:p w14:paraId="24C43A7A" w14:textId="77777777" w:rsidR="00814A22" w:rsidRDefault="009A05CD">
      <w:pPr>
        <w:pStyle w:val="Heading1"/>
      </w:pPr>
      <w:bookmarkStart w:id="2" w:name="_ab1vxk8w6vpg" w:colFirst="0" w:colLast="0"/>
      <w:bookmarkEnd w:id="2"/>
      <w:r>
        <w:t>Aktiesparekonto (frie midler)</w:t>
      </w:r>
    </w:p>
    <w:p w14:paraId="17042C5F" w14:textId="77777777" w:rsidR="00814A22" w:rsidRDefault="009A05CD">
      <w:r>
        <w:t>Nordnet har meldt ud, at de forventeligt vil udkomme med deres aktiesparekonto i løbet af 2021, hvorfor det kan give mening at vente med at oprette en aktiesparekonto. Hos Nordnet er der nemlig lavere vekselomkostninger</w:t>
      </w:r>
      <w:r>
        <w:t>, samtidig med at de har deres kurtagefrie månedsopsparing, som i den grad er fordelagtig, når vi har at gøre med udenlandske investeringsprodukter. Disse produkter har normalt højere kurtagesatser. Indtil da vil man i stedet kunne fylde op på de øvrige de</w:t>
      </w:r>
      <w:r>
        <w:t>pottyper, så man stadig sørge for at få investeret.</w:t>
      </w:r>
    </w:p>
    <w:p w14:paraId="1626E805" w14:textId="77777777" w:rsidR="00814A22" w:rsidRDefault="009A05CD">
      <w:pPr>
        <w:pStyle w:val="Heading1"/>
        <w:rPr>
          <w:sz w:val="22"/>
          <w:szCs w:val="22"/>
        </w:rPr>
      </w:pPr>
      <w:bookmarkStart w:id="3" w:name="_vhpntlecg4n8" w:colFirst="0" w:colLast="0"/>
      <w:bookmarkEnd w:id="3"/>
      <w:r>
        <w:rPr>
          <w:sz w:val="22"/>
          <w:szCs w:val="22"/>
        </w:rPr>
        <w:t>Navne: ETF’er fra iShares</w:t>
      </w:r>
    </w:p>
    <w:p w14:paraId="6D9FC16F" w14:textId="77777777" w:rsidR="00814A22" w:rsidRDefault="009A05CD">
      <w:r>
        <w:t>Begrundelse:</w:t>
      </w:r>
    </w:p>
    <w:p w14:paraId="24CCB351" w14:textId="77777777" w:rsidR="00814A22" w:rsidRDefault="009A05CD">
      <w:pPr>
        <w:numPr>
          <w:ilvl w:val="0"/>
          <w:numId w:val="1"/>
        </w:numPr>
      </w:pPr>
      <w:r>
        <w:t>Kan købes kurtagefrit gennem Nordnets månedsopsparing</w:t>
      </w:r>
    </w:p>
    <w:p w14:paraId="5C07E4CB" w14:textId="77777777" w:rsidR="00814A22" w:rsidRDefault="009A05CD">
      <w:pPr>
        <w:numPr>
          <w:ilvl w:val="0"/>
          <w:numId w:val="1"/>
        </w:numPr>
      </w:pPr>
      <w:r>
        <w:t>Alle investeringer på en aktiesparekonto er i forvejen lagerbeskattede</w:t>
      </w:r>
    </w:p>
    <w:p w14:paraId="35E12CB1" w14:textId="77777777" w:rsidR="00814A22" w:rsidRDefault="009A05CD">
      <w:pPr>
        <w:numPr>
          <w:ilvl w:val="0"/>
          <w:numId w:val="1"/>
        </w:numPr>
      </w:pPr>
      <w:r>
        <w:t>På SKATs positivliste, hvilket gør dem t</w:t>
      </w:r>
      <w:r>
        <w:t>ilgængelige på aktiesparekontoen</w:t>
      </w:r>
    </w:p>
    <w:p w14:paraId="1A7C6030" w14:textId="77777777" w:rsidR="00814A22" w:rsidRDefault="00814A22">
      <w:pPr>
        <w:rPr>
          <w:b/>
        </w:rPr>
      </w:pPr>
    </w:p>
    <w:p w14:paraId="3082DBC5" w14:textId="77777777" w:rsidR="00814A22" w:rsidRDefault="009A05CD">
      <w:r>
        <w:rPr>
          <w:b/>
        </w:rPr>
        <w:t>Procentvis fordeling mellem fondene</w:t>
      </w:r>
    </w:p>
    <w:p w14:paraId="2735CF3D" w14:textId="77777777" w:rsidR="00814A22" w:rsidRDefault="009A05CD">
      <w:r>
        <w:t xml:space="preserve">Selve udregningen: </w:t>
      </w:r>
      <w:hyperlink r:id="rId5">
        <w:r>
          <w:rPr>
            <w:color w:val="0000EE"/>
            <w:u w:val="single"/>
          </w:rPr>
          <w:t>Månedlig investering - muligheder</w:t>
        </w:r>
      </w:hyperlink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3746D68" wp14:editId="54962C96">
            <wp:simplePos x="0" y="0"/>
            <wp:positionH relativeFrom="column">
              <wp:posOffset>-1424</wp:posOffset>
            </wp:positionH>
            <wp:positionV relativeFrom="paragraph">
              <wp:posOffset>114300</wp:posOffset>
            </wp:positionV>
            <wp:extent cx="5731200" cy="3543300"/>
            <wp:effectExtent l="0" t="0" r="0" b="0"/>
            <wp:wrapTopAndBottom distT="114300" distB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5C1340" w14:textId="77777777" w:rsidR="00814A22" w:rsidRDefault="009A05CD">
      <w:pPr>
        <w:pStyle w:val="Heading1"/>
        <w:rPr>
          <w:sz w:val="22"/>
          <w:szCs w:val="22"/>
        </w:rPr>
      </w:pPr>
      <w:bookmarkStart w:id="4" w:name="_rtuguq4eo3if" w:colFirst="0" w:colLast="0"/>
      <w:bookmarkEnd w:id="4"/>
      <w:r>
        <w:rPr>
          <w:sz w:val="22"/>
          <w:szCs w:val="22"/>
        </w:rPr>
        <w:t>Alternativt kunne man også blot investere i ‘Xtrackers MSCI AC World UCITS ETF 1C’ med henblik på at ho</w:t>
      </w:r>
      <w:r>
        <w:rPr>
          <w:sz w:val="22"/>
          <w:szCs w:val="22"/>
        </w:rPr>
        <w:t>lde det simpelt. Dog indeholder denne ETF ikke small cap, og den har også en lidt højere årlig omkostningsprocent sammenlignet med kombinationen fra iShares.</w:t>
      </w:r>
    </w:p>
    <w:p w14:paraId="255B7204" w14:textId="77777777" w:rsidR="00814A22" w:rsidRDefault="009A05CD">
      <w:r>
        <w:t>Det samme gør sig også gældende for fordelingen under afsnittet om pensionsopsparinger.</w:t>
      </w:r>
    </w:p>
    <w:p w14:paraId="4031CF48" w14:textId="77777777" w:rsidR="00814A22" w:rsidRDefault="00814A22"/>
    <w:p w14:paraId="51E9D01A" w14:textId="77777777" w:rsidR="00814A22" w:rsidRDefault="009A05CD">
      <w:pPr>
        <w:pStyle w:val="Heading1"/>
      </w:pPr>
      <w:bookmarkStart w:id="5" w:name="_yhr60k9tnc9n" w:colFirst="0" w:colLast="0"/>
      <w:bookmarkEnd w:id="5"/>
      <w:r>
        <w:lastRenderedPageBreak/>
        <w:t>Pension (</w:t>
      </w:r>
      <w:r>
        <w:t>aldersopsparing, rate- og kapitalpension)</w:t>
      </w:r>
    </w:p>
    <w:p w14:paraId="11E15236" w14:textId="77777777" w:rsidR="00814A22" w:rsidRDefault="009A05CD">
      <w:pPr>
        <w:pStyle w:val="Heading1"/>
        <w:rPr>
          <w:sz w:val="22"/>
          <w:szCs w:val="22"/>
        </w:rPr>
      </w:pPr>
      <w:bookmarkStart w:id="6" w:name="_g3w4v8b5ulwg" w:colFirst="0" w:colLast="0"/>
      <w:bookmarkEnd w:id="6"/>
      <w:r>
        <w:rPr>
          <w:sz w:val="22"/>
          <w:szCs w:val="22"/>
        </w:rPr>
        <w:t>Navne: ETF’er fra iShares</w:t>
      </w:r>
    </w:p>
    <w:p w14:paraId="0C1B9027" w14:textId="77777777" w:rsidR="00814A22" w:rsidRDefault="009A05CD">
      <w:r>
        <w:t>Begrundelse:</w:t>
      </w:r>
    </w:p>
    <w:p w14:paraId="1875D3EE" w14:textId="77777777" w:rsidR="00814A22" w:rsidRDefault="009A05CD">
      <w:pPr>
        <w:numPr>
          <w:ilvl w:val="0"/>
          <w:numId w:val="1"/>
        </w:numPr>
      </w:pPr>
      <w:r>
        <w:t>UCITS-godkendte, så de er ikke omfattet af 20%-reglen</w:t>
      </w:r>
    </w:p>
    <w:p w14:paraId="7B5007EE" w14:textId="77777777" w:rsidR="00814A22" w:rsidRDefault="009A05CD">
      <w:pPr>
        <w:numPr>
          <w:ilvl w:val="0"/>
          <w:numId w:val="1"/>
        </w:numPr>
      </w:pPr>
      <w:r>
        <w:t>Kan købes kurtagefrit gennem Nordnets månedsopsparing</w:t>
      </w:r>
    </w:p>
    <w:p w14:paraId="484D37B0" w14:textId="77777777" w:rsidR="00814A22" w:rsidRDefault="009A05CD">
      <w:pPr>
        <w:numPr>
          <w:ilvl w:val="0"/>
          <w:numId w:val="1"/>
        </w:numPr>
      </w:pPr>
      <w:r>
        <w:t>Alle investeringer på et pensionsdepot er i forvejen lagerbeskatted</w:t>
      </w:r>
      <w:r>
        <w:t>e</w:t>
      </w:r>
    </w:p>
    <w:p w14:paraId="555E2916" w14:textId="77777777" w:rsidR="00814A22" w:rsidRDefault="00814A22"/>
    <w:p w14:paraId="185B1C24" w14:textId="77777777" w:rsidR="00814A22" w:rsidRDefault="009A05CD">
      <w:r>
        <w:rPr>
          <w:b/>
        </w:rPr>
        <w:t>Procentvis fordeling mellem fondene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20394F6F" wp14:editId="51A9201A">
            <wp:simplePos x="0" y="0"/>
            <wp:positionH relativeFrom="column">
              <wp:posOffset>-1424</wp:posOffset>
            </wp:positionH>
            <wp:positionV relativeFrom="paragraph">
              <wp:posOffset>331612</wp:posOffset>
            </wp:positionV>
            <wp:extent cx="5731200" cy="3543300"/>
            <wp:effectExtent l="0" t="0" r="0" b="0"/>
            <wp:wrapTopAndBottom distT="114300" distB="11430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53612C" w14:textId="77777777" w:rsidR="00814A22" w:rsidRDefault="009A05CD">
      <w:r>
        <w:t xml:space="preserve">Selve udregningen: </w:t>
      </w:r>
      <w:hyperlink r:id="rId7">
        <w:r>
          <w:rPr>
            <w:color w:val="0000EE"/>
            <w:u w:val="single"/>
          </w:rPr>
          <w:t>Månedlig investering - muligheder</w:t>
        </w:r>
      </w:hyperlink>
    </w:p>
    <w:p w14:paraId="6BC3DBDA" w14:textId="77777777" w:rsidR="00814A22" w:rsidRDefault="00814A22">
      <w:pPr>
        <w:pBdr>
          <w:top w:val="nil"/>
          <w:left w:val="nil"/>
          <w:bottom w:val="nil"/>
          <w:right w:val="nil"/>
          <w:between w:val="nil"/>
        </w:pBdr>
      </w:pPr>
    </w:p>
    <w:p w14:paraId="53D63899" w14:textId="77777777" w:rsidR="00814A22" w:rsidRDefault="00814A22"/>
    <w:p w14:paraId="5C462FE7" w14:textId="77777777" w:rsidR="00814A22" w:rsidRDefault="00814A22"/>
    <w:p w14:paraId="0BA8A775" w14:textId="77777777" w:rsidR="00814A22" w:rsidRDefault="00814A22"/>
    <w:p w14:paraId="602CF49D" w14:textId="77777777" w:rsidR="00814A22" w:rsidRDefault="00814A22"/>
    <w:p w14:paraId="37B12552" w14:textId="77777777" w:rsidR="00814A22" w:rsidRDefault="00814A22"/>
    <w:p w14:paraId="21F17F0D" w14:textId="77777777" w:rsidR="00814A22" w:rsidRDefault="00814A22"/>
    <w:p w14:paraId="48A3DB68" w14:textId="77777777" w:rsidR="00814A22" w:rsidRDefault="00814A22"/>
    <w:p w14:paraId="5124FBC6" w14:textId="77777777" w:rsidR="00814A22" w:rsidRDefault="00814A22"/>
    <w:p w14:paraId="12DBB05A" w14:textId="77777777" w:rsidR="00814A22" w:rsidRDefault="00814A22"/>
    <w:p w14:paraId="110922DF" w14:textId="77777777" w:rsidR="00814A22" w:rsidRDefault="00814A22"/>
    <w:p w14:paraId="268B8501" w14:textId="77777777" w:rsidR="00814A22" w:rsidRDefault="00814A22"/>
    <w:p w14:paraId="517A2F7C" w14:textId="77777777" w:rsidR="00814A22" w:rsidRDefault="00814A22"/>
    <w:p w14:paraId="577C83C2" w14:textId="77777777" w:rsidR="00814A22" w:rsidRDefault="009A05CD">
      <w:pPr>
        <w:pStyle w:val="Heading1"/>
      </w:pPr>
      <w:bookmarkStart w:id="7" w:name="_c7p0c6ndbhk9" w:colFirst="0" w:colLast="0"/>
      <w:bookmarkEnd w:id="7"/>
      <w:r>
        <w:lastRenderedPageBreak/>
        <w:t>Børneopsparing (traditionel)</w:t>
      </w:r>
    </w:p>
    <w:p w14:paraId="5ED78FE7" w14:textId="77777777" w:rsidR="00814A22" w:rsidRDefault="009A05CD">
      <w:pPr>
        <w:pStyle w:val="Heading1"/>
        <w:keepNext w:val="0"/>
        <w:keepLines w:val="0"/>
        <w:pBdr>
          <w:left w:val="none" w:sz="0" w:space="1" w:color="auto"/>
          <w:right w:val="none" w:sz="0" w:space="1" w:color="auto"/>
        </w:pBdr>
        <w:shd w:val="clear" w:color="auto" w:fill="FFFFFF"/>
        <w:spacing w:before="0" w:after="0"/>
        <w:rPr>
          <w:sz w:val="22"/>
          <w:szCs w:val="22"/>
        </w:rPr>
      </w:pPr>
      <w:bookmarkStart w:id="8" w:name="_1bnbqr8mti9n" w:colFirst="0" w:colLast="0"/>
      <w:bookmarkEnd w:id="8"/>
      <w:r>
        <w:rPr>
          <w:sz w:val="22"/>
          <w:szCs w:val="22"/>
        </w:rPr>
        <w:t xml:space="preserve">Det varierer, hvad de enkelte pengeinstitutter har at tilbyde </w:t>
      </w:r>
      <w:r>
        <w:rPr>
          <w:sz w:val="22"/>
          <w:szCs w:val="22"/>
        </w:rPr>
        <w:t>i forhold til børneopsparinger, og nogle tilbyder kun børneopsparing i deres egne produkter. Heldigvis er indeksbaserede investeringsprodukter noget bankerne de seneste år er begyndt at tilbyde kunderne.</w:t>
      </w:r>
    </w:p>
    <w:p w14:paraId="0EB87660" w14:textId="77777777" w:rsidR="00814A22" w:rsidRDefault="00814A22"/>
    <w:p w14:paraId="55A1F21A" w14:textId="77777777" w:rsidR="00814A22" w:rsidRDefault="009A05CD">
      <w:pPr>
        <w:pStyle w:val="Heading1"/>
        <w:keepNext w:val="0"/>
        <w:keepLines w:val="0"/>
        <w:pBdr>
          <w:left w:val="none" w:sz="0" w:space="1" w:color="auto"/>
          <w:right w:val="none" w:sz="0" w:space="1" w:color="auto"/>
        </w:pBdr>
        <w:shd w:val="clear" w:color="auto" w:fill="FFFFFF"/>
        <w:spacing w:before="0" w:after="0"/>
        <w:rPr>
          <w:sz w:val="22"/>
          <w:szCs w:val="22"/>
        </w:rPr>
      </w:pPr>
      <w:bookmarkStart w:id="9" w:name="_1qdkvf7omdi6" w:colFirst="0" w:colLast="0"/>
      <w:bookmarkEnd w:id="9"/>
      <w:r>
        <w:rPr>
          <w:sz w:val="22"/>
          <w:szCs w:val="22"/>
        </w:rPr>
        <w:t>Navn: Storebrand Indeks - Alle Markeder A5 (STIIAM)</w:t>
      </w:r>
    </w:p>
    <w:p w14:paraId="40D1B63F" w14:textId="77777777" w:rsidR="00814A22" w:rsidRDefault="00814A22"/>
    <w:p w14:paraId="484970D1" w14:textId="77777777" w:rsidR="00814A22" w:rsidRDefault="009A05CD">
      <w:r>
        <w:t>Begrundelse:</w:t>
      </w:r>
    </w:p>
    <w:p w14:paraId="4479EB46" w14:textId="77777777" w:rsidR="00814A22" w:rsidRDefault="009A05CD">
      <w:pPr>
        <w:numPr>
          <w:ilvl w:val="0"/>
          <w:numId w:val="1"/>
        </w:numPr>
      </w:pPr>
      <w:r>
        <w:t>Kan handles i danske kroner</w:t>
      </w:r>
    </w:p>
    <w:p w14:paraId="1443C51C" w14:textId="77777777" w:rsidR="00814A22" w:rsidRDefault="009A05CD">
      <w:pPr>
        <w:numPr>
          <w:ilvl w:val="0"/>
          <w:numId w:val="1"/>
        </w:numPr>
      </w:pPr>
      <w:r>
        <w:t>Udenlandske valutaer er ofte dyre at handle i på en børneopsparing</w:t>
      </w:r>
    </w:p>
    <w:p w14:paraId="06ED6D23" w14:textId="77777777" w:rsidR="00814A22" w:rsidRDefault="009A05CD">
      <w:pPr>
        <w:numPr>
          <w:ilvl w:val="0"/>
          <w:numId w:val="1"/>
        </w:numPr>
      </w:pPr>
      <w:r>
        <w:t>Man skal som regel betale højere gebyrer for udenlandske produkter</w:t>
      </w:r>
    </w:p>
    <w:p w14:paraId="5D808066" w14:textId="77777777" w:rsidR="00814A22" w:rsidRDefault="009A05CD">
      <w:pPr>
        <w:numPr>
          <w:ilvl w:val="0"/>
          <w:numId w:val="1"/>
        </w:numPr>
      </w:pPr>
      <w:r>
        <w:t>Nordnet tilbyder på nuværende tidspunkt ikke traditionelle børneopsparinger</w:t>
      </w:r>
    </w:p>
    <w:p w14:paraId="25CABB19" w14:textId="77777777" w:rsidR="00814A22" w:rsidRDefault="00814A22"/>
    <w:p w14:paraId="6D787317" w14:textId="77777777" w:rsidR="00814A22" w:rsidRDefault="00814A22"/>
    <w:p w14:paraId="40E41E5C" w14:textId="77777777" w:rsidR="00814A22" w:rsidRDefault="00814A22"/>
    <w:p w14:paraId="0A6D8392" w14:textId="77777777" w:rsidR="00814A22" w:rsidRDefault="00814A22"/>
    <w:p w14:paraId="265D2AD8" w14:textId="77777777" w:rsidR="00814A22" w:rsidRDefault="00814A22"/>
    <w:p w14:paraId="5F4159CA" w14:textId="77777777" w:rsidR="00814A22" w:rsidRDefault="00814A22"/>
    <w:p w14:paraId="691E727F" w14:textId="77777777" w:rsidR="00814A22" w:rsidRDefault="00814A22"/>
    <w:p w14:paraId="501B635A" w14:textId="77777777" w:rsidR="00814A22" w:rsidRDefault="00814A22"/>
    <w:p w14:paraId="45BF5F24" w14:textId="77777777" w:rsidR="00814A22" w:rsidRDefault="00814A22"/>
    <w:p w14:paraId="59B1D40C" w14:textId="77777777" w:rsidR="00814A22" w:rsidRDefault="00814A22"/>
    <w:p w14:paraId="1620C6C0" w14:textId="77777777" w:rsidR="00814A22" w:rsidRDefault="00814A22"/>
    <w:p w14:paraId="027566EE" w14:textId="77777777" w:rsidR="00814A22" w:rsidRDefault="00814A22"/>
    <w:p w14:paraId="6CFA6E42" w14:textId="77777777" w:rsidR="00814A22" w:rsidRDefault="00814A22"/>
    <w:p w14:paraId="5E64C3DA" w14:textId="77777777" w:rsidR="00814A22" w:rsidRDefault="00814A22"/>
    <w:p w14:paraId="5ABA65EC" w14:textId="77777777" w:rsidR="00814A22" w:rsidRDefault="00814A22"/>
    <w:p w14:paraId="3BE505DF" w14:textId="77777777" w:rsidR="00814A22" w:rsidRDefault="00814A22"/>
    <w:p w14:paraId="5C1F0E82" w14:textId="77777777" w:rsidR="00814A22" w:rsidRDefault="00814A22"/>
    <w:p w14:paraId="2E7C6A8B" w14:textId="77777777" w:rsidR="00814A22" w:rsidRDefault="00814A22"/>
    <w:p w14:paraId="76101DC0" w14:textId="77777777" w:rsidR="00814A22" w:rsidRDefault="00814A22"/>
    <w:p w14:paraId="635244FC" w14:textId="77777777" w:rsidR="00814A22" w:rsidRDefault="00814A22"/>
    <w:p w14:paraId="662D69A9" w14:textId="77777777" w:rsidR="00814A22" w:rsidRDefault="00814A22"/>
    <w:p w14:paraId="773B6ABB" w14:textId="77777777" w:rsidR="00814A22" w:rsidRDefault="00814A22"/>
    <w:p w14:paraId="3D7A8F2E" w14:textId="77777777" w:rsidR="00814A22" w:rsidRDefault="00814A22"/>
    <w:p w14:paraId="21D3AC4F" w14:textId="77777777" w:rsidR="00814A22" w:rsidRDefault="00814A22"/>
    <w:p w14:paraId="508608F2" w14:textId="77777777" w:rsidR="00814A22" w:rsidRDefault="00814A22"/>
    <w:p w14:paraId="4112193C" w14:textId="77777777" w:rsidR="00814A22" w:rsidRDefault="00814A22"/>
    <w:p w14:paraId="6E5EED28" w14:textId="77777777" w:rsidR="00814A22" w:rsidRDefault="00814A22"/>
    <w:p w14:paraId="4ABD19FB" w14:textId="77777777" w:rsidR="00814A22" w:rsidRDefault="00814A22"/>
    <w:p w14:paraId="539A952A" w14:textId="77777777" w:rsidR="00814A22" w:rsidRDefault="00814A22"/>
    <w:p w14:paraId="6C594412" w14:textId="77777777" w:rsidR="00814A22" w:rsidRDefault="009A05CD">
      <w:pPr>
        <w:pStyle w:val="Heading1"/>
      </w:pPr>
      <w:bookmarkStart w:id="10" w:name="_nkbp1c78l71y" w:colFirst="0" w:colLast="0"/>
      <w:bookmarkEnd w:id="10"/>
      <w:r>
        <w:lastRenderedPageBreak/>
        <w:t>Børneopsparing (supplerende)</w:t>
      </w:r>
    </w:p>
    <w:p w14:paraId="3795623F" w14:textId="77777777" w:rsidR="00814A22" w:rsidRDefault="009A05CD">
      <w:pPr>
        <w:pStyle w:val="Heading1"/>
        <w:rPr>
          <w:sz w:val="22"/>
          <w:szCs w:val="22"/>
        </w:rPr>
      </w:pPr>
      <w:bookmarkStart w:id="11" w:name="_x1yeq53nyk27" w:colFirst="0" w:colLast="0"/>
      <w:bookmarkEnd w:id="11"/>
      <w:r>
        <w:rPr>
          <w:sz w:val="22"/>
          <w:szCs w:val="22"/>
        </w:rPr>
        <w:t>Her forstås det, at man opretter et separat aktiedepot (almindeligt aktiedepot) i sit barns navn. Denne mulighed har man på Nordnet, hvor de kalder dette ‘depot for mindreårig’. Her kan man med fordel vælge at investere i et investeringsprodukt, der beskat</w:t>
      </w:r>
      <w:r>
        <w:rPr>
          <w:sz w:val="22"/>
          <w:szCs w:val="22"/>
        </w:rPr>
        <w:t>tes som kapitalindkomst på et almindeligt aktiedepot. Derved kan man opnå et skattefrit afkast, hvis frikortet ikke er brugt helt op, hvorfor netop denne metode ofte er relevant for unge.</w:t>
      </w:r>
    </w:p>
    <w:p w14:paraId="78E6E087" w14:textId="77777777" w:rsidR="00814A22" w:rsidRDefault="009A05CD">
      <w:r>
        <w:t>Dog lyder den generelle anbefaling på, at man starter med at fylde d</w:t>
      </w:r>
      <w:r>
        <w:t>en traditionelle børneopsparing op først, da denne kan være skattefri indtil alderen 21 år, uanset hvad. Med andre ord er beskatningen på den traditionelle børneopsparing ikke indkomstbestemt.</w:t>
      </w:r>
    </w:p>
    <w:p w14:paraId="4C408C7C" w14:textId="77777777" w:rsidR="00814A22" w:rsidRDefault="009A05CD">
      <w:pPr>
        <w:pStyle w:val="Heading1"/>
        <w:rPr>
          <w:sz w:val="22"/>
          <w:szCs w:val="22"/>
        </w:rPr>
      </w:pPr>
      <w:bookmarkStart w:id="12" w:name="_whcchxc9cdmv" w:colFirst="0" w:colLast="0"/>
      <w:bookmarkEnd w:id="12"/>
      <w:r>
        <w:rPr>
          <w:sz w:val="22"/>
          <w:szCs w:val="22"/>
        </w:rPr>
        <w:t>Navne: Nordnets egne indeksfonde</w:t>
      </w:r>
    </w:p>
    <w:p w14:paraId="635A4B2F" w14:textId="77777777" w:rsidR="00814A22" w:rsidRDefault="009A05CD">
      <w:r>
        <w:t>Begrundelse:</w:t>
      </w:r>
    </w:p>
    <w:p w14:paraId="1A03379F" w14:textId="77777777" w:rsidR="00814A22" w:rsidRDefault="009A05CD">
      <w:pPr>
        <w:numPr>
          <w:ilvl w:val="0"/>
          <w:numId w:val="1"/>
        </w:numPr>
      </w:pPr>
      <w:r>
        <w:t>Der er mulighed f</w:t>
      </w:r>
      <w:r>
        <w:t>or handel for meget små beløb</w:t>
      </w:r>
    </w:p>
    <w:p w14:paraId="087997AC" w14:textId="77777777" w:rsidR="00814A22" w:rsidRDefault="009A05CD">
      <w:pPr>
        <w:numPr>
          <w:ilvl w:val="0"/>
          <w:numId w:val="1"/>
        </w:numPr>
      </w:pPr>
      <w:r>
        <w:t>Kan købes kurtagefrit gennem Nordnets månedsopsparing</w:t>
      </w:r>
    </w:p>
    <w:p w14:paraId="3BBC4AD8" w14:textId="77777777" w:rsidR="00814A22" w:rsidRDefault="009A05CD">
      <w:pPr>
        <w:numPr>
          <w:ilvl w:val="0"/>
          <w:numId w:val="1"/>
        </w:numPr>
      </w:pPr>
      <w:r>
        <w:t>Udbetaler ikke udbytte - vigtigt, for at forældrene ikke bliver skattepligtige</w:t>
      </w:r>
    </w:p>
    <w:p w14:paraId="41902480" w14:textId="77777777" w:rsidR="00814A22" w:rsidRDefault="00814A22"/>
    <w:p w14:paraId="51D508C8" w14:textId="77777777" w:rsidR="00814A22" w:rsidRDefault="009A05CD">
      <w:r>
        <w:rPr>
          <w:b/>
        </w:rPr>
        <w:t>Procentvis fordeling mellem fondene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604169EC" wp14:editId="488972D4">
            <wp:simplePos x="0" y="0"/>
            <wp:positionH relativeFrom="column">
              <wp:posOffset>19051</wp:posOffset>
            </wp:positionH>
            <wp:positionV relativeFrom="paragraph">
              <wp:posOffset>273050</wp:posOffset>
            </wp:positionV>
            <wp:extent cx="5731200" cy="3543300"/>
            <wp:effectExtent l="0" t="0" r="0" b="0"/>
            <wp:wrapTopAndBottom distT="114300" distB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4BEC907" w14:textId="77777777" w:rsidR="00814A22" w:rsidRDefault="009A05CD">
      <w:r>
        <w:t xml:space="preserve">Selve udregningen: </w:t>
      </w:r>
      <w:hyperlink r:id="rId9">
        <w:r>
          <w:rPr>
            <w:color w:val="0000EE"/>
            <w:u w:val="single"/>
          </w:rPr>
          <w:t>Kapitalindkomstbeskattet månedlig investering - muligheder</w:t>
        </w:r>
      </w:hyperlink>
    </w:p>
    <w:p w14:paraId="563312B8" w14:textId="77777777" w:rsidR="00814A22" w:rsidRDefault="00814A22"/>
    <w:p w14:paraId="0061FC62" w14:textId="77777777" w:rsidR="00814A22" w:rsidRDefault="00814A22"/>
    <w:p w14:paraId="4A1BDF6B" w14:textId="77777777" w:rsidR="00814A22" w:rsidRDefault="00814A22"/>
    <w:p w14:paraId="2A56DEF8" w14:textId="77777777" w:rsidR="00814A22" w:rsidRDefault="009A05CD">
      <w:pPr>
        <w:pStyle w:val="Heading1"/>
      </w:pPr>
      <w:bookmarkStart w:id="13" w:name="_eu5pxafz1jca" w:colFirst="0" w:colLast="0"/>
      <w:bookmarkEnd w:id="13"/>
      <w:r>
        <w:lastRenderedPageBreak/>
        <w:t>Virksomhedsdepot (fx VSO)</w:t>
      </w:r>
    </w:p>
    <w:p w14:paraId="61B4A2D0" w14:textId="77777777" w:rsidR="00814A22" w:rsidRDefault="009A05CD">
      <w:pPr>
        <w:pStyle w:val="Heading1"/>
        <w:rPr>
          <w:sz w:val="22"/>
          <w:szCs w:val="22"/>
        </w:rPr>
      </w:pPr>
      <w:bookmarkStart w:id="14" w:name="_genfun3j43f6" w:colFirst="0" w:colLast="0"/>
      <w:bookmarkEnd w:id="14"/>
      <w:r>
        <w:rPr>
          <w:sz w:val="22"/>
          <w:szCs w:val="22"/>
        </w:rPr>
        <w:t>Navne: ETF’er fra iShares</w:t>
      </w:r>
    </w:p>
    <w:p w14:paraId="69D6F3C8" w14:textId="77777777" w:rsidR="00814A22" w:rsidRDefault="009A05CD">
      <w:r>
        <w:t>Begrundelse:</w:t>
      </w:r>
    </w:p>
    <w:p w14:paraId="765320E9" w14:textId="77777777" w:rsidR="00814A22" w:rsidRDefault="009A05CD">
      <w:pPr>
        <w:numPr>
          <w:ilvl w:val="0"/>
          <w:numId w:val="1"/>
        </w:numPr>
      </w:pPr>
      <w:r>
        <w:t>Kan købes kurtagefrit</w:t>
      </w:r>
      <w:r>
        <w:t xml:space="preserve"> gennem Nordnets månedsopsparing</w:t>
      </w:r>
    </w:p>
    <w:p w14:paraId="6E228201" w14:textId="77777777" w:rsidR="00814A22" w:rsidRDefault="009A05CD">
      <w:pPr>
        <w:numPr>
          <w:ilvl w:val="0"/>
          <w:numId w:val="1"/>
        </w:numPr>
      </w:pPr>
      <w:r>
        <w:t>Alle investeringer på et virksomhedsdepot er i forvejen lagerbeskattede</w:t>
      </w:r>
    </w:p>
    <w:p w14:paraId="3CE247D7" w14:textId="77777777" w:rsidR="00814A22" w:rsidRDefault="00814A22"/>
    <w:p w14:paraId="4FEAD719" w14:textId="77777777" w:rsidR="00814A22" w:rsidRDefault="009A05CD">
      <w:pPr>
        <w:rPr>
          <w:b/>
        </w:rPr>
      </w:pPr>
      <w:r>
        <w:rPr>
          <w:b/>
        </w:rPr>
        <w:t>Procentvis fordeling mellem fondene</w:t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5C06FEAA" wp14:editId="13649CD2">
            <wp:simplePos x="0" y="0"/>
            <wp:positionH relativeFrom="column">
              <wp:posOffset>-1424</wp:posOffset>
            </wp:positionH>
            <wp:positionV relativeFrom="paragraph">
              <wp:posOffset>331612</wp:posOffset>
            </wp:positionV>
            <wp:extent cx="5731200" cy="3543300"/>
            <wp:effectExtent l="0" t="0" r="0" b="0"/>
            <wp:wrapTopAndBottom distT="114300" distB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F4ACBAB" w14:textId="77777777" w:rsidR="00814A22" w:rsidRDefault="009A05CD">
      <w:r>
        <w:t xml:space="preserve">Selve udregningen: </w:t>
      </w:r>
      <w:hyperlink r:id="rId10">
        <w:r>
          <w:rPr>
            <w:color w:val="0000EE"/>
            <w:u w:val="single"/>
          </w:rPr>
          <w:t>Månedlig investering - muligheder</w:t>
        </w:r>
      </w:hyperlink>
    </w:p>
    <w:sectPr w:rsidR="00814A22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56A4C"/>
    <w:multiLevelType w:val="multilevel"/>
    <w:tmpl w:val="841A64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A22"/>
    <w:rsid w:val="00814A22"/>
    <w:rsid w:val="009A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1E44C"/>
  <w15:docId w15:val="{5C475A14-146A-4097-8676-5F0E4B7B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a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dJPqr7VNyM8BKUHOacYrbl6NepIB3PWGDhhvus0SvVc/edit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ocs.google.com/spreadsheets/d/1dJPqr7VNyM8BKUHOacYrbl6NepIB3PWGDhhvus0SvVc/edit?usp=sharing" TargetMode="External"/><Relationship Id="rId10" Type="http://schemas.openxmlformats.org/officeDocument/2006/relationships/hyperlink" Target="https://docs.google.com/spreadsheets/d/1dJPqr7VNyM8BKUHOacYrbl6NepIB3PWGDhhvus0SvVc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rE-R3Ch6yu2cx-hcdlYS8s86h-crJI1R6RQJMkoQ8YQ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831</Words>
  <Characters>5074</Characters>
  <Application>Microsoft Office Word</Application>
  <DocSecurity>0</DocSecurity>
  <Lines>42</Lines>
  <Paragraphs>11</Paragraphs>
  <ScaleCrop>false</ScaleCrop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Niklas Simonsen</dc:creator>
  <cp:lastModifiedBy>Niklas Simonsen</cp:lastModifiedBy>
  <cp:revision>2</cp:revision>
  <dcterms:created xsi:type="dcterms:W3CDTF">2021-09-10T12:14:00Z</dcterms:created>
  <dcterms:modified xsi:type="dcterms:W3CDTF">2021-09-10T12:14:00Z</dcterms:modified>
</cp:coreProperties>
</file>