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1EA22" w14:textId="0112F1B0" w:rsidR="00940015" w:rsidRDefault="00AD0EDE" w:rsidP="00AD0EDE">
      <w:pPr>
        <w:pStyle w:val="Title"/>
      </w:pPr>
      <w:r>
        <w:t>SKATs nye dobbeltbeskatning af udbytte fra danske aktier i danske aktiefonde</w:t>
      </w:r>
    </w:p>
    <w:p w14:paraId="419ED23B" w14:textId="35306726" w:rsidR="00C24019" w:rsidRDefault="00940015" w:rsidP="00940015">
      <w:pPr>
        <w:pStyle w:val="Subtitle"/>
      </w:pPr>
      <w:r>
        <w:t>fx Sparindex INDEX OMX C25 KL</w:t>
      </w:r>
    </w:p>
    <w:p w14:paraId="3FCF7CD0" w14:textId="72510630" w:rsidR="00AD0EDE" w:rsidRDefault="00AD0EDE" w:rsidP="00AD0EDE">
      <w:r>
        <w:t xml:space="preserve">Ny lov træder i kraft 1.1.2022 </w:t>
      </w:r>
      <w:hyperlink r:id="rId5" w:history="1">
        <w:r w:rsidRPr="00641AFF">
          <w:rPr>
            <w:rStyle w:val="Hyperlink"/>
          </w:rPr>
          <w:t>https://www.finanshus.dk/dobbeltbeskatning-af-udbytter-paa-vej/</w:t>
        </w:r>
      </w:hyperlink>
      <w:r>
        <w:t xml:space="preserve"> </w:t>
      </w:r>
    </w:p>
    <w:p w14:paraId="29675082" w14:textId="332F6AD7" w:rsidR="00940015" w:rsidRDefault="00940015" w:rsidP="00AD0EDE">
      <w:hyperlink r:id="rId6" w:history="1">
        <w:r w:rsidRPr="00641AFF">
          <w:rPr>
            <w:rStyle w:val="Hyperlink"/>
          </w:rPr>
          <w:t>https://sparindex.dk/nye-regler-for-beskatning-af-udbytte-af-danske-aktier-i-investeringsforeninger-fra-2022</w:t>
        </w:r>
      </w:hyperlink>
      <w:r>
        <w:t xml:space="preserve"> </w:t>
      </w:r>
    </w:p>
    <w:p w14:paraId="4271F96F" w14:textId="6B791E98" w:rsidR="00AD0EDE" w:rsidRDefault="00AD0EDE" w:rsidP="00AD0EDE">
      <w:r>
        <w:t>Ny regel for beskatning af udbytte fra danske aktier i danske investeringsforeninger medfører en reel dobbeltbeskatning da investeringsforeningen nu skal beskattes med 15% i skat på udbyttet der indtil nu (og frem t.o.m. 31.12.2021) er skattefrit. Det betyder en ændring på 11%-point (afkast under progressionsgrænsen) og 9%-point (afkast over progressionsgrænsen) for den private investor.</w:t>
      </w:r>
    </w:p>
    <w:p w14:paraId="3739C462" w14:textId="45982703" w:rsidR="00AD0EDE" w:rsidRDefault="00AD0EDE" w:rsidP="00AD0EDE">
      <w:r>
        <w:t>Så for aktieindkomst (</w:t>
      </w:r>
      <w:r w:rsidR="00940015">
        <w:t xml:space="preserve">afkast, </w:t>
      </w:r>
      <w:r>
        <w:t xml:space="preserve">27% af beløb under </w:t>
      </w:r>
      <w:r w:rsidR="00940015">
        <w:t>56.500kr</w:t>
      </w:r>
      <w:r>
        <w:t xml:space="preserve"> og 42% over)</w:t>
      </w:r>
    </w:p>
    <w:p w14:paraId="0AF3A8D1" w14:textId="6C4CAA41" w:rsidR="00AD0EDE" w:rsidRDefault="00AD0EDE" w:rsidP="00AD0EDE">
      <w:r>
        <w:t>Eksempel</w:t>
      </w:r>
      <w:r w:rsidR="00940015">
        <w:t>, gamle regler</w:t>
      </w:r>
      <w:r>
        <w:t>:</w:t>
      </w:r>
    </w:p>
    <w:p w14:paraId="20979AD7" w14:textId="33A5711B" w:rsidR="00AD0EDE" w:rsidRDefault="00940015" w:rsidP="00940015">
      <w:pPr>
        <w:pStyle w:val="ListParagraph"/>
        <w:numPr>
          <w:ilvl w:val="0"/>
          <w:numId w:val="2"/>
        </w:numPr>
      </w:pPr>
      <w:r>
        <w:t>100kr i gevinst, så er 100*0.73 = 73kr tilbage</w:t>
      </w:r>
    </w:p>
    <w:p w14:paraId="461D49F1" w14:textId="31E6F498" w:rsidR="00940015" w:rsidRDefault="00940015" w:rsidP="00940015">
      <w:r>
        <w:t xml:space="preserve">Eksempel, </w:t>
      </w:r>
      <w:r>
        <w:t>nye</w:t>
      </w:r>
      <w:r>
        <w:t xml:space="preserve"> regler:</w:t>
      </w:r>
    </w:p>
    <w:p w14:paraId="4261CC93" w14:textId="6E3BC2E8" w:rsidR="00940015" w:rsidRDefault="00940015" w:rsidP="00940015">
      <w:pPr>
        <w:pStyle w:val="ListParagraph"/>
        <w:numPr>
          <w:ilvl w:val="0"/>
          <w:numId w:val="2"/>
        </w:numPr>
      </w:pPr>
      <w:r>
        <w:t xml:space="preserve">100kr i gevinst, så </w:t>
      </w:r>
      <w:r>
        <w:t>skal foreningen først betale 15%, altså du har 85kr tilbage, og bagefter er 85*0.73 = 62.05kr tilbage</w:t>
      </w:r>
    </w:p>
    <w:p w14:paraId="61B4B5B8" w14:textId="05B12F47" w:rsidR="00940015" w:rsidRDefault="00940015" w:rsidP="00940015">
      <w:pPr>
        <w:ind w:left="360"/>
      </w:pPr>
      <w:r w:rsidRPr="00940015">
        <w:drawing>
          <wp:inline distT="0" distB="0" distL="0" distR="0" wp14:anchorId="12575F07" wp14:editId="739CDB22">
            <wp:extent cx="5731510" cy="3284220"/>
            <wp:effectExtent l="0" t="0" r="254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F66F8" w14:textId="0742571C" w:rsidR="00940015" w:rsidRDefault="00940015" w:rsidP="00940015">
      <w:pPr>
        <w:ind w:left="360"/>
      </w:pPr>
      <w:r>
        <w:t>Daniel ændrer IKKE sin strategi pga af det her, fordi han har en god spredning i aktier.</w:t>
      </w:r>
    </w:p>
    <w:p w14:paraId="171488D1" w14:textId="73822A5D" w:rsidR="00940015" w:rsidRPr="00AD0EDE" w:rsidRDefault="00940015" w:rsidP="00940015">
      <w:pPr>
        <w:ind w:left="360"/>
      </w:pPr>
      <w:r>
        <w:t>Men det giver så mening ikke at investere for meget i danske aktier i danske aktiefonde i fremtiden.</w:t>
      </w:r>
      <w:r w:rsidR="007B7A26">
        <w:t xml:space="preserve"> Husk også at det kun gælder udbytte.</w:t>
      </w:r>
    </w:p>
    <w:sectPr w:rsidR="00940015" w:rsidRPr="00AD0E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460B8"/>
    <w:multiLevelType w:val="hybridMultilevel"/>
    <w:tmpl w:val="8ED64242"/>
    <w:lvl w:ilvl="0" w:tplc="F22290A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45787C"/>
    <w:multiLevelType w:val="hybridMultilevel"/>
    <w:tmpl w:val="2D0C8AA0"/>
    <w:lvl w:ilvl="0" w:tplc="FCC2444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EDE"/>
    <w:rsid w:val="007B7A26"/>
    <w:rsid w:val="00940015"/>
    <w:rsid w:val="00AD0EDE"/>
    <w:rsid w:val="00C24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EDA148"/>
  <w15:chartTrackingRefBased/>
  <w15:docId w15:val="{6B431A21-1BC7-42DE-8D9D-BFD653EC5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a-D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D0E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0EDE"/>
    <w:rPr>
      <w:rFonts w:asciiTheme="majorHAnsi" w:eastAsiaTheme="majorEastAsia" w:hAnsiTheme="majorHAnsi" w:cstheme="majorBidi"/>
      <w:spacing w:val="-10"/>
      <w:kern w:val="28"/>
      <w:sz w:val="56"/>
      <w:szCs w:val="56"/>
      <w:lang w:val="da-DK"/>
    </w:rPr>
  </w:style>
  <w:style w:type="character" w:styleId="Hyperlink">
    <w:name w:val="Hyperlink"/>
    <w:basedOn w:val="DefaultParagraphFont"/>
    <w:uiPriority w:val="99"/>
    <w:unhideWhenUsed/>
    <w:rsid w:val="00AD0E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0ED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D0EDE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94001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40015"/>
    <w:rPr>
      <w:rFonts w:eastAsiaTheme="minorEastAsia"/>
      <w:color w:val="5A5A5A" w:themeColor="text1" w:themeTint="A5"/>
      <w:spacing w:val="15"/>
      <w:lang w:val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parindex.dk/nye-regler-for-beskatning-af-udbytte-af-danske-aktier-i-investeringsforeninger-fra-2022" TargetMode="External"/><Relationship Id="rId5" Type="http://schemas.openxmlformats.org/officeDocument/2006/relationships/hyperlink" Target="https://www.finanshus.dk/dobbeltbeskatning-af-udbytter-paa-vej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200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Niklas Simonsen</dc:creator>
  <cp:keywords/>
  <dc:description/>
  <cp:lastModifiedBy>Niklas Simonsen</cp:lastModifiedBy>
  <cp:revision>1</cp:revision>
  <dcterms:created xsi:type="dcterms:W3CDTF">2021-08-01T19:13:00Z</dcterms:created>
  <dcterms:modified xsi:type="dcterms:W3CDTF">2021-08-01T19:35:00Z</dcterms:modified>
</cp:coreProperties>
</file>