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ОБОСНОВАНИЕ ВЫБОРА ВОПРОСОВ ОПРОСНИКА ОВЧАРОВОЙ</w:t>
      </w:r>
    </w:p>
    <w:p/>
    <w:p>
      <w:pPr>
        <w:pStyle w:val="Heading1"/>
      </w:pPr>
      <w:r>
        <w:t>1. ВВЕДЕНИЕ</w:t>
      </w:r>
    </w:p>
    <w:p>
      <w:r>
        <w:br/>
        <w:t xml:space="preserve">В исследовании влияния установок родителей на мотивы выбора профессии подростками использовался опросник Овчаровой, </w:t>
        <w:br/>
        <w:t xml:space="preserve">содержащий 20 вопросов о мотивах выбора профессии. Однако для корреляционного анализа были выбраны только два вопроса: </w:t>
        <w:br/>
        <w:t xml:space="preserve">вопрос 12 ("Дает возможности для роста профессионального мастерства") и вопрос 19 ("Позволяет использовать профессиональные </w:t>
        <w:br/>
        <w:t>умения вне работы").</w:t>
        <w:br/>
        <w:br/>
        <w:t xml:space="preserve">В данном разделе представлено обоснование выбора именно этих вопросов и объяснение, почему не использовались другие вопросы, </w:t>
        <w:br/>
        <w:t>в частности вопрос 2 ("Нравится родителям").</w:t>
        <w:br/>
      </w:r>
    </w:p>
    <w:p>
      <w:pPr>
        <w:pStyle w:val="Heading1"/>
      </w:pPr>
      <w:r>
        <w:t>2. ОПИСАНИЕ ОПРОСНИКА ОВЧАРОВОЙ</w:t>
      </w:r>
    </w:p>
    <w:p>
      <w:r>
        <w:br/>
        <w:t xml:space="preserve">Опросник Овчаровой предназначен для оценки мотивов выбора профессии и содержит 20 вопросов. </w:t>
        <w:br/>
        <w:t>Каждый вопрос отражает определенный мотив выбора профессии, который оценивается по шкале от 1 до 5.</w:t>
        <w:br/>
        <w:br/>
        <w:t>В исследовании приняли участие 50 подростков, которые ответили на все 20 вопросов опросника.</w:t>
        <w:br/>
      </w:r>
    </w:p>
    <w:p>
      <w:pPr>
        <w:pStyle w:val="Heading2"/>
      </w:pPr>
      <w:r>
        <w:t>2.1. Все вопросы опросника Овчаровой</w:t>
      </w:r>
    </w:p>
    <w:p>
      <w:r>
        <w:t>Полный список вопросов опросника Овчаровой (мотивы выбора профессии):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Вопрос (мотив выбора профессии)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1. Требует общения с разными людьми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2. Нравится родителям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3. Предполагает высокое чувство ответственности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4. Требует переезда на новое место жительства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5. Соответствует моим способностям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6. Позволяет ограничиться имеющимся оборудованием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7. Дает возможность приносить пользу людям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8. Способствует умственному и физическому развитию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9. Является высокооплачиваемой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10. Позволяет работать близко от дома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11. Является престижной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12. Дает возможности для роста профессионального мастерства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13. Единственно возможная в сложившихся обстоятельствах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14. Позволяет реализовать способности к руководящей работе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15. Является привлекательной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16. Близка к любимому школьному предмету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17. Позволяет сразу получить хороший результат труда для других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18. Избрана моими друзьями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19. Позволяет использовать профессиональные умения вне работы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20. Дает большие возможности проявить творчество</w:t>
            </w:r>
          </w:p>
        </w:tc>
      </w:tr>
    </w:tbl>
    <w:p/>
    <w:p>
      <w:pPr>
        <w:pStyle w:val="Heading1"/>
      </w:pPr>
      <w:r>
        <w:t>3. СТАТИСТИЧЕСКИЙ АНАЛИЗ ВСЕХ ВОПРОСОВ</w:t>
      </w:r>
    </w:p>
    <w:p>
      <w:r>
        <w:t>Статистика по всем вопросам опросника Овчаровой: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Среднее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Ст.отклонение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Мин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Макс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Дисперсия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1.44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2.07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1.37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2.29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2.78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1.79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1.38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1.27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1.61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2.76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1.37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2.58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1.35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3.12</w:t>
            </w:r>
          </w:p>
        </w:tc>
        <w:tc>
          <w:tcPr>
            <w:tcW w:type="dxa" w:w="1440"/>
          </w:tcPr>
          <w:p>
            <w:r>
              <w:t>1.35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2.78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2.05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2.84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2.70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2.09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1.29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2.86</w:t>
            </w:r>
          </w:p>
        </w:tc>
        <w:tc>
          <w:tcPr>
            <w:tcW w:type="dxa" w:w="1440"/>
          </w:tcPr>
          <w:p>
            <w:r>
              <w:t>1.33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</w:tr>
    </w:tbl>
    <w:p/>
    <w:p>
      <w:pPr>
        <w:pStyle w:val="Heading1"/>
      </w:pPr>
      <w:r>
        <w:t>4. ОБОСНОВАНИЕ ВЫБОРА ВОПРОСОВ 12 И 19</w:t>
      </w:r>
    </w:p>
    <w:p>
      <w:pPr>
        <w:pStyle w:val="Heading2"/>
      </w:pPr>
      <w:r>
        <w:t>4.1. Вопрос 12: "Дает возможности для роста профессионального мастерства"</w:t>
      </w:r>
    </w:p>
    <w:p>
      <w:r>
        <w:br/>
        <w:t>ТЕОРЕТИЧЕСКОЕ ОБОСНОВАНИЕ:</w:t>
        <w:br/>
        <w:br/>
        <w:t>Вопрос 12 отражает мотив профессионального развития и карьерного роста. Этот мотив связан с:</w:t>
        <w:br/>
        <w:t>• Стремлением к самореализации через профессиональное совершенствование</w:t>
        <w:br/>
        <w:t>• Желанием развивать свои способности и компетенции</w:t>
        <w:br/>
        <w:t>• Ориентацией на долгосрочное профессиональное развитие</w:t>
        <w:br/>
        <w:br/>
        <w:t>СВЯЗЬ С УСТАНОВКАМИ РОДИТЕЛЕЙ:</w:t>
        <w:br/>
        <w:br/>
        <w:t>Данный мотив может быть тесно связан с установками родителей на развитие способностей ребенка:</w:t>
        <w:br/>
        <w:t>• Родители, которые поощряют развитие способностей ребенка, могут формировать у него стремление к профессиональному росту</w:t>
        <w:br/>
        <w:t>• Установки родителей на поддержку самостоятельности и инициативности могут способствовать формированию мотива профессионального развития</w:t>
        <w:br/>
        <w:t>• Ожидания родителей относительно успешности ребенка могут влиять на его стремление к профессиональному мастерству</w:t>
        <w:br/>
        <w:br/>
        <w:t>МЕТОДОЛОГИЧЕСКОЕ ОБОСНОВАНИЕ:</w:t>
        <w:br/>
        <w:br/>
        <w:t>• Вопрос 12 отражает внутренний мотив выбора профессии (ориентация на развитие)</w:t>
        <w:br/>
        <w:t>• Этот мотив может быть более чувствителен к влиянию родительских установок, чем внешние мотивы</w:t>
        <w:br/>
        <w:t>• Позволяет исследовать связь между установками родителей на развитие и профессиональными мотивами подростка</w:t>
        <w:br/>
      </w:r>
    </w:p>
    <w:p>
      <w:pPr>
        <w:pStyle w:val="Heading2"/>
      </w:pPr>
      <w:r>
        <w:t>4.2. Вопрос 19: "Позволяет использовать профессиональные умения вне работы"</w:t>
      </w:r>
    </w:p>
    <w:p>
      <w:r>
        <w:br/>
        <w:t>ТЕОРЕТИЧЕСКОЕ ОБОСНОВАНИЕ:</w:t>
        <w:br/>
        <w:br/>
        <w:t>Вопрос 19 отражает мотив интеграции профессии в личную жизнь. Этот мотив связан с:</w:t>
        <w:br/>
        <w:t>• Желанием применять профессиональные навыки в различных сферах жизни</w:t>
        <w:br/>
        <w:t>• Стремлением к целостности профессиональной и личной идентичности</w:t>
        <w:br/>
        <w:t>• Ориентацией на всестороннее использование своих способностей</w:t>
        <w:br/>
        <w:br/>
        <w:t>СВЯЗЬ С УСТАНОВКАМИ РОДИТЕЛЕЙ:</w:t>
        <w:br/>
        <w:br/>
        <w:t>Данный мотив может быть связан с установками родителей на всестороннее развитие ребенка:</w:t>
        <w:br/>
        <w:t>• Родители, которые поощряют применение знаний и навыков в разных сферах, могут формировать у ребенка желание использовать профессиональные умения вне работы</w:t>
        <w:br/>
        <w:t>• Установки родителей на интеграцию различных аспектов развития могут влиять на мотив интеграции профессии в жизнь</w:t>
        <w:br/>
        <w:t>• Поддержка родителями творческого и разностороннего развития может способствовать формированию данного мотива</w:t>
        <w:br/>
        <w:br/>
        <w:t>МЕТОДОЛОГИЧЕСКОЕ ОБОСНОВАНИЕ:</w:t>
        <w:br/>
        <w:br/>
        <w:t>• Вопрос 19 отражает мотив интеграции, который отличается от мотива развития (вопрос 12)</w:t>
        <w:br/>
        <w:t>• Позволяет исследовать разные аспекты профессиональной мотивации</w:t>
        <w:br/>
        <w:t>• Дополняет вопрос 12, создавая более полную картину влияния установок родителей</w:t>
        <w:br/>
      </w:r>
    </w:p>
    <w:p>
      <w:pPr>
        <w:pStyle w:val="Heading1"/>
      </w:pPr>
      <w:r>
        <w:t>5. ПОЧЕМУ НЕ ИСПОЛЬЗОВАЛИ ДРУГИЕ ВОПРОСЫ</w:t>
      </w:r>
    </w:p>
    <w:p>
      <w:pPr>
        <w:pStyle w:val="Heading2"/>
      </w:pPr>
      <w:r>
        <w:t>5.1. Почему не использовали вопрос 2: "Нравится родителям"</w:t>
      </w:r>
    </w:p>
    <w:p>
      <w:r>
        <w:br/>
        <w:t>Вопрос 2 ("Нравится родителям") отражает мотив соответствия ожиданиям родителей и получения их одобрения.</w:t>
        <w:br/>
        <w:br/>
        <w:t>ПРИЧИНЫ ИСКЛЮЧЕНИЯ ИЗ АНАЛИЗА:</w:t>
        <w:br/>
        <w:br/>
        <w:t>1. МЕТОДОЛОГИЧЕСКАЯ ПРИЧИНА:</w:t>
        <w:br/>
        <w:t xml:space="preserve">   • Вопрос 2 напрямую связан с родительским одобрением, что создаёт искусственную корреляцию</w:t>
        <w:br/>
        <w:t xml:space="preserve">   • Высокая корреляция между установками родителей и мотивом "нравится родителям" может быть обусловлена </w:t>
        <w:br/>
        <w:t xml:space="preserve">     не влиянием установок, а прямой зависимостью от родительского мнения</w:t>
        <w:br/>
        <w:t xml:space="preserve">   • Это может исказить результаты исследования, создавая ложные корреляции</w:t>
        <w:br/>
        <w:br/>
        <w:t>2. ТЕОРЕТИЧЕСКАЯ ПРИЧИНА:</w:t>
        <w:br/>
        <w:t xml:space="preserve">   • Вопрос 2 отражает внешний мотив (зависимость от одобрения), а не внутренний мотив выбора профессии</w:t>
        <w:br/>
        <w:t xml:space="preserve">   • Для исследования влияния установок родителей на самостоятельный выбор профессии более информативны </w:t>
        <w:br/>
        <w:t xml:space="preserve">     внутренние мотивы (развитие, интеграция)</w:t>
        <w:br/>
        <w:t xml:space="preserve">   • Вопрос 2 не позволяет исследовать самостоятельность выбора профессии подростком</w:t>
        <w:br/>
        <w:br/>
        <w:t>3. СТАТИСТИЧЕСКАЯ ПРИЧИНА:</w:t>
        <w:br/>
        <w:t xml:space="preserve">   • Вопрос 2 может иметь высокую корреляцию с установками родителей, но это не отражает влияние установок </w:t>
        <w:br/>
        <w:t xml:space="preserve">     на формирование профессиональных мотивов, а лишь зависимость от родительского мнения</w:t>
        <w:br/>
        <w:t xml:space="preserve">   • Использование вопроса 2 может привести к переоценке влияния установок родителей</w:t>
        <w:br/>
        <w:br/>
        <w:t>ВЫВОД:</w:t>
        <w:br/>
        <w:br/>
        <w:t xml:space="preserve">Вопрос 2 был исключён из анализа, так как его использование могло привести к искажению результатов </w:t>
        <w:br/>
        <w:t>и не позволило бы исследовать влияние установок родителей на самостоятельный выбор профессии подростками.</w:t>
        <w:br/>
      </w:r>
    </w:p>
    <w:p>
      <w:pPr>
        <w:pStyle w:val="Heading2"/>
      </w:pPr>
      <w:r>
        <w:t>5.2. Почему не использовали другие вопросы</w:t>
      </w:r>
    </w:p>
    <w:p>
      <w:r>
        <w:br/>
        <w:t>Остальные вопросы опросника Овчаровой (1, 3-11, 13-18, 20) также не использовались в корреляционном анализе по следующим причинам:</w:t>
        <w:br/>
        <w:br/>
        <w:t>1. ОГРАНИЧЕНИЕ ОБЪЁМА АНАЛИЗА:</w:t>
        <w:br/>
        <w:t xml:space="preserve">   • Анализ всех 20 вопросов создал бы 1200 корреляций (60 вопросов родителей × 20 вопросов Овчаровой)</w:t>
        <w:br/>
        <w:t xml:space="preserve">   • Это сделало бы анализ слишком объёмным и трудным для интерпретации</w:t>
        <w:br/>
        <w:t xml:space="preserve">   • Выбор ограниченного числа вопросов позволяет провести более глубокий анализ</w:t>
        <w:br/>
        <w:br/>
        <w:t>2. ТЕОРЕТИЧЕСКАЯ РЕЛЕВАНТНОСТЬ:</w:t>
        <w:br/>
        <w:t xml:space="preserve">   • Вопросы 12 и 19 наиболее релевантны для исследования влияния установок родителей на профессиональные мотивы</w:t>
        <w:br/>
        <w:t xml:space="preserve">   • Эти вопросы отражают внутренние мотивы, которые могут быть более чувствительны к влиянию родительских установок</w:t>
        <w:br/>
        <w:t xml:space="preserve">   • Другие вопросы могут отражать внешние мотивы (престиж, зарплата) или ситуационные факторы</w:t>
        <w:br/>
        <w:br/>
        <w:t>3. МЕТОДОЛОГИЧЕСКАЯ ЦЕЛЕСООБРАЗНОСТЬ:</w:t>
        <w:br/>
        <w:t xml:space="preserve">   • Вопросы 12 и 19 дополняют друг друга, отражая разные аспекты профессиональной мотивации</w:t>
        <w:br/>
        <w:t xml:space="preserve">   • Это позволяет исследовать как мотив развития (вопрос 12), так и мотив интеграции (вопрос 19)</w:t>
        <w:br/>
        <w:t xml:space="preserve">   • Использование двух вопросов создаёт более полную картину, чем использование одного вопроса</w:t>
        <w:br/>
        <w:br/>
        <w:t>4. СТАТИСТИЧЕСКАЯ ЭФФЕКТИВНОСТЬ:</w:t>
        <w:br/>
        <w:t xml:space="preserve">   • Анализ всех вопросов увеличил бы риск ошибок первого рода (ложные положительные результаты)</w:t>
        <w:br/>
        <w:t xml:space="preserve">   • Ограничение числа вопросов позволяет более надёжно интерпретировать результаты</w:t>
        <w:br/>
        <w:t xml:space="preserve">   • Фокус на наиболее релевантных вопросах повышает валидность исследования</w:t>
        <w:br/>
      </w:r>
    </w:p>
    <w:p>
      <w:pPr>
        <w:pStyle w:val="Heading1"/>
      </w:pPr>
      <w:r>
        <w:t>6. ПРОВЕРКА ИТОГОВЫХ РЕЗУЛЬТАТОВ ПО ОВЧАРОВОЙ</w:t>
      </w:r>
    </w:p>
    <w:p>
      <w:r>
        <w:br/>
        <w:t>ПРОВЕРКА: ИСПОЛЬЗОВАЛИСЬ ЛИ ИТОГОВЫЕ РЕЗУЛЬТАТЫ?</w:t>
        <w:br/>
        <w:br/>
        <w:t>Итоговый балл по опроснику Овчаровой рассчитывается как сумма ответов на все 20 вопросов для каждого подростка.</w:t>
        <w:br/>
        <w:br/>
        <w:t>Статистика итоговых баллов:</w:t>
        <w:br/>
        <w:t>• Количество подростков: 50</w:t>
        <w:br/>
        <w:t>• Средний итоговый балл: 58.34</w:t>
        <w:br/>
        <w:t>• Медианный итоговый балл: 58.50</w:t>
        <w:br/>
        <w:t>• Минимальный балл: 20.00</w:t>
        <w:br/>
        <w:t>• Максимальный балл: 75.00</w:t>
        <w:br/>
        <w:t>• Стандартное отклонение: 8.67</w:t>
        <w:br/>
        <w:br/>
        <w:t>РЕЗУЛЬТАТ ПРОВЕРКИ:</w:t>
        <w:br/>
        <w:br/>
      </w:r>
    </w:p>
    <w:p>
      <w:r>
        <w:br/>
        <w:t>⚠ ИТОГОВЫЕ РЕЗУЛЬТАТЫ ПО ОВЧАРОВОЙ НЕ ИСПОЛЬЗОВАЛИСЬ в корреляционном анализе.</w:t>
        <w:br/>
        <w:br/>
        <w:t>В существующих корреляциях используются только отдельные вопросы 12 и 19, а не итоговый балл (сумма всех 20 вопросов).</w:t>
        <w:br/>
        <w:br/>
        <w:t>ОБОСНОВАНИЕ НЕИСПОЛЬЗОВАНИЯ ИТОГОВЫХ РЕЗУЛЬТАТОВ:</w:t>
        <w:br/>
        <w:br/>
        <w:t>1. СПЕЦИФИЧНОСТЬ СВЯЗЕЙ:</w:t>
        <w:br/>
        <w:t xml:space="preserve">   • Итоговый балл "размывает" специфические связи между установками родителей и конкретными мотивами</w:t>
        <w:br/>
        <w:t xml:space="preserve">   • Использование отдельных вопросов позволяет выявить более точные и специфические связи</w:t>
        <w:br/>
        <w:br/>
        <w:t>2. МЕТОДОЛОГИЧЕСКАЯ ЦЕЛЕСООБРАЗНОСТЬ:</w:t>
        <w:br/>
        <w:t xml:space="preserve">   • Разные мотивы могут по-разному реагировать на установки родителей</w:t>
        <w:br/>
        <w:t xml:space="preserve">   • Итоговый балл может скрыть важные специфические связи</w:t>
        <w:br/>
        <w:br/>
        <w:t>3. ТЕОРЕТИЧЕСКАЯ ОБОСНОВАННОСТЬ:</w:t>
        <w:br/>
        <w:t xml:space="preserve">   • Исследование направлено на выявление связи между установками родителей и конкретными мотивами</w:t>
        <w:br/>
        <w:t xml:space="preserve">   • Использование итогового балла не позволяет исследовать специфические механизмы влияния</w:t>
        <w:br/>
      </w:r>
    </w:p>
    <w:p>
      <w:pPr>
        <w:pStyle w:val="Heading1"/>
      </w:pPr>
      <w:r>
        <w:t>7. ВЫВОДЫ</w:t>
      </w:r>
    </w:p>
    <w:p>
      <w:r>
        <w:br/>
        <w:t>На основе проведенного анализа можно сделать следующие выводы:</w:t>
        <w:br/>
        <w:br/>
        <w:t>1. ВЫБОР ВОПРОСОВ 12 И 19 ОБОСНОВАН:</w:t>
        <w:br/>
        <w:t xml:space="preserve">   • Вопросы 12 и 19 отражают внутренние мотивы выбора профессии</w:t>
        <w:br/>
        <w:t xml:space="preserve">   • Эти мотивы наиболее релевантны для исследования влияния установок родителей</w:t>
        <w:br/>
        <w:t xml:space="preserve">   • Вопросы дополняют друг друга, создавая полную картину профессиональной мотивации</w:t>
        <w:br/>
        <w:br/>
        <w:t>2. ИСКЛЮЧЕНИЕ ВОПРОСА 2 ОПРАВДАНО:</w:t>
        <w:br/>
        <w:t xml:space="preserve">   • Вопрос 2 создаёт искусственную корреляцию из-за прямой зависимости от родительского одобрения</w:t>
        <w:br/>
        <w:t xml:space="preserve">   • Использование вопроса 2 не позволяет исследовать самостоятельность выбора профессии</w:t>
        <w:br/>
        <w:t xml:space="preserve">   • Исключение вопроса 2 повышает валидность исследования</w:t>
        <w:br/>
        <w:br/>
        <w:t>3. НЕИСПОЛЬЗОВАНИЕ ИТОГОВЫХ РЕЗУЛЬТАТОВ ОПРАВДАНО:</w:t>
        <w:br/>
        <w:t xml:space="preserve">   • Итоговый балл может "размывать" специфические связи</w:t>
        <w:br/>
        <w:t xml:space="preserve">   • Использование отдельных вопросов позволяет выявить более точные связи</w:t>
        <w:br/>
        <w:t xml:space="preserve">   • Фокус на конкретных мотивах повышает информативность исследования</w:t>
        <w:br/>
        <w:br/>
        <w:t>4. МЕТОДОЛОГИЧЕСКАЯ КОРРЕКТНОСТЬ:</w:t>
        <w:br/>
        <w:t xml:space="preserve">   • Выбор ограниченного числа вопросов методологически оправдан</w:t>
        <w:br/>
        <w:t xml:space="preserve">   • Это позволяет провести более глубокий и точный анализ</w:t>
        <w:br/>
        <w:t xml:space="preserve">   • Результаты исследования валидны и интерпретируемы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