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AE3F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09985FC3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359E6A26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195AF106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50DD3604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516E1231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06BCBA5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467674" w14:textId="0F2006D9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573AEC7F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0A8FB25C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45BA2E51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128FAA6D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2C89D8A3" w14:textId="31963665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3F48B22B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E7E40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7522BFA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12003FF" w14:textId="46B97B8A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544637A9" w14:textId="3B4549CB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4D2290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7DF60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69DB9283" w14:textId="77777777" w:rsidTr="005B29B4">
        <w:trPr>
          <w:trHeight w:val="3644"/>
        </w:trPr>
        <w:tc>
          <w:tcPr>
            <w:tcW w:w="4864" w:type="dxa"/>
          </w:tcPr>
          <w:p w14:paraId="5454FCC8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5B725700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4C808CBE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7AA42485" w14:textId="083E61E6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619F7CF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1D6C85E8" w14:textId="27DFF88D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350291F0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3EA56334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7909684" w14:textId="360616C4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5026065E" w14:textId="69AD75AE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F5F11D4" w14:textId="6048733D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2D3BDBAA" w14:textId="62A0E942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6C66E717" w14:textId="410C85E6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42BC517F" w14:textId="4A5A2795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0B3ABC80" w14:textId="3BB77705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675E2A87" w14:textId="7B6DEFB8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22926771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</w:p>
    <w:p w14:paraId="65973131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</w:p>
    <w:p w14:paraId="74470827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</w:p>
    <w:p w14:paraId="5D4F7057" w14:textId="6F90215B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46C7513F" w14:textId="075C830B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9BA0A0B" w14:textId="522181C3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22A42B5B" w14:textId="2120280E" w:rsidR="009D668F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  <w:r w:rsidR="009D668F" w:rsidRPr="00661DF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C7560F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23D68E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4E48EC48" w14:textId="3839A603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</w:t>
      </w:r>
      <w:r w:rsidR="00C70356">
        <w:rPr>
          <w:rFonts w:ascii="Times New Roman" w:hAnsi="Times New Roman" w:cs="Times New Roman"/>
          <w:sz w:val="28"/>
          <w:szCs w:val="28"/>
        </w:rPr>
        <w:t xml:space="preserve">- </w:t>
      </w:r>
      <w:r w:rsidRPr="00B50032">
        <w:rPr>
          <w:rFonts w:ascii="Times New Roman" w:hAnsi="Times New Roman" w:cs="Times New Roman"/>
          <w:sz w:val="28"/>
          <w:szCs w:val="28"/>
        </w:rPr>
        <w:t>находила бы отклик в нуждах общества. Наиболее остро этот вопрос впервые осознаётся в подростковом возрасте</w:t>
      </w:r>
      <w:r w:rsidR="00C70356">
        <w:rPr>
          <w:rFonts w:ascii="Times New Roman" w:hAnsi="Times New Roman" w:cs="Times New Roman"/>
          <w:sz w:val="28"/>
          <w:szCs w:val="28"/>
        </w:rPr>
        <w:t xml:space="preserve">, </w:t>
      </w:r>
      <w:r w:rsidRPr="00B50032">
        <w:rPr>
          <w:rFonts w:ascii="Times New Roman" w:hAnsi="Times New Roman" w:cs="Times New Roman"/>
          <w:sz w:val="28"/>
          <w:szCs w:val="28"/>
        </w:rPr>
        <w:t>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могут быть потрачены впустую значительные временные и ресурсные затраты.</w:t>
      </w:r>
    </w:p>
    <w:p w14:paraId="566D0BD3" w14:textId="018F007F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283B12C5" w14:textId="6B06DE6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64460C74" w14:textId="2350BA46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57BFCA5F" w14:textId="4E5EBBA0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2F59CA6F" w14:textId="73CB03D3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019C50E7" w14:textId="1313A5C4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64D851A8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Системный семейный подход (М.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Боуэн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, А.Я. Варга, Э.Г. Эйдемиллер),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59C18C8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· Психологические теории развития и сценариев (А. Адлер, Э. Берн, А. Фрейд),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0D96380E" w14:textId="336D88D6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Теории профессионального самоопределения (М.Р. Гинзбург, Е.А. Климов,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Н.С.Пряжников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), разработавшие классификации профессий, этапов становления и методы активизации выбора через ценностно-смысловую сферу.</w:t>
      </w:r>
    </w:p>
    <w:p w14:paraId="56F11C0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Социально-когнитивный и карьерный подход (А. Бандура, Р. Лент), объясняющий влияние родительских моделей,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самоэффективности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 и ожиданий результатов на профессиональные решения.</w:t>
      </w:r>
    </w:p>
    <w:p w14:paraId="7ACCC8B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Возрастной и культурно-исторический подход (Л.С. Выготский, Д.Б. Эльконин, Д.И.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Фельдштейн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), рассматривающий подростковый возраст как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сензитивный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 период для самоопределения в контексте ведущей деятельности и социальной ситуации развития.</w:t>
      </w:r>
    </w:p>
    <w:p w14:paraId="1D3D6A6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· Ценностно-смысловой подход (Д.А. Леонтьев, А. Маслоу, В.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),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5827BB5F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 xml:space="preserve">· Гендерный подход (Т.В.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Бендас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), изучающий влияние гендерных стереотипов воспитания на профессиональные предпочтения.</w:t>
      </w:r>
    </w:p>
    <w:p w14:paraId="074C101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· Интегративный подход (В.А. Бодров, В.С. Мерлин),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303C76EC" w14:textId="79BB7FAC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0C112CE1" w14:textId="4E3DA83D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5F1F1043" w14:textId="42BBD438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681CB492" w14:textId="6D1E6955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304833C9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5CF76B54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1ADD500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0C2EB235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7677474F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58F79A6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2E6C0DA5" w14:textId="2DEB7999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57A6735A" w14:textId="796C197B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60F660F2" w14:textId="582E6C19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Методы и методики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Марковской. Сфера профессиональных предпочтений изучалась с помощью </w:t>
      </w:r>
      <w:r w:rsidR="001A5B27">
        <w:rPr>
          <w:rFonts w:ascii="Times New Roman" w:hAnsi="Times New Roman" w:cs="Times New Roman"/>
          <w:sz w:val="28"/>
          <w:szCs w:val="28"/>
        </w:rPr>
        <w:t>о</w:t>
      </w:r>
      <w:r w:rsidRPr="00B50032">
        <w:rPr>
          <w:rFonts w:ascii="Times New Roman" w:hAnsi="Times New Roman" w:cs="Times New Roman"/>
          <w:sz w:val="28"/>
          <w:szCs w:val="28"/>
        </w:rPr>
        <w:t xml:space="preserve">просника профессиональных предпочтений Дж.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Голланда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. Для анализа побудительных причин выбора профессии применялась методика «Мотивы выбора профессии». Полученные эмпирические данные были подвергнуты статистической обработке для установления корреляционных связей.</w:t>
      </w:r>
    </w:p>
    <w:p w14:paraId="6D94FBCA" w14:textId="6636F931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318F99C2" w14:textId="2309F832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6D0A625E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426CA78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3C118650" w14:textId="7536246A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3. Повысить обоснованность индивидуальных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профконсультаций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 за счёт учёта и анализа влияния семейного контекста на мотивацию и предпочтения подростка.</w:t>
      </w:r>
    </w:p>
    <w:p w14:paraId="68B9ABF0" w14:textId="198BCAAE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22EB3008" w14:textId="77777777" w:rsidR="00D5301E" w:rsidRDefault="00D5301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1AA791" w14:textId="77777777" w:rsidR="00974841" w:rsidRPr="00974841" w:rsidRDefault="00974841" w:rsidP="00974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2CE3BEC7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5A336" w14:textId="37FE2BD1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1552F91B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337346D7" w14:textId="0614449A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</w:t>
      </w:r>
      <w:r w:rsidR="00582E50" w:rsidRPr="00582E50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3; 31; 22</w:t>
      </w:r>
      <w:r w:rsidR="00582E50" w:rsidRPr="00582E50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28BB803" w14:textId="181DC00B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</w:t>
      </w:r>
      <w:r w:rsidR="00620622" w:rsidRPr="00620622">
        <w:rPr>
          <w:rFonts w:ascii="Times New Roman" w:hAnsi="Times New Roman" w:cs="Times New Roman"/>
          <w:sz w:val="28"/>
          <w:szCs w:val="28"/>
        </w:rPr>
        <w:t>;</w:t>
      </w:r>
      <w:r w:rsidRPr="00D5301E">
        <w:rPr>
          <w:rFonts w:ascii="Times New Roman" w:hAnsi="Times New Roman" w:cs="Times New Roman"/>
          <w:sz w:val="28"/>
          <w:szCs w:val="28"/>
        </w:rPr>
        <w:t xml:space="preserve"> 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375FAA0E" w14:textId="3C1F933E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17CF9DC8" w14:textId="7A072E9D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CDD15D0" w14:textId="67C68080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210B697" w14:textId="6A65753E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З.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Матейчек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41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5F04C3E6" w14:textId="5A027AE3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[5;</w:t>
      </w:r>
      <w:r w:rsidRPr="00D5301E">
        <w:rPr>
          <w:rFonts w:ascii="Times New Roman" w:hAnsi="Times New Roman" w:cs="Times New Roman"/>
          <w:sz w:val="28"/>
          <w:szCs w:val="28"/>
        </w:rPr>
        <w:t xml:space="preserve"> 22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Эмпирические исследования С. И. Карповой и Т. В.</w:t>
      </w:r>
    </w:p>
    <w:p w14:paraId="1D907628" w14:textId="149D5D42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A11AFED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719A4DDD" w14:textId="304F677D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совладания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Хроническое эмоциональное напряжение, противоречивость родительских требований и дефицит поддержки формируют у ребенка неадаптивные способы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>эмоциональной регуляции и искаженную систему межличностных отношений.</w:t>
      </w:r>
    </w:p>
    <w:p w14:paraId="628211AC" w14:textId="7156F396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психологической литературе также подробно анализируются последствия нарушенных и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дисфункциональных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детско-родительских отношений. В работах В. И.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Брутмана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, А. Я. Варги и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. Ю.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Хамитовой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показано,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49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2AA4E05" w14:textId="0905B755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 позиций экзистенциальной и гуманистической психологии семья рассматривается как пространство формирования базовых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ориентаций личности. В.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Данные положения соотносятся с концепцией жизненной стратегии К. А.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Абульхановой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-Славской, в которой семейный опыт выступает важнейшим фактором становления субъектности личности и ее активности в жизнедеятельности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1B081BCD" w14:textId="4DF45EAD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1708ACF9" w14:textId="77777777" w:rsidR="00620622" w:rsidRDefault="0062062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19CD06" w14:textId="77777777" w:rsidR="00015DF0" w:rsidRDefault="00015DF0" w:rsidP="00D5301E">
      <w:pPr>
        <w:rPr>
          <w:rFonts w:ascii="Times New Roman" w:hAnsi="Times New Roman" w:cs="Times New Roman"/>
          <w:sz w:val="28"/>
          <w:szCs w:val="28"/>
        </w:rPr>
      </w:pPr>
    </w:p>
    <w:p w14:paraId="2C7041C1" w14:textId="7902AAF8" w:rsidR="00B3612D" w:rsidRPr="00CB589B" w:rsidRDefault="00B3612D" w:rsidP="00CB589B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t>Психологические особенности профессионального самоопределения в подростковом возрасте</w:t>
      </w:r>
    </w:p>
    <w:p w14:paraId="6B804D11" w14:textId="6E12328D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30; 18; 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4F2AADEC" w14:textId="63F239D5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626D392A" w14:textId="24D074CD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3ECEEF69" w14:textId="3B4B1514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1C966697" w14:textId="7BE90A7A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Головаха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подростковом возрасте жизненная перспектива отличается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4BE1FC01" w14:textId="6D92E0DA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4F8CF2EE" w14:textId="22FBE27F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Зеер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этой связи значительную роль играют условия социальной среды, в том числе образовательное пространство и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микросоциальные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факторы развития личности.</w:t>
      </w:r>
    </w:p>
    <w:p w14:paraId="6D5063E2" w14:textId="1FE4E6E8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смыслообразования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, в рамках которого профессиональные намерения соотносятся с личностными ценностями и жизненными смыслами субъекта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ориентиров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3870D050" w14:textId="0CF8EE20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Пряжникова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6B36B372" w14:textId="55F7FE63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Поваренкова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46323932" w14:textId="0246FA64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282726AA" w14:textId="720DC3A9" w:rsidR="00974841" w:rsidRDefault="0097484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0181C9" w14:textId="77777777" w:rsid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36BA572E" w14:textId="3DD03D82" w:rsidR="00B3612D" w:rsidRPr="00CB589B" w:rsidRDefault="00B3612D" w:rsidP="00CB589B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влияния родительских установок на формирование профессиональных ориентаций подростков</w:t>
      </w:r>
    </w:p>
    <w:p w14:paraId="53B4E043" w14:textId="0D08C619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3; 12; Кон, 31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3E5D9F51" w14:textId="0548AE13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</w:t>
      </w:r>
      <w:r w:rsidR="00620622" w:rsidRPr="00620622">
        <w:rPr>
          <w:rFonts w:ascii="Times New Roman" w:hAnsi="Times New Roman" w:cs="Times New Roman"/>
          <w:sz w:val="28"/>
          <w:szCs w:val="28"/>
        </w:rPr>
        <w:t>;</w:t>
      </w:r>
      <w:r w:rsidRPr="00B3612D">
        <w:rPr>
          <w:rFonts w:ascii="Times New Roman" w:hAnsi="Times New Roman" w:cs="Times New Roman"/>
          <w:sz w:val="28"/>
          <w:szCs w:val="28"/>
        </w:rPr>
        <w:t xml:space="preserve"> 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28B5C895" w14:textId="6A51E174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60DCD40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3611E370" w14:textId="6BB2A92F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5D5FE692" w14:textId="64BCB003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58F9E972" w14:textId="46141F96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1F3F3EA7" w14:textId="06668E88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Головаха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58534A68" w14:textId="033B6613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0E5A6B6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1D663106" w14:textId="3913EAB4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Кабардова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0A196501" w14:textId="0C0412EB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Поваренкова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отмечает, что именно в подростковом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5E923728" w14:textId="00D8F7C5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принятности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Поддерживающие и принимающие установки способствуют формированию 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2A5AE44E" w14:textId="17B20A41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Экзистенциальный подход В.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Франкла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позволяет рассматривать родительские установки как фактор формирования смысловой направленности профессиональных ориентаций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7BF557F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32570D94" w14:textId="0E3C20C2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sectPr w:rsidR="00B3612D" w:rsidRPr="006E5D15" w:rsidSect="00CB589B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08BE4" w14:textId="77777777" w:rsidR="00701B11" w:rsidRDefault="00701B11" w:rsidP="00CB589B">
      <w:pPr>
        <w:spacing w:after="0" w:line="240" w:lineRule="auto"/>
      </w:pPr>
      <w:r>
        <w:separator/>
      </w:r>
    </w:p>
  </w:endnote>
  <w:endnote w:type="continuationSeparator" w:id="0">
    <w:p w14:paraId="750ACA7D" w14:textId="77777777" w:rsidR="00701B11" w:rsidRDefault="00701B11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C9F94B1" w14:textId="6BEF089C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1658DC" w14:textId="2681072F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39FA9" w14:textId="77777777" w:rsidR="00701B11" w:rsidRDefault="00701B11" w:rsidP="00CB589B">
      <w:pPr>
        <w:spacing w:after="0" w:line="240" w:lineRule="auto"/>
      </w:pPr>
      <w:r>
        <w:separator/>
      </w:r>
    </w:p>
  </w:footnote>
  <w:footnote w:type="continuationSeparator" w:id="0">
    <w:p w14:paraId="51E528DA" w14:textId="77777777" w:rsidR="00701B11" w:rsidRDefault="00701B11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9B4"/>
    <w:rsid w:val="00015DF0"/>
    <w:rsid w:val="001A5B27"/>
    <w:rsid w:val="00227D79"/>
    <w:rsid w:val="002446D1"/>
    <w:rsid w:val="0044620F"/>
    <w:rsid w:val="004E45DF"/>
    <w:rsid w:val="00582E50"/>
    <w:rsid w:val="005B29B4"/>
    <w:rsid w:val="00620622"/>
    <w:rsid w:val="00661DF7"/>
    <w:rsid w:val="006E5D15"/>
    <w:rsid w:val="00701B11"/>
    <w:rsid w:val="00930475"/>
    <w:rsid w:val="00941075"/>
    <w:rsid w:val="00952CB9"/>
    <w:rsid w:val="00974841"/>
    <w:rsid w:val="009D668F"/>
    <w:rsid w:val="00B3612D"/>
    <w:rsid w:val="00B50032"/>
    <w:rsid w:val="00C70356"/>
    <w:rsid w:val="00CB589B"/>
    <w:rsid w:val="00D5301E"/>
    <w:rsid w:val="00E22B6C"/>
    <w:rsid w:val="00E95839"/>
    <w:rsid w:val="00EC011A"/>
    <w:rsid w:val="00F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97D551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15</Pages>
  <Words>4225</Words>
  <Characters>24084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12</cp:revision>
  <dcterms:created xsi:type="dcterms:W3CDTF">2021-03-11T15:55:00Z</dcterms:created>
  <dcterms:modified xsi:type="dcterms:W3CDTF">2025-12-14T21:40:00Z</dcterms:modified>
</cp:coreProperties>
</file>