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Sachverständigengutachten</w:t>
      </w:r>
    </w:p>
    <w:p>
      <w:pPr>
        <w:jc w:val="center"/>
      </w:pPr>
      <w:r>
        <w:rPr>
          <w:rFonts w:ascii="Arial" w:hAnsi="Arial"/>
          <w:b/>
          <w:sz w:val="16"/>
        </w:rPr>
        <w:t>zum Nachweis der tatsächlich kürzeren Nutzungsdauer gem. § 7 Abs. 4 Satz 2 EStG</w:t>
      </w:r>
    </w:p>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26"/>
      </w:tblGrid>
      <w:tr>
        <w:trPr>
          <w:trHeight w:val="3685" w:hRule="exact"/>
        </w:trPr>
        <w:tc>
          <w:tcPr>
            <w:tcW w:type="dxa" w:w="9026"/>
            <w:shd w:val="clear" w:color="auto" w:fill="F2F2F2"/>
            <w:vAlign w:val="center"/>
          </w:tcPr>
          <w:p>
            <w:pPr>
              <w:spacing w:after="0"/>
            </w:pPr>
            <w:r/>
            <w:r>
              <w:rPr>
                <w:rFonts w:ascii="Arial" w:hAnsi="Arial"/>
                <w:b/>
                <w:sz w:val="24"/>
              </w:rPr>
              <w:t xml:space="preserve">über eine </w:t>
            </w:r>
            <w:r>
              <w:rPr>
                <w:rFonts w:ascii="Arial" w:hAnsi="Arial"/>
                <w:b/>
                <w:sz w:val="24"/>
              </w:rPr>
              <w:t>{</w:t>
            </w:r>
            <w:r>
              <w:rPr>
                <w:rFonts w:ascii="Arial" w:hAnsi="Arial"/>
                <w:b/>
                <w:sz w:val="24"/>
                <w:highlight w:val="yellow"/>
              </w:rPr>
              <w:t>3-Zimmer-</w:t>
            </w:r>
            <w:r>
              <w:rPr>
                <w:rFonts w:ascii="Arial" w:hAnsi="Arial"/>
                <w:b/>
                <w:sz w:val="24"/>
                <w:highlight w:val="yellow"/>
              </w:rPr>
              <w:t>Wohnung</w:t>
            </w:r>
            <w:r>
              <w:rPr>
                <w:rFonts w:ascii="Arial" w:hAnsi="Arial"/>
                <w:b/>
                <w:sz w:val="24"/>
              </w:rPr>
              <w:t>}</w:t>
            </w:r>
          </w:p>
          <w:p>
            <w:pPr>
              <w:spacing w:after="0"/>
            </w:pPr>
            <w:r>
              <w:rPr>
                <w:rFonts w:ascii="Arial" w:hAnsi="Arial"/>
                <w:b/>
                <w:sz w:val="24"/>
              </w:rPr>
              <w:t>{{</w:t>
            </w:r>
            <w:r>
              <w:rPr>
                <w:rFonts w:ascii="Arial" w:hAnsi="Arial"/>
                <w:b/>
                <w:sz w:val="24"/>
                <w:highlight w:val="yellow"/>
              </w:rPr>
              <w:t>object_street</w:t>
            </w:r>
            <w:r>
              <w:rPr>
                <w:rFonts w:ascii="Arial" w:hAnsi="Arial"/>
                <w:b/>
                <w:sz w:val="24"/>
              </w:rPr>
              <w:t>}}</w:t>
            </w:r>
          </w:p>
          <w:p>
            <w:pPr>
              <w:spacing w:after="0"/>
            </w:pPr>
            <w:r>
              <w:rPr>
                <w:rFonts w:ascii="Arial" w:hAnsi="Arial"/>
                <w:b/>
                <w:sz w:val="24"/>
              </w:rPr>
              <w:t>{{</w:t>
            </w:r>
            <w:r>
              <w:rPr>
                <w:rFonts w:ascii="Arial" w:hAnsi="Arial"/>
                <w:b/>
                <w:sz w:val="24"/>
                <w:highlight w:val="yellow"/>
              </w:rPr>
              <w:t>object_zip</w:t>
            </w:r>
            <w:r>
              <w:rPr>
                <w:rFonts w:ascii="Arial" w:hAnsi="Arial"/>
                <w:b/>
                <w:sz w:val="24"/>
              </w:rPr>
              <w:t>}}</w:t>
            </w:r>
          </w:p>
          <w:p>
            <w:pPr>
              <w:spacing w:after="0"/>
            </w:pPr>
            <w:r>
              <w:rPr>
                <w:rFonts w:ascii="Arial" w:hAnsi="Arial"/>
                <w:b/>
                <w:sz w:val="24"/>
              </w:rPr>
              <w:t>{{</w:t>
            </w:r>
            <w:r>
              <w:rPr>
                <w:rFonts w:ascii="Arial" w:hAnsi="Arial"/>
                <w:b/>
                <w:sz w:val="24"/>
                <w:highlight w:val="yellow"/>
              </w:rPr>
              <w:t>object_town</w:t>
            </w:r>
            <w:r>
              <w:rPr>
                <w:rFonts w:ascii="Arial" w:hAnsi="Arial"/>
                <w:b/>
                <w:sz w:val="24"/>
              </w:rPr>
              <w:t>}}</w:t>
            </w:r>
            <w:r>
              <w:rPr>
                <w:rFonts w:ascii="Arial" w:hAnsi="Arial"/>
                <w:b/>
                <w:sz w:val="24"/>
              </w:rPr>
              <w:t xml:space="preserve"> </w:t>
            </w:r>
            <w:r>
              <w:rPr>
                <w:rFonts w:ascii="Arial" w:hAnsi="Arial"/>
                <w:b/>
                <w:sz w:val="24"/>
              </w:rPr>
              <w:t>{{</w:t>
            </w:r>
            <w:r>
              <w:rPr>
                <w:rFonts w:ascii="Arial" w:hAnsi="Arial"/>
                <w:b/>
                <w:sz w:val="24"/>
                <w:highlight w:val="yellow"/>
              </w:rPr>
              <w:t>object_town</w:t>
            </w:r>
            <w:r>
              <w:rPr>
                <w:rFonts w:ascii="Arial" w:hAnsi="Arial"/>
                <w:b/>
                <w:sz w:val="24"/>
              </w:rPr>
              <w:t>}}</w:t>
            </w:r>
          </w:p>
        </w:tc>
      </w:tr>
    </w:tbl>
    <w:p/>
    <w:p>
      <w:pPr>
        <w:spacing w:after="0"/>
      </w:pPr>
      <w:r>
        <w:rPr>
          <w:rFonts w:ascii="Arial" w:hAnsi="Arial"/>
          <w:sz w:val="20"/>
        </w:rPr>
        <w:t>Wirtschaftliche Restnutzungsdauer:</w:t>
      </w:r>
      <w:r>
        <w:t xml:space="preserve"> </w:t>
      </w:r>
      <w:r>
        <w:rPr>
          <w:rFonts w:ascii="Arial" w:hAnsi="Arial"/>
          <w:b/>
          <w:sz w:val="28"/>
          <w:highlight w:val="yellow"/>
        </w:rPr>
        <w:t>{</w:t>
      </w:r>
      <w:r>
        <w:rPr>
          <w:rFonts w:ascii="Arial" w:hAnsi="Arial"/>
          <w:b/>
          <w:sz w:val="28"/>
          <w:highlight w:val="yellow"/>
        </w:rPr>
        <w:t>29</w:t>
      </w:r>
      <w:r>
        <w:rPr>
          <w:rFonts w:ascii="Arial" w:hAnsi="Arial"/>
          <w:b/>
          <w:sz w:val="28"/>
          <w:highlight w:val="yellow"/>
        </w:rPr>
        <w:t xml:space="preserve"> Jahre</w:t>
      </w:r>
      <w:r>
        <w:rPr>
          <w:rFonts w:ascii="Arial" w:hAnsi="Arial"/>
          <w:b/>
          <w:sz w:val="28"/>
        </w:rPr>
        <w:t>}</w:t>
      </w:r>
    </w:p>
    <w:p>
      <w:pPr>
        <w:spacing w:after="0"/>
        <w:ind w:left="3969"/>
      </w:pPr>
      <w:r>
        <w:rPr>
          <w:rFonts w:ascii="Arial" w:hAnsi="Arial"/>
          <w:sz w:val="20"/>
        </w:rPr>
        <w:t>basierend auf der Ermittlung gemäß ImmoWertV</w:t>
      </w:r>
    </w:p>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969"/>
        <w:gridCol w:w="5057"/>
      </w:tblGrid>
      <w:tr>
        <w:tc>
          <w:tcPr>
            <w:tcW w:type="dxa" w:w="3969"/>
          </w:tcPr>
          <w:p>
            <w:pPr>
              <w:spacing w:after="0"/>
            </w:pPr>
            <w:r/>
            <w:r>
              <w:rPr>
                <w:rFonts w:ascii="Arial" w:hAnsi="Arial"/>
                <w:sz w:val="20"/>
              </w:rPr>
              <w:t>Wertermittlungs- / Qualitätsstichtag:</w:t>
            </w:r>
          </w:p>
        </w:tc>
        <w:tc>
          <w:tcPr>
            <w:tcW w:type="dxa" w:w="5057"/>
          </w:tcPr>
          <w:p>
            <w:pPr>
              <w:spacing w:after="0"/>
            </w:pPr>
            <w:r/>
            <w:r>
              <w:t>{{</w:t>
            </w:r>
            <w:r>
              <w:t>object_appraise_date</w:t>
            </w:r>
            <w:r>
              <w:t>}}</w:t>
            </w:r>
          </w:p>
        </w:tc>
      </w:tr>
      <w:tr>
        <w:tc>
          <w:tcPr>
            <w:tcW w:type="dxa" w:w="3969"/>
          </w:tcPr>
          <w:p>
            <w:pPr>
              <w:spacing w:after="0"/>
            </w:pPr>
            <w:r/>
            <w:r>
              <w:rPr>
                <w:rFonts w:ascii="Arial" w:hAnsi="Arial"/>
                <w:sz w:val="20"/>
              </w:rPr>
              <w:t>Objektbesichtigung:</w:t>
            </w:r>
          </w:p>
        </w:tc>
        <w:tc>
          <w:tcPr>
            <w:tcW w:type="dxa" w:w="5057"/>
          </w:tcPr>
          <w:p>
            <w:pPr>
              <w:spacing w:after="0"/>
            </w:pPr>
            <w:r/>
            <w:r>
              <w:t>{{</w:t>
            </w:r>
            <w:r>
              <w:t>object_visit_date</w:t>
            </w:r>
            <w:r>
              <w:t>}}</w:t>
            </w:r>
          </w:p>
        </w:tc>
      </w:tr>
      <w:tr>
        <w:tc>
          <w:tcPr>
            <w:tcW w:type="dxa" w:w="3969"/>
          </w:tcPr>
          <w:p>
            <w:pPr>
              <w:spacing w:after="0"/>
            </w:pPr>
            <w:r/>
            <w:r>
              <w:rPr>
                <w:rFonts w:ascii="Arial" w:hAnsi="Arial"/>
                <w:sz w:val="20"/>
              </w:rPr>
              <w:t>Gutachtenzweck:</w:t>
            </w:r>
          </w:p>
        </w:tc>
        <w:tc>
          <w:tcPr>
            <w:tcW w:type="dxa" w:w="5057"/>
          </w:tcPr>
          <w:p>
            <w:pPr>
              <w:spacing w:after="0"/>
            </w:pPr>
            <w:r/>
            <w:r>
              <w:rPr>
                <w:rFonts w:ascii="Arial" w:hAnsi="Arial"/>
                <w:sz w:val="20"/>
              </w:rPr>
              <w:t>Nachweis der tatsächlich kürzeren Nutzungsdauer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969"/>
        <w:gridCol w:w="5057"/>
      </w:tblGrid>
      <w:tr>
        <w:tc>
          <w:tcPr>
            <w:tcW w:type="dxa" w:w="3969"/>
          </w:tcPr>
          <w:p>
            <w:pPr>
              <w:spacing w:after="0"/>
            </w:pPr>
            <w:r/>
            <w:r>
              <w:rPr>
                <w:rFonts w:ascii="Arial" w:hAnsi="Arial"/>
                <w:sz w:val="20"/>
              </w:rPr>
              <w:t>Auftraggeber:</w:t>
            </w:r>
          </w:p>
        </w:tc>
        <w:tc>
          <w:tcPr>
            <w:tcW w:type="dxa" w:w="5057"/>
          </w:tcPr>
          <w:p>
            <w:pPr>
              <w:spacing w:after="0"/>
            </w:pPr>
            <w:r/>
            <w:r>
              <w:rPr>
                <w:rFonts w:ascii="Arial" w:hAnsi="Arial"/>
                <w:sz w:val="20"/>
              </w:rPr>
              <w:t>{{</w:t>
            </w:r>
            <w:r>
              <w:rPr>
                <w:rFonts w:ascii="Arial" w:hAnsi="Arial"/>
                <w:sz w:val="20"/>
                <w:highlight w:val="yellow"/>
              </w:rPr>
              <w:t>client_name</w:t>
            </w:r>
            <w:r>
              <w:rPr>
                <w:rFonts w:ascii="Arial" w:hAnsi="Arial"/>
                <w:sz w:val="20"/>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969"/>
        <w:gridCol w:w="5057"/>
      </w:tblGrid>
      <w:tr>
        <w:tc>
          <w:tcPr>
            <w:tcW w:type="dxa" w:w="3969"/>
          </w:tcPr>
          <w:p>
            <w:pPr>
              <w:spacing w:after="0"/>
            </w:pPr>
            <w:r/>
            <w:r>
              <w:rPr>
                <w:rFonts w:ascii="Arial" w:hAnsi="Arial"/>
                <w:sz w:val="20"/>
              </w:rPr>
              <w:t>Hinweis zur Ausfertigung:</w:t>
            </w:r>
          </w:p>
        </w:tc>
        <w:tc>
          <w:tcPr>
            <w:tcW w:type="dxa" w:w="5057"/>
          </w:tcPr>
          <w:p>
            <w:pPr>
              <w:spacing w:after="0"/>
            </w:pPr>
            <w:r/>
            <w:r>
              <w:rPr>
                <w:rFonts w:ascii="Arial" w:hAnsi="Arial"/>
                <w:sz w:val="20"/>
              </w:rPr>
              <w:t xml:space="preserve">Gutachten Nr. </w:t>
            </w:r>
            <w:r>
              <w:rPr>
                <w:rFonts w:ascii="Arial" w:hAnsi="Arial"/>
                <w:sz w:val="20"/>
              </w:rPr>
              <w:t>(</w:t>
            </w:r>
            <w:r>
              <w:rPr>
                <w:rFonts w:ascii="Arial" w:hAnsi="Arial"/>
                <w:sz w:val="20"/>
                <w:highlight w:val="yellow"/>
              </w:rPr>
              <w:t>288892</w:t>
            </w:r>
            <w:r>
              <w:rPr>
                <w:rFonts w:ascii="Arial" w:hAnsi="Arial"/>
                <w:sz w:val="20"/>
              </w:rPr>
              <w:t>)</w:t>
            </w:r>
            <w:r>
              <w:rPr>
                <w:rFonts w:ascii="Arial" w:hAnsi="Arial"/>
                <w:sz w:val="20"/>
              </w:rPr>
              <w:t xml:space="preserve"> vom </w:t>
            </w:r>
            <w:r>
              <w:rPr>
                <w:rFonts w:ascii="Arial" w:hAnsi="Arial"/>
                <w:sz w:val="20"/>
              </w:rPr>
              <w:t>(</w:t>
            </w:r>
            <w:r>
              <w:rPr>
                <w:rFonts w:ascii="Arial" w:hAnsi="Arial"/>
                <w:sz w:val="20"/>
                <w:highlight w:val="yellow"/>
              </w:rPr>
              <w:t>03.11.2025</w:t>
            </w:r>
            <w:r>
              <w:rPr>
                <w:rFonts w:ascii="Arial" w:hAnsi="Arial"/>
                <w:sz w:val="20"/>
              </w:rPr>
              <w:t>)</w:t>
            </w:r>
          </w:p>
          <w:p>
            <w:pPr>
              <w:spacing w:after="0"/>
            </w:pPr>
            <w:r>
              <w:rPr>
                <w:rFonts w:ascii="Arial" w:hAnsi="Arial"/>
                <w:sz w:val="20"/>
              </w:rPr>
              <w:t xml:space="preserve">Textteil mit </w:t>
            </w:r>
            <w:r>
              <w:rPr>
                <w:rFonts w:ascii="Arial" w:hAnsi="Arial"/>
                <w:sz w:val="20"/>
              </w:rPr>
              <w:t>(</w:t>
            </w:r>
            <w:r>
              <w:rPr>
                <w:rFonts w:ascii="Arial" w:hAnsi="Arial"/>
                <w:sz w:val="20"/>
                <w:highlight w:val="yellow"/>
              </w:rPr>
              <w:t>14</w:t>
            </w:r>
            <w:r>
              <w:rPr>
                <w:rFonts w:ascii="Arial" w:hAnsi="Arial"/>
                <w:sz w:val="20"/>
              </w:rPr>
              <w:t>)</w:t>
            </w:r>
            <w:r>
              <w:rPr>
                <w:rFonts w:ascii="Arial" w:hAnsi="Arial"/>
                <w:sz w:val="20"/>
              </w:rPr>
              <w:t xml:space="preserve"> Seiten, Anlagen mit </w:t>
            </w:r>
            <w:r>
              <w:rPr>
                <w:rFonts w:ascii="Arial" w:hAnsi="Arial"/>
                <w:sz w:val="20"/>
              </w:rPr>
              <w:t>(</w:t>
            </w:r>
            <w:r>
              <w:rPr>
                <w:rFonts w:ascii="Arial" w:hAnsi="Arial"/>
                <w:sz w:val="20"/>
                <w:highlight w:val="yellow"/>
              </w:rPr>
              <w:t>15</w:t>
            </w:r>
            <w:r>
              <w:rPr>
                <w:rFonts w:ascii="Arial" w:hAnsi="Arial"/>
                <w:sz w:val="20"/>
              </w:rPr>
              <w:t>)</w:t>
            </w:r>
            <w:r>
              <w:rPr>
                <w:rFonts w:ascii="Arial" w:hAnsi="Arial"/>
                <w:sz w:val="20"/>
              </w:rPr>
              <w:t xml:space="preserve"> Seiten</w:t>
            </w:r>
          </w:p>
          <w:p>
            <w:pPr>
              <w:spacing w:after="0"/>
            </w:pPr>
            <w:r>
              <w:rPr>
                <w:rFonts w:ascii="Arial" w:hAnsi="Arial"/>
                <w:sz w:val="20"/>
              </w:rPr>
              <w:t>Ausfertigung Nr. 1 von 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969"/>
        <w:gridCol w:w="5057"/>
      </w:tblGrid>
      <w:tr>
        <w:tc>
          <w:tcPr>
            <w:tcW w:type="dxa" w:w="3969"/>
          </w:tcPr>
          <w:p>
            <w:pPr>
              <w:spacing w:after="0"/>
            </w:pPr>
            <w:r/>
            <w:r>
              <w:rPr>
                <w:rFonts w:ascii="Arial" w:hAnsi="Arial"/>
                <w:sz w:val="20"/>
              </w:rPr>
              <w:t>Erstellt durch:</w:t>
            </w:r>
          </w:p>
        </w:tc>
        <w:tc>
          <w:tcPr>
            <w:tcW w:type="dxa" w:w="5057"/>
          </w:tcPr>
          <w:p>
            <w:pPr>
              <w:spacing w:after="0"/>
            </w:pPr>
            <w:r/>
            <w:r>
              <w:rPr>
                <w:rFonts w:ascii="Arial" w:hAnsi="Arial"/>
                <w:sz w:val="20"/>
              </w:rPr>
              <w:t>Maria Knoop</w:t>
            </w:r>
          </w:p>
          <w:p>
            <w:pPr>
              <w:spacing w:after="0"/>
            </w:pPr>
            <w:r>
              <w:rPr>
                <w:rFonts w:ascii="Arial" w:hAnsi="Arial"/>
                <w:sz w:val="20"/>
              </w:rPr>
              <w:t>zertifizierte Sachverständige nach DIN 17024 Maria Knoop</w:t>
            </w:r>
          </w:p>
          <w:p>
            <w:pPr>
              <w:spacing w:after="0"/>
            </w:pPr>
            <w:r>
              <w:rPr>
                <w:rFonts w:ascii="Arial" w:hAnsi="Arial"/>
                <w:sz w:val="20"/>
              </w:rPr>
              <w:t>Sprengnetter (S)</w:t>
            </w:r>
          </w:p>
        </w:tc>
      </w:tr>
    </w:tbl>
    <w:p>
      <w:r>
        <w:br w:type="page"/>
      </w:r>
    </w:p>
    <w:p>
      <w:pPr>
        <w:pStyle w:val="Heading1"/>
      </w:pPr>
      <w:r>
        <w:t>Inhaltsübersicht</w:t>
      </w:r>
    </w:p>
    <w:p>
      <w:r>
        <w:rPr>
          <w:rFonts w:ascii="Arial" w:hAnsi="Arial"/>
          <w:i/>
          <w:sz w:val="20"/>
        </w:rPr>
        <w:t>– Textteil Restnutzungsdauergutachten –</w:t>
      </w:r>
    </w:p>
    <w:p/>
    <w:p>
      <w:r>
        <w:rPr>
          <w:rFonts w:ascii="Arial" w:hAnsi="Arial"/>
          <w:b/>
          <w:sz w:val="20"/>
        </w:rPr>
        <w:t>Ergebnisübersicht</w:t>
      </w:r>
    </w:p>
    <w:p>
      <w:pPr>
        <w:tabs>
          <w:tab w:pos="9026" w:val="right" w:leader="dot"/>
        </w:tabs>
        <w:ind w:left="0"/>
      </w:pPr>
      <w:r>
        <w:rPr>
          <w:rFonts w:ascii="Arial" w:hAnsi="Arial"/>
          <w:sz w:val="20"/>
        </w:rPr>
        <w:t>Auftrag</w:t>
      </w:r>
      <w:r>
        <w:tab/>
      </w:r>
      <w:r>
        <w:rPr>
          <w:rFonts w:ascii="Arial" w:hAnsi="Arial"/>
          <w:sz w:val="20"/>
        </w:rPr>
        <w:t>3</w:t>
      </w:r>
    </w:p>
    <w:p>
      <w:r>
        <w:rPr>
          <w:rFonts w:ascii="Arial" w:hAnsi="Arial"/>
          <w:b/>
          <w:sz w:val="20"/>
        </w:rPr>
        <w:t>Abschnitt II – Ermittlung der Restnutzungsdauer</w:t>
      </w:r>
    </w:p>
    <w:p>
      <w:pPr>
        <w:tabs>
          <w:tab w:pos="9026" w:val="right" w:leader="dot"/>
        </w:tabs>
        <w:ind w:left="0"/>
      </w:pPr>
      <w:r>
        <w:rPr>
          <w:rFonts w:ascii="Arial" w:hAnsi="Arial"/>
          <w:sz w:val="20"/>
        </w:rPr>
        <w:t>Bauliche Anlagen</w:t>
      </w:r>
      <w:r>
        <w:tab/>
      </w:r>
      <w:r>
        <w:rPr>
          <w:rFonts w:ascii="Arial" w:hAnsi="Arial"/>
          <w:sz w:val="20"/>
        </w:rPr>
        <w:t>5</w:t>
      </w:r>
    </w:p>
    <w:p>
      <w:pPr>
        <w:tabs>
          <w:tab w:pos="9026" w:val="right" w:leader="dot"/>
        </w:tabs>
        <w:ind w:left="0"/>
      </w:pPr>
      <w:r>
        <w:rPr>
          <w:rFonts w:ascii="Arial" w:hAnsi="Arial"/>
          <w:sz w:val="20"/>
        </w:rPr>
        <w:t>Bauliche Anlagen – Beschreibung</w:t>
      </w:r>
      <w:r>
        <w:tab/>
      </w:r>
      <w:r>
        <w:rPr>
          <w:rFonts w:ascii="Arial" w:hAnsi="Arial"/>
          <w:sz w:val="20"/>
        </w:rPr>
        <w:t>5</w:t>
      </w:r>
    </w:p>
    <w:p>
      <w:pPr>
        <w:tabs>
          <w:tab w:pos="9026" w:val="right" w:leader="dot"/>
        </w:tabs>
        <w:ind w:left="0"/>
      </w:pPr>
      <w:r>
        <w:rPr>
          <w:rFonts w:ascii="Arial" w:hAnsi="Arial"/>
          <w:sz w:val="20"/>
        </w:rPr>
        <w:t>Ermittlung der wirtschaftlichen Restnutzungsdauer</w:t>
      </w:r>
      <w:r>
        <w:tab/>
      </w:r>
      <w:r>
        <w:rPr>
          <w:rFonts w:ascii="Arial" w:hAnsi="Arial"/>
          <w:sz w:val="20"/>
        </w:rPr>
        <w:t>11</w:t>
      </w:r>
    </w:p>
    <w:p>
      <w:pPr>
        <w:tabs>
          <w:tab w:pos="9026" w:val="right" w:leader="dot"/>
        </w:tabs>
        <w:ind w:left="0"/>
      </w:pPr>
      <w:r>
        <w:rPr>
          <w:rFonts w:ascii="Arial" w:hAnsi="Arial"/>
          <w:sz w:val="20"/>
        </w:rPr>
        <w:t>Schlusserklärung</w:t>
      </w:r>
      <w:r>
        <w:tab/>
      </w:r>
      <w:r>
        <w:rPr>
          <w:rFonts w:ascii="Arial" w:hAnsi="Arial"/>
          <w:sz w:val="20"/>
        </w:rPr>
        <w:t>13</w:t>
      </w:r>
    </w:p>
    <w:p>
      <w:pPr>
        <w:tabs>
          <w:tab w:pos="9026" w:val="right" w:leader="dot"/>
        </w:tabs>
        <w:ind w:left="0"/>
      </w:pPr>
      <w:r>
        <w:rPr>
          <w:rFonts w:ascii="Arial" w:hAnsi="Arial"/>
          <w:sz w:val="20"/>
        </w:rPr>
        <w:t>Anerkenntnis durch Finanzverwaltung und - gerichtsbarkeit</w:t>
      </w:r>
      <w:r>
        <w:tab/>
      </w:r>
      <w:r>
        <w:rPr>
          <w:rFonts w:ascii="Arial" w:hAnsi="Arial"/>
          <w:sz w:val="20"/>
        </w:rPr>
        <w:t>14</w:t>
      </w:r>
    </w:p>
    <w:p>
      <w:r>
        <w:rPr>
          <w:rFonts w:ascii="Arial" w:hAnsi="Arial"/>
          <w:b/>
          <w:sz w:val="20"/>
        </w:rPr>
        <w:t>Abschnitt III – Anlagen</w:t>
      </w:r>
    </w:p>
    <w:p>
      <w:pPr>
        <w:tabs>
          <w:tab w:pos="9026" w:val="right" w:leader="dot"/>
        </w:tabs>
        <w:ind w:left="425"/>
      </w:pPr>
      <w:r>
        <w:rPr>
          <w:rFonts w:ascii="Arial" w:hAnsi="Arial"/>
          <w:sz w:val="20"/>
        </w:rPr>
        <w:t>A1 Luftbild</w:t>
      </w:r>
      <w:r>
        <w:tab/>
      </w:r>
      <w:r>
        <w:rPr>
          <w:rFonts w:ascii="Arial" w:hAnsi="Arial"/>
          <w:sz w:val="20"/>
        </w:rPr>
        <w:t>15</w:t>
      </w:r>
    </w:p>
    <w:p>
      <w:pPr>
        <w:tabs>
          <w:tab w:pos="9026" w:val="right" w:leader="dot"/>
        </w:tabs>
        <w:ind w:left="425"/>
      </w:pPr>
      <w:r>
        <w:rPr>
          <w:rFonts w:ascii="Arial" w:hAnsi="Arial"/>
          <w:sz w:val="20"/>
        </w:rPr>
        <w:t>A2 Objektbilder</w:t>
      </w:r>
      <w:r>
        <w:tab/>
      </w:r>
      <w:r>
        <w:rPr>
          <w:rFonts w:ascii="Arial" w:hAnsi="Arial"/>
          <w:sz w:val="20"/>
        </w:rPr>
        <w:t>16</w:t>
      </w:r>
    </w:p>
    <w:p>
      <w:pPr>
        <w:tabs>
          <w:tab w:pos="9026" w:val="right" w:leader="dot"/>
        </w:tabs>
        <w:ind w:left="425"/>
      </w:pPr>
      <w:r>
        <w:rPr>
          <w:rFonts w:ascii="Arial" w:hAnsi="Arial"/>
          <w:sz w:val="20"/>
        </w:rPr>
        <w:t>A3 Wohnfläche</w:t>
      </w:r>
      <w:r>
        <w:tab/>
      </w:r>
      <w:r>
        <w:rPr>
          <w:rFonts w:ascii="Arial" w:hAnsi="Arial"/>
          <w:sz w:val="20"/>
        </w:rPr>
        <w:t>27</w:t>
      </w:r>
    </w:p>
    <w:p>
      <w:pPr>
        <w:tabs>
          <w:tab w:pos="9026" w:val="right" w:leader="dot"/>
        </w:tabs>
        <w:ind w:left="425"/>
      </w:pPr>
      <w:r>
        <w:rPr>
          <w:rFonts w:ascii="Arial" w:hAnsi="Arial"/>
          <w:sz w:val="20"/>
        </w:rPr>
        <w:t>A4 Glossarium</w:t>
      </w:r>
      <w:r>
        <w:tab/>
      </w:r>
      <w:r>
        <w:rPr>
          <w:rFonts w:ascii="Arial" w:hAnsi="Arial"/>
          <w:sz w:val="20"/>
        </w:rPr>
        <w:t>28</w:t>
      </w:r>
    </w:p>
    <w:p>
      <w:pPr>
        <w:tabs>
          <w:tab w:pos="9026" w:val="right" w:leader="dot"/>
        </w:tabs>
        <w:ind w:left="425"/>
      </w:pPr>
      <w:r>
        <w:rPr>
          <w:rFonts w:ascii="Arial" w:hAnsi="Arial"/>
          <w:sz w:val="20"/>
        </w:rPr>
        <w:t>A5 Haftungsausschluss</w:t>
      </w:r>
      <w:r>
        <w:tab/>
      </w:r>
      <w:r>
        <w:rPr>
          <w:rFonts w:ascii="Arial" w:hAnsi="Arial"/>
          <w:sz w:val="20"/>
        </w:rPr>
        <w:t>29</w:t>
      </w:r>
    </w:p>
    <w:p>
      <w:r>
        <w:br w:type="page"/>
      </w:r>
    </w:p>
    <w:p>
      <w:pPr>
        <w:pStyle w:val="Heading1"/>
        <w:ind w:left="0" w:firstLine="0" w:right="0"/>
      </w:pPr>
      <w:r/>
      <w:r>
        <w:rPr/>
        <w:t>1.</w:t>
      </w:r>
      <w:r>
        <w:rPr/>
        <w:t xml:space="preserve"> Auftrag</w:t>
      </w:r>
    </w:p>
    <w:p>
      <w:pPr>
        <w:ind w:left="0" w:firstLine="0" w:right="0"/>
      </w:pPr>
      <w:r/>
      <w:r>
        <w:rPr>
          <w:rFonts w:ascii="Arial" w:hAnsi="Arial"/>
          <w:color w:val="181717"/>
          <w:sz w:val="20"/>
        </w:rPr>
        <w:t>–Auftragszweck, Besichtigung und Zusammenfassung –</w:t>
      </w:r>
    </w:p>
    <w:p>
      <w:pPr>
        <w:pStyle w:val="Heading2"/>
        <w:ind w:left="0" w:firstLine="0" w:right="0"/>
      </w:pPr>
      <w:r/>
      <w:r>
        <w:rPr/>
        <w:t>1.1 Bewertungsauftrag</w:t>
      </w:r>
    </w:p>
    <w:p>
      <w:pPr>
        <w:ind w:left="0" w:firstLine="0" w:right="0"/>
      </w:pPr>
      <w:r/>
      <w:r>
        <w:rPr>
          <w:rFonts w:ascii="Arial" w:hAnsi="Arial"/>
          <w:color w:val="181717"/>
          <w:sz w:val="20"/>
        </w:rPr>
        <w:t xml:space="preserve">Bewertet wird eine </w:t>
      </w:r>
      <w:r>
        <w:rPr>
          <w:rFonts w:ascii="Arial" w:hAnsi="Arial"/>
          <w:color w:val="181717"/>
          <w:sz w:val="20"/>
        </w:rPr>
        <w:t>{</w:t>
      </w:r>
      <w:r>
        <w:rPr>
          <w:rFonts w:ascii="Arial" w:hAnsi="Arial"/>
          <w:color w:val="181717"/>
          <w:sz w:val="20"/>
          <w:highlight w:val="yellow"/>
        </w:rPr>
        <w:t>3-Zimmer-Wohnung</w:t>
      </w:r>
      <w:r>
        <w:rPr>
          <w:rFonts w:ascii="Arial" w:hAnsi="Arial"/>
          <w:color w:val="181717"/>
          <w:sz w:val="20"/>
        </w:rPr>
        <w:t>}</w:t>
      </w:r>
      <w:r>
        <w:rPr>
          <w:rFonts w:ascii="Arial" w:hAnsi="Arial"/>
          <w:color w:val="181717"/>
          <w:sz w:val="20"/>
        </w:rPr>
        <w:t xml:space="preserve"> </w:t>
      </w:r>
      <w:r>
        <w:rPr>
          <w:rFonts w:ascii="Arial" w:hAnsi="Arial"/>
          <w:color w:val="181717"/>
          <w:sz w:val="20"/>
        </w:rPr>
        <w:t>{</w:t>
      </w:r>
      <w:r>
        <w:rPr>
          <w:rFonts w:ascii="Arial" w:hAnsi="Arial"/>
          <w:color w:val="181717"/>
          <w:sz w:val="20"/>
          <w:highlight w:val="yellow"/>
        </w:rPr>
        <w:t>(3. OG rechts)</w:t>
      </w:r>
      <w:r>
        <w:rPr>
          <w:rFonts w:ascii="Arial" w:hAnsi="Arial"/>
          <w:color w:val="181717"/>
          <w:sz w:val="20"/>
        </w:rPr>
        <w:t>}</w:t>
      </w:r>
      <w:r>
        <w:rPr>
          <w:rFonts w:ascii="Arial" w:hAnsi="Arial"/>
          <w:color w:val="181717"/>
          <w:sz w:val="20"/>
        </w:rPr>
        <w:t xml:space="preserve"> in Lüneburg. Der Wertermittlungsstichtag (WEST) ist der </w:t>
      </w:r>
      <w:r>
        <w:rPr>
          <w:rFonts w:ascii="Arial" w:hAnsi="Arial"/>
          <w:color w:val="181717"/>
          <w:sz w:val="20"/>
        </w:rPr>
        <w:t>{</w:t>
      </w:r>
      <w:r>
        <w:rPr>
          <w:rFonts w:ascii="Arial" w:hAnsi="Arial"/>
          <w:color w:val="181717"/>
          <w:sz w:val="20"/>
          <w:highlight w:val="yellow"/>
        </w:rPr>
        <w:t>07.10.2025</w:t>
      </w:r>
      <w:r>
        <w:rPr>
          <w:rFonts w:ascii="Arial" w:hAnsi="Arial"/>
          <w:color w:val="181717"/>
          <w:sz w:val="20"/>
        </w:rPr>
        <w:t>}</w:t>
      </w:r>
      <w:r>
        <w:rPr>
          <w:rFonts w:ascii="Arial" w:hAnsi="Arial"/>
          <w:color w:val="181717"/>
          <w:sz w:val="20"/>
        </w:rPr>
        <w:t xml:space="preserve"> – der Qualitätsstichtag entspricht dem Wertermittlungsstichtag.</w:t>
      </w:r>
    </w:p>
    <w:p>
      <w:pPr>
        <w:ind w:left="0" w:firstLine="0" w:right="0"/>
      </w:pPr>
      <w:r/>
      <w:r>
        <w:rPr>
          <w:rFonts w:ascii="Arial" w:hAnsi="Arial"/>
          <w:color w:val="181717"/>
          <w:sz w:val="20"/>
        </w:rPr>
        <w:t>Alle in diesem Gutachten aufgeführten wertrelevanten Merkmale des Wertermittlungsobjekts beziehen sich auf diesen Stichtag.</w:t>
      </w:r>
    </w:p>
    <w:p>
      <w:pPr>
        <w:pStyle w:val="Heading2"/>
        <w:ind w:left="0" w:firstLine="0" w:right="0"/>
      </w:pPr>
      <w:r/>
      <w:r>
        <w:rPr/>
        <w:t>1.2 Zweck der Bewertung</w:t>
      </w:r>
    </w:p>
    <w:p>
      <w:pPr>
        <w:ind w:left="0" w:firstLine="0" w:right="0"/>
      </w:pPr>
      <w:r/>
      <w:r>
        <w:rPr>
          <w:rFonts w:ascii="Arial" w:hAnsi="Arial"/>
          <w:color w:val="181717"/>
          <w:sz w:val="20"/>
        </w:rPr>
        <w:t xml:space="preserve">Auftragsgemäß wird diese Arbeit für den Zweck Ermittlung der Restnutzungsdauer erstellt. Auftraggeber ist </w:t>
      </w:r>
      <w:r>
        <w:rPr>
          <w:rFonts w:ascii="Arial" w:hAnsi="Arial"/>
          <w:color w:val="181717"/>
          <w:sz w:val="20"/>
        </w:rPr>
        <w:t>{</w:t>
      </w:r>
      <w:r>
        <w:rPr>
          <w:rFonts w:ascii="Arial" w:hAnsi="Arial"/>
          <w:color w:val="181717"/>
          <w:sz w:val="20"/>
          <w:highlight w:val="yellow"/>
        </w:rPr>
        <w:t>David Eberlein</w:t>
      </w:r>
      <w:r>
        <w:rPr>
          <w:rFonts w:ascii="Arial" w:hAnsi="Arial"/>
          <w:color w:val="181717"/>
          <w:sz w:val="20"/>
        </w:rPr>
        <w:t>}</w:t>
      </w:r>
      <w:r>
        <w:rPr>
          <w:rFonts w:ascii="Arial" w:hAnsi="Arial"/>
          <w:color w:val="181717"/>
          <w:sz w:val="20"/>
        </w:rPr>
        <w:t>.</w:t>
      </w:r>
    </w:p>
    <w:p>
      <w:pPr>
        <w:pStyle w:val="Heading2"/>
        <w:ind w:left="0" w:firstLine="0" w:right="0"/>
      </w:pPr>
      <w:r/>
      <w:r>
        <w:rPr/>
        <w:t>1.3 Wertermittlungsstichtag / Qualitätsstichtag</w:t>
      </w:r>
    </w:p>
    <w:p>
      <w:pPr>
        <w:ind w:left="0" w:firstLine="0" w:right="0"/>
      </w:pPr>
      <w:r/>
      <w:r>
        <w:rPr>
          <w:rFonts w:ascii="Arial" w:hAnsi="Arial"/>
          <w:color w:val="181717"/>
          <w:sz w:val="20"/>
        </w:rPr>
        <w:t>Der Wertermittlungsstichtag ist definiert als der Zeitpunkt, auf den sich die Wertermittlung hinsichtlich des Wertniveaus bezieht. Das Wertniveau (allgemeine Wertverhältnisse) bestimmt sich nach der Gesamtheit der am Wertermittlungsstichtag für die Preisbildung von Grundstücken im gewöhnlichen</w:t>
      </w:r>
      <w:r>
        <w:t xml:space="preserve"> </w:t>
      </w:r>
      <w:r>
        <w:rPr>
          <w:rFonts w:ascii="Arial" w:hAnsi="Arial"/>
          <w:color w:val="181717"/>
          <w:sz w:val="20"/>
        </w:rPr>
        <w:t>Geschäftsverkehr maßgeblichen Umstände wie nach der allgemeinen Wirtschaftslage, den</w:t>
      </w:r>
      <w:r>
        <w:t xml:space="preserve"> </w:t>
      </w:r>
      <w:r>
        <w:rPr>
          <w:rFonts w:ascii="Arial" w:hAnsi="Arial"/>
          <w:color w:val="181717"/>
          <w:sz w:val="20"/>
        </w:rPr>
        <w:t>Verhältnissen am Kapitalmarkt sowie den wirtschaftlichen und demographischen Entwicklungen des</w:t>
      </w:r>
      <w:r>
        <w:t xml:space="preserve"> </w:t>
      </w:r>
      <w:r>
        <w:rPr>
          <w:rFonts w:ascii="Arial" w:hAnsi="Arial"/>
          <w:color w:val="181717"/>
          <w:sz w:val="20"/>
        </w:rPr>
        <w:t>Gebietes. Der Qualitätsstichtag ist der Zeitpunkt, auf den sich der für die Wertermittlung maßgebliche Grundstückszustand bezieht. Im vorliegenden Fall entspricht der Qualitätsstichtag dem Wertermittlungsstichtag.</w:t>
      </w:r>
    </w:p>
    <w:p>
      <w:pPr>
        <w:pStyle w:val="Heading2"/>
        <w:ind w:left="0" w:firstLine="0" w:right="0"/>
      </w:pPr>
      <w:r/>
      <w:r>
        <w:rPr/>
        <w:t>1.4 Zustand zum Wertermittlungsstichtag</w:t>
      </w:r>
    </w:p>
    <w:p>
      <w:pPr>
        <w:ind w:left="0" w:firstLine="0" w:right="0"/>
      </w:pPr>
      <w:r/>
      <w:r>
        <w:rPr>
          <w:rFonts w:ascii="Arial" w:hAnsi="Arial"/>
          <w:color w:val="181717"/>
          <w:sz w:val="20"/>
        </w:rPr>
        <w:t>Der Wertermittlungsstichtag weicht geringfügig vom Tag der Beauftragung ab. Der Auftraggeber hat bestätigt, dass sich der Zustand des zu bewertenden Objekts zwischen dem Wertermittlungsstichtag und dem Tag der Beauftragung weder wesentlich verbessert noch wesentlich verschlechtert hat. Es liegen keine sonstigen, besonderen Maßgaben des Auftraggebers vor.</w:t>
      </w:r>
    </w:p>
    <w:p>
      <w:pPr>
        <w:pStyle w:val="Heading2"/>
        <w:ind w:left="0" w:firstLine="0" w:right="0"/>
      </w:pPr>
      <w:r/>
      <w:r>
        <w:rPr/>
        <w:t>1.5 Objektbesichtigung</w:t>
      </w:r>
    </w:p>
    <w:p>
      <w:pPr>
        <w:ind w:left="0" w:firstLine="0" w:right="0"/>
      </w:pPr>
      <w:r/>
      <w:r>
        <w:rPr>
          <w:rFonts w:ascii="Arial" w:hAnsi="Arial"/>
          <w:color w:val="181717"/>
          <w:sz w:val="20"/>
        </w:rPr>
        <w:t xml:space="preserve">Eine fachgerechte, dem Auftrag gemäße Ortsbesichtigung der </w:t>
      </w:r>
      <w:r>
        <w:rPr>
          <w:rFonts w:ascii="Arial" w:hAnsi="Arial"/>
          <w:color w:val="181717"/>
          <w:sz w:val="20"/>
        </w:rPr>
        <w:t>zu bewerteten Immobilie</w:t>
      </w:r>
      <w:r>
        <w:rPr>
          <w:rFonts w:ascii="Arial" w:hAnsi="Arial"/>
          <w:color w:val="181717"/>
          <w:sz w:val="20"/>
        </w:rPr>
        <w:t xml:space="preserve"> wurde durch die Auftragnehmerin am </w:t>
      </w:r>
      <w:r>
        <w:rPr>
          <w:rFonts w:ascii="Arial" w:hAnsi="Arial"/>
          <w:color w:val="181717"/>
          <w:sz w:val="20"/>
        </w:rPr>
        <w:t>{</w:t>
      </w:r>
      <w:r>
        <w:rPr>
          <w:rFonts w:ascii="Arial" w:hAnsi="Arial"/>
          <w:color w:val="181717"/>
          <w:sz w:val="20"/>
          <w:highlight w:val="yellow"/>
        </w:rPr>
        <w:t>07.10.2025</w:t>
      </w:r>
      <w:r>
        <w:rPr>
          <w:rFonts w:ascii="Arial" w:hAnsi="Arial"/>
          <w:color w:val="181717"/>
          <w:sz w:val="20"/>
        </w:rPr>
        <w:t>}</w:t>
      </w:r>
      <w:r>
        <w:rPr>
          <w:rFonts w:ascii="Arial" w:hAnsi="Arial"/>
          <w:color w:val="181717"/>
          <w:sz w:val="20"/>
        </w:rPr>
        <w:t xml:space="preserve"> durchgeführt. Bei der Besichtigung waren anwesend: Der Mieter / Name anonymisiert zertifizierte Gutachterin nach DIN 17024 Maria Knoop, Auftragnehmerin / Sachverständige</w:t>
      </w:r>
      <w:r>
        <w:t xml:space="preserve"> </w:t>
      </w:r>
      <w:r>
        <w:rPr>
          <w:rFonts w:ascii="Arial" w:hAnsi="Arial"/>
          <w:color w:val="181717"/>
          <w:sz w:val="20"/>
        </w:rPr>
        <w:t xml:space="preserve">Es konnte der </w:t>
      </w:r>
      <w:r>
        <w:rPr>
          <w:rFonts w:ascii="Arial" w:hAnsi="Arial"/>
          <w:color w:val="181717"/>
          <w:sz w:val="20"/>
        </w:rPr>
        <w:t>[</w:t>
      </w:r>
      <w:r>
        <w:rPr>
          <w:rFonts w:ascii="Arial" w:hAnsi="Arial"/>
          <w:color w:val="181717"/>
          <w:sz w:val="20"/>
          <w:highlight w:val="cyan"/>
        </w:rPr>
        <w:t>Treppenaufgang, 2 Wohn-/ Schlafräume sowie Küche und Badezimmer</w:t>
      </w:r>
      <w:r>
        <w:rPr>
          <w:rFonts w:ascii="Arial" w:hAnsi="Arial"/>
          <w:color w:val="181717"/>
          <w:sz w:val="20"/>
        </w:rPr>
        <w:t>]</w:t>
      </w:r>
      <w:r>
        <w:rPr>
          <w:rFonts w:ascii="Arial" w:hAnsi="Arial"/>
          <w:color w:val="181717"/>
          <w:sz w:val="20"/>
        </w:rPr>
        <w:t xml:space="preserve"> besichtigt werden.</w:t>
      </w:r>
    </w:p>
    <w:p>
      <w:pPr>
        <w:pStyle w:val="Heading2"/>
        <w:ind w:left="0" w:firstLine="0" w:right="0"/>
      </w:pPr>
      <w:r/>
      <w:r>
        <w:rPr/>
        <w:t>1.6 Dokumente und Informationen zur Wertermittlung</w:t>
      </w:r>
    </w:p>
    <w:p>
      <w:pPr>
        <w:ind w:left="0" w:firstLine="0" w:right="0"/>
      </w:pPr>
      <w:r/>
      <w:r>
        <w:rPr>
          <w:rFonts w:ascii="Arial" w:hAnsi="Arial"/>
          <w:color w:val="181717"/>
          <w:sz w:val="20"/>
        </w:rPr>
        <w:t>Für die Bewertung wurden, neben der obligatorischen Prüfung der allgemeinen und lagespezifischen Rechtsgrundlagen, ebenfalls objektspezifische Unterlagen gesichtet und berücksichtigt. Diese Arbeit enthält eine tabellarische Übersicht zu den verwendeten Unterlagen in den Anlagen.</w:t>
      </w:r>
    </w:p>
    <w:p>
      <w:pPr>
        <w:ind w:left="0" w:firstLine="0" w:right="0"/>
      </w:pPr>
      <w:r/>
      <w:r>
        <w:rPr>
          <w:rFonts w:ascii="Arial" w:hAnsi="Arial"/>
          <w:color w:val="181717"/>
          <w:sz w:val="20"/>
        </w:rPr>
        <w:t>Auftrag – fortfahrend</w:t>
      </w:r>
    </w:p>
    <w:p>
      <w:pPr>
        <w:pStyle w:val="Heading2"/>
        <w:ind w:left="0" w:firstLine="0" w:right="0"/>
      </w:pPr>
      <w:r/>
      <w:r>
        <w:rPr/>
        <w:t>1.7 Nutzung des Bewertungsobjekts</w:t>
      </w:r>
    </w:p>
    <w:p>
      <w:pPr>
        <w:ind w:left="0" w:firstLine="0" w:right="0"/>
      </w:pPr>
      <w:r/>
      <w:r>
        <w:rPr>
          <w:rFonts w:ascii="Arial" w:hAnsi="Arial"/>
          <w:color w:val="181717"/>
          <w:sz w:val="20"/>
          <w:highlight w:val="cyan"/>
        </w:rPr>
        <w:t>[</w:t>
      </w:r>
      <w:r>
        <w:rPr>
          <w:rFonts w:ascii="Arial" w:hAnsi="Arial"/>
          <w:color w:val="181717"/>
          <w:sz w:val="20"/>
          <w:highlight w:val="cyan"/>
        </w:rPr>
        <w:t>Das Objekt ist zum Wertermittlungsstichtag vermietet</w:t>
      </w:r>
      <w:r>
        <w:rPr>
          <w:rFonts w:ascii="Arial" w:hAnsi="Arial"/>
          <w:color w:val="181717"/>
          <w:sz w:val="20"/>
        </w:rPr>
        <w:t>]</w:t>
      </w:r>
      <w:r>
        <w:rPr>
          <w:rFonts w:ascii="Arial" w:hAnsi="Arial"/>
          <w:color w:val="181717"/>
          <w:sz w:val="20"/>
        </w:rPr>
        <w:t>.</w:t>
      </w:r>
    </w:p>
    <w:p>
      <w:pPr>
        <w:pStyle w:val="Heading2"/>
        <w:ind w:left="0" w:firstLine="0" w:right="0"/>
      </w:pPr>
      <w:r/>
      <w:r>
        <w:rPr/>
        <w:t>1.8 Erläuterungen zum Umfang</w:t>
      </w:r>
    </w:p>
    <w:p>
      <w:pPr>
        <w:ind w:left="0" w:firstLine="0" w:right="0"/>
      </w:pPr>
      <w:r/>
      <w:r>
        <w:rPr>
          <w:rFonts w:ascii="Arial" w:hAnsi="Arial"/>
          <w:color w:val="181717"/>
          <w:sz w:val="20"/>
        </w:rPr>
        <w:t>Im Rahmen dieses Gutachtens zur Feststellung der Restnutzungsdauer werden alle relevanten</w:t>
      </w:r>
      <w:r>
        <w:t xml:space="preserve"> </w:t>
      </w:r>
      <w:r>
        <w:rPr>
          <w:rFonts w:ascii="Arial" w:hAnsi="Arial"/>
          <w:color w:val="181717"/>
          <w:sz w:val="20"/>
        </w:rPr>
        <w:t>Umstände berücksichtigt, die die Sachverständige bei einer ordnungsgemäßen und zumutbaren</w:t>
      </w:r>
      <w:r>
        <w:t xml:space="preserve"> </w:t>
      </w:r>
      <w:r>
        <w:rPr>
          <w:rFonts w:ascii="Arial" w:hAnsi="Arial"/>
          <w:color w:val="181717"/>
          <w:sz w:val="20"/>
        </w:rPr>
        <w:t>Erforschung der Sachverhalte erkennen und bewerten konnte. Die Sachverständige führt keine</w:t>
      </w:r>
      <w:r>
        <w:t xml:space="preserve"> </w:t>
      </w:r>
      <w:r>
        <w:rPr>
          <w:rFonts w:ascii="Arial" w:hAnsi="Arial"/>
          <w:color w:val="181717"/>
          <w:sz w:val="20"/>
        </w:rPr>
        <w:t>Untersuchungen durch, die eine Beschädigung oder Zerstörung von Bauteilen zur Folge hat. Die</w:t>
      </w:r>
      <w:r>
        <w:t xml:space="preserve"> </w:t>
      </w:r>
      <w:r>
        <w:rPr>
          <w:rFonts w:ascii="Arial" w:hAnsi="Arial"/>
          <w:color w:val="181717"/>
          <w:sz w:val="20"/>
        </w:rPr>
        <w:t>Sachverständige führt keine Untersuchungen durch, die eine Beschädigung oder Zerstörung von Bauteilen zur Folge hat. Der Zustand nicht sichtbarer Bauteile wird daher anhand von Auskünften des Auftraggebers, Unterlagen oder durch Einschätzung der Sachverständigen ermittelt.</w:t>
      </w:r>
    </w:p>
    <w:p>
      <w:pPr>
        <w:pStyle w:val="Heading2"/>
        <w:ind w:left="0" w:firstLine="0" w:right="0"/>
      </w:pPr>
      <w:r/>
      <w:r>
        <w:rPr/>
        <w:t>1.9 Hinweis</w:t>
      </w:r>
    </w:p>
    <w:p>
      <w:pPr>
        <w:ind w:left="0" w:firstLine="0" w:right="0"/>
      </w:pPr>
      <w:r/>
      <w:r>
        <w:rPr>
          <w:rFonts w:ascii="Arial" w:hAnsi="Arial"/>
          <w:color w:val="181717"/>
          <w:sz w:val="20"/>
        </w:rPr>
        <w:t>Die obigen Ausführungen sind allgemeine Informationen und dürfen weder als Steuer- noch als Rechtsberatung verstanden werden.</w:t>
      </w:r>
      <w:r>
        <w:rPr/>
      </w:r>
    </w:p>
    <w:p>
      <w:pPr>
        <w:pStyle w:val="Heading1"/>
        <w:ind w:left="0" w:firstLine="0" w:right="0"/>
      </w:pPr>
      <w:r/>
      <w:r>
        <w:rPr/>
        <w:t>2.</w:t>
      </w:r>
      <w:r>
        <w:rPr/>
        <w:t xml:space="preserve"> Bauliche Anlagen</w:t>
      </w:r>
    </w:p>
    <w:p>
      <w:pPr>
        <w:pStyle w:val="Heading1"/>
        <w:ind w:left="0" w:firstLine="0" w:right="0"/>
      </w:pPr>
      <w:r/>
      <w:r>
        <w:rPr/>
        <w:t>2.</w:t>
      </w:r>
      <w:r>
        <w:rPr/>
        <w:t xml:space="preserve"> Bauliche Anlagen – Beschreibung</w:t>
      </w:r>
    </w:p>
    <w:p>
      <w:pPr>
        <w:ind w:left="0" w:firstLine="0" w:right="0"/>
      </w:pPr>
      <w:r/>
      <w:r>
        <w:rPr>
          <w:rFonts w:ascii="Arial" w:hAnsi="Arial"/>
          <w:color w:val="181717"/>
          <w:sz w:val="20"/>
        </w:rPr>
        <w:t>– Beschreibung des Gebäudes, der Außenanlagen, der Nutzung –</w:t>
      </w:r>
    </w:p>
    <w:p>
      <w:pPr>
        <w:pStyle w:val="Heading2"/>
        <w:ind w:left="0" w:firstLine="0" w:right="0"/>
      </w:pPr>
      <w:r/>
      <w:r>
        <w:rPr/>
        <w:t>2.1 Allgemeiner Hinweis zur Gebäudebeschreibung</w:t>
      </w:r>
    </w:p>
    <w:p>
      <w:pPr>
        <w:ind w:left="0" w:firstLine="0" w:right="0"/>
      </w:pPr>
      <w:r/>
      <w:r>
        <w:rPr>
          <w:rFonts w:ascii="Arial" w:hAnsi="Arial"/>
          <w:color w:val="181717"/>
          <w:sz w:val="20"/>
        </w:rPr>
        <w:t>Grundlage der Gebäudebeschreibungen sind die Erhebungen im Rahmen der Ortsbesichtigung, die zur Verfügung gestellten bzw. beschafften Unterlagen sowie erteilte Auskünfte (vgl. hierzu auch Fotodokumentation in den Anlagen zu dieser Arbeit).</w:t>
      </w:r>
    </w:p>
    <w:p>
      <w:pPr>
        <w:ind w:left="0" w:firstLine="0" w:right="0"/>
      </w:pPr>
      <w:r/>
      <w:r>
        <w:rPr>
          <w:rFonts w:ascii="Arial" w:hAnsi="Arial"/>
          <w:color w:val="181717"/>
          <w:sz w:val="20"/>
        </w:rPr>
        <w:t>Hierbei werden die offensichtlichen und vorherrschenden Bedingungen und Ausstattungen beschrieben. In einzelnen Bereichen können jedoch Abweichungen von diesen Beschreibungen auftreten. Angaben über nicht sichtbare Bauteile beruhen auf den vorliegenden Unterlagen, Hinweisen während der Ortsbesichtigung bzw. Annahmen auf Grundlage der üblichen, baujahrestypischen Ausführungen.</w:t>
      </w:r>
    </w:p>
    <w:p>
      <w:pPr>
        <w:ind w:left="0" w:firstLine="0" w:right="0"/>
      </w:pPr>
      <w:r/>
      <w:r>
        <w:rPr>
          <w:rFonts w:ascii="Arial" w:hAnsi="Arial"/>
          <w:color w:val="181717"/>
          <w:sz w:val="20"/>
        </w:rPr>
        <w:t>Die Funktionsfähigkeit einzelner Bauteile und Anlagen sowie der technischen Ausstattungen und Installationen wurden nicht geprüft. Die Funktionsfähigkeit wird im Gutachten unterstellt.</w:t>
      </w:r>
    </w:p>
    <w:p>
      <w:pPr>
        <w:ind w:left="0" w:firstLine="0" w:right="0"/>
      </w:pPr>
      <w:r/>
      <w:r>
        <w:rPr>
          <w:rFonts w:ascii="Arial" w:hAnsi="Arial"/>
          <w:color w:val="181717"/>
          <w:sz w:val="20"/>
        </w:rPr>
        <w:t xml:space="preserve">Bautechnische Beanstandungen wurden lediglich </w:t>
      </w:r>
      <w:r>
        <w:rPr>
          <w:rFonts w:ascii="Arial" w:hAnsi="Arial"/>
          <w:color w:val="181717"/>
          <w:sz w:val="20"/>
        </w:rPr>
        <w:t>soweit</w:t>
      </w:r>
      <w:r>
        <w:rPr>
          <w:rFonts w:ascii="Arial" w:hAnsi="Arial"/>
          <w:color w:val="181717"/>
          <w:sz w:val="20"/>
        </w:rPr>
        <w:t xml:space="preserve"> aufgenommen, wie sie im Rahmen der</w:t>
      </w:r>
      <w:r>
        <w:rPr>
          <w:rFonts w:ascii="Arial" w:hAnsi="Arial"/>
          <w:color w:val="181717"/>
          <w:sz w:val="20"/>
        </w:rPr>
        <w:t xml:space="preserve"> </w:t>
      </w:r>
      <w:r>
        <w:rPr>
          <w:rFonts w:ascii="Arial" w:hAnsi="Arial"/>
          <w:color w:val="181717"/>
          <w:sz w:val="20"/>
        </w:rPr>
        <w:t>Ortsbesichtigung zerstörungsfrei (d.h. offensichtlich und augenscheinlich) erkennbar waren. Die</w:t>
      </w:r>
      <w:r>
        <w:t xml:space="preserve"> </w:t>
      </w:r>
      <w:r>
        <w:rPr>
          <w:rFonts w:ascii="Arial" w:hAnsi="Arial"/>
          <w:color w:val="181717"/>
          <w:sz w:val="20"/>
        </w:rPr>
        <w:t>Auswirkungen ggf. vorhandener bautechnischer Beanstandungen auf den Verkehrswert sind im Rahmen dieses Gutachtens nur pauschal berücksichtigt worden.</w:t>
      </w:r>
    </w:p>
    <w:p>
      <w:pPr>
        <w:ind w:left="0" w:firstLine="0" w:right="0"/>
      </w:pPr>
      <w:r/>
      <w:r>
        <w:rPr>
          <w:rFonts w:ascii="Arial" w:hAnsi="Arial"/>
          <w:color w:val="181717"/>
          <w:sz w:val="20"/>
        </w:rPr>
        <w:t>Ebenfalls sind über den Augenschein hinausgehende Untersuchungen auf pflanzliche und/oder tierische Schädlinge sowie auf gesundheitsschädliche Baumaterialien nicht durchgeführt worden. Sofern hierzu genauere Aufstellungen gewünscht werden, wird empfohlen, eine diesbezüglich vertiefende Untersuchung durch einen Sachverständigen für Schäden an Gebäuden bzw. aus dem entsprechenden Gewerk vornehmen zu lassen.</w:t>
      </w:r>
    </w:p>
    <w:p>
      <w:pPr>
        <w:pStyle w:val="Heading2"/>
        <w:ind w:left="0" w:firstLine="0" w:right="0"/>
      </w:pPr>
      <w:r/>
      <w:r>
        <w:rPr/>
        <w:t xml:space="preserve">2.2 Struktur und Nutzung </w:t>
      </w:r>
      <w:r>
        <w:rPr/>
        <w:t>des Gebäude</w:t>
      </w:r>
    </w:p>
    <w:p>
      <w:pPr>
        <w:ind w:left="0" w:firstLine="0" w:right="0"/>
      </w:pPr>
      <w:r/>
      <w:r>
        <w:rPr>
          <w:rFonts w:ascii="Arial" w:hAnsi="Arial"/>
          <w:color w:val="181717"/>
          <w:sz w:val="20"/>
        </w:rPr>
        <w:t>[</w:t>
      </w:r>
      <w:r>
        <w:rPr>
          <w:rFonts w:ascii="Arial" w:hAnsi="Arial"/>
          <w:color w:val="181717"/>
          <w:sz w:val="20"/>
          <w:highlight w:val="cyan"/>
        </w:rPr>
        <w:t>Wohnwirtschaftliche Nutzung des gesamten Gebäudes</w:t>
      </w:r>
      <w:r>
        <w:rPr>
          <w:rFonts w:ascii="Arial" w:hAnsi="Arial"/>
          <w:color w:val="181717"/>
          <w:sz w:val="20"/>
        </w:rPr>
        <w:t>]</w:t>
      </w:r>
      <w:r>
        <w:rPr>
          <w:rFonts w:ascii="Arial" w:hAnsi="Arial"/>
          <w:color w:val="181717"/>
          <w:sz w:val="20"/>
        </w:rPr>
        <w:t>.</w:t>
      </w:r>
    </w:p>
    <w:p>
      <w:pPr>
        <w:pStyle w:val="Heading2"/>
        <w:ind w:left="0" w:firstLine="0" w:right="0"/>
      </w:pPr>
      <w:r/>
      <w:r>
        <w:rPr/>
        <w:t>2.3 Vertikale Erschließung und Nutzung der Geschosse</w:t>
      </w:r>
    </w:p>
    <w:p>
      <w:pPr>
        <w:ind w:left="0" w:firstLine="0" w:right="0"/>
      </w:pPr>
      <w:r/>
      <w:r>
        <w:rPr>
          <w:rFonts w:ascii="Arial" w:hAnsi="Arial"/>
          <w:color w:val="181717"/>
          <w:sz w:val="20"/>
        </w:rPr>
        <w:t>[</w:t>
      </w:r>
      <w:r>
        <w:rPr>
          <w:rFonts w:ascii="Arial" w:hAnsi="Arial"/>
          <w:color w:val="181717"/>
          <w:sz w:val="20"/>
          <w:highlight w:val="cyan"/>
        </w:rPr>
        <w:t>Die vertikale Erschließung aller Etagen des Gebäudes, erfolgt über das Treppenhaus. Ein Aufzug ist nicht vorhanden.</w:t>
      </w:r>
      <w:r>
        <w:rPr>
          <w:rFonts w:ascii="Arial" w:hAnsi="Arial"/>
          <w:color w:val="181717"/>
          <w:sz w:val="20"/>
        </w:rPr>
        <w:t>]</w:t>
      </w:r>
    </w:p>
    <w:p>
      <w:pPr>
        <w:pStyle w:val="Heading2"/>
        <w:ind w:left="0" w:firstLine="0" w:right="0"/>
      </w:pPr>
      <w:r/>
      <w:r>
        <w:rPr/>
        <w:t>2.4 Bauzustand und Beurteilung des Objektes</w:t>
      </w:r>
    </w:p>
    <w:p>
      <w:pPr>
        <w:ind w:left="0" w:firstLine="0" w:right="0"/>
      </w:pPr>
      <w:r/>
      <w:r>
        <w:rPr>
          <w:rFonts w:ascii="Arial" w:hAnsi="Arial"/>
          <w:color w:val="181717"/>
          <w:sz w:val="20"/>
        </w:rPr>
        <w:t>[</w:t>
      </w:r>
      <w:r>
        <w:rPr>
          <w:rFonts w:ascii="Arial" w:hAnsi="Arial"/>
          <w:color w:val="181717"/>
          <w:sz w:val="20"/>
          <w:highlight w:val="cyan"/>
        </w:rPr>
        <w:t>Insgesamt kann festgestellt werden, dass der Zustand des Wertermittlungsobjektes auch unter</w:t>
      </w:r>
    </w:p>
    <w:p>
      <w:pPr>
        <w:ind w:left="0" w:firstLine="0" w:right="0"/>
      </w:pPr>
      <w:r/>
      <w:r>
        <w:rPr>
          <w:rFonts w:ascii="Arial" w:hAnsi="Arial"/>
          <w:color w:val="181717"/>
          <w:sz w:val="20"/>
          <w:highlight w:val="cyan"/>
        </w:rPr>
        <w:t>Berücksichtigung der einfachen Modernisierungsmaßnahmen im Zuge der ersichtlich laufenden Instandhaltung als nicht mehr zeitgemäß zu beurteilen ist. Eine energetische Sanierung ist in Betracht zu ziehen.</w:t>
      </w:r>
    </w:p>
    <w:p>
      <w:pPr>
        <w:ind w:left="0" w:firstLine="0" w:right="0"/>
      </w:pPr>
      <w:r/>
      <w:r>
        <w:rPr>
          <w:rFonts w:ascii="Arial" w:hAnsi="Arial"/>
          <w:color w:val="181717"/>
          <w:sz w:val="20"/>
          <w:highlight w:val="cyan"/>
        </w:rPr>
        <w:t>Die Allgemeinbereiche und die Erschließung des Objektes sind mittelmäßig und dem Niveau des Objektes entsprechend. Die Außenanlagen befinden sich einem einfachen Zustand. Wesentliche</w:t>
      </w:r>
      <w:r>
        <w:t xml:space="preserve"> </w:t>
      </w:r>
      <w:r>
        <w:rPr>
          <w:rFonts w:ascii="Arial" w:hAnsi="Arial"/>
          <w:color w:val="181717"/>
          <w:sz w:val="20"/>
          <w:highlight w:val="cyan"/>
        </w:rPr>
        <w:t>Schäden an den baulichen Anlagen sind aus der Ortsbesichtigung nicht ersichtlich. Ein</w:t>
      </w:r>
      <w:r>
        <w:t xml:space="preserve"> </w:t>
      </w:r>
      <w:r>
        <w:rPr>
          <w:rFonts w:ascii="Arial" w:hAnsi="Arial"/>
          <w:color w:val="181717"/>
          <w:sz w:val="20"/>
          <w:highlight w:val="cyan"/>
        </w:rPr>
        <w:t>Instandhaltungsstau ist erkennbar, jedoch bereits über die kurze Restnutzungsdauer abgebildet.</w:t>
      </w:r>
      <w:r>
        <w:rPr>
          <w:rFonts w:ascii="Arial" w:hAnsi="Arial"/>
          <w:color w:val="181717"/>
          <w:sz w:val="20"/>
        </w:rPr>
        <w:t>]</w:t>
      </w:r>
    </w:p>
    <w:p>
      <w:pPr>
        <w:pStyle w:val="Heading2"/>
        <w:ind w:left="0" w:firstLine="0" w:right="0"/>
      </w:pPr>
      <w:r/>
      <w:r>
        <w:rPr/>
        <w:t>2.5 Energetische Eigenschaften des Gebäudes</w:t>
      </w:r>
    </w:p>
    <w:p>
      <w:pPr>
        <w:ind w:left="0" w:firstLine="0" w:right="0"/>
      </w:pPr>
      <w:r/>
      <w:r>
        <w:rPr>
          <w:rFonts w:ascii="Arial" w:hAnsi="Arial"/>
          <w:color w:val="181717"/>
          <w:sz w:val="20"/>
        </w:rPr>
        <w:t>Bei Bedarfsausweisen der Effizienzklasse F bis inkl. G von 160 bis 250 kWh/( m²a) und Verbrauchsausweisen der Effizienzklasse E bis inkl. F von 130 bis 200 kWh/( m²a) bedarf es der Überprüfung eines möglichen negativen Einflusses auf die zukünftige Entwicklung der Immobilie.</w:t>
      </w:r>
    </w:p>
    <w:p>
      <w:pPr>
        <w:ind w:left="0" w:firstLine="0" w:right="0"/>
      </w:pPr>
      <w:r/>
      <w:r>
        <w:rPr>
          <w:rFonts w:ascii="Arial" w:hAnsi="Arial"/>
          <w:color w:val="181717"/>
          <w:sz w:val="20"/>
        </w:rPr>
        <w:t>Bedarfsausweis A     +     bis inkl. E von 0 bis 160 kWh</w:t>
      </w:r>
      <w:r>
        <w:rPr>
          <w:rFonts w:ascii="Arial" w:hAnsi="Arial"/>
          <w:color w:val="181717"/>
          <w:sz w:val="20"/>
        </w:rPr>
        <w:t>/( m</w:t>
      </w:r>
      <w:r>
        <w:rPr>
          <w:rFonts w:ascii="Arial" w:hAnsi="Arial"/>
          <w:color w:val="181717"/>
          <w:sz w:val="20"/>
        </w:rPr>
        <w:t>²a)</w:t>
      </w:r>
      <w:r>
        <w:t xml:space="preserve"> </w:t>
      </w:r>
      <w:r>
        <w:rPr>
          <w:rFonts w:ascii="Arial" w:hAnsi="Arial"/>
          <w:color w:val="181717"/>
          <w:sz w:val="20"/>
        </w:rPr>
        <w:t>Verbrauchsausweis A     +     bis inkl. D von 0 bis 130 kWh</w:t>
      </w:r>
      <w:r>
        <w:rPr>
          <w:rFonts w:ascii="Arial" w:hAnsi="Arial"/>
          <w:color w:val="181717"/>
          <w:sz w:val="20"/>
        </w:rPr>
        <w:t>/( m</w:t>
      </w:r>
      <w:r>
        <w:rPr>
          <w:rFonts w:ascii="Arial" w:hAnsi="Arial"/>
          <w:color w:val="181717"/>
          <w:sz w:val="20"/>
        </w:rPr>
        <w:t>²a)</w:t>
      </w:r>
    </w:p>
    <w:p>
      <w:pPr>
        <w:ind w:left="0" w:firstLine="0" w:right="0"/>
      </w:pPr>
      <w:r/>
      <w:r>
        <w:rPr>
          <w:rFonts w:ascii="Arial" w:hAnsi="Arial"/>
          <w:color w:val="181717"/>
          <w:sz w:val="20"/>
          <w:highlight w:val="cyan"/>
        </w:rPr>
        <w:t>[</w:t>
      </w:r>
      <w:r>
        <w:rPr>
          <w:rFonts w:ascii="Arial" w:hAnsi="Arial"/>
          <w:color w:val="181717"/>
          <w:sz w:val="20"/>
          <w:highlight w:val="cyan"/>
        </w:rPr>
        <w:t xml:space="preserve">Die Effizienzklasse D liegt gem. </w:t>
      </w:r>
      <w:r>
        <w:rPr>
          <w:rFonts w:ascii="Arial" w:hAnsi="Arial"/>
          <w:color w:val="181717"/>
          <w:sz w:val="20"/>
          <w:highlight w:val="cyan"/>
        </w:rPr>
        <w:t>HypZert</w:t>
      </w:r>
      <w:r>
        <w:rPr>
          <w:rFonts w:ascii="Arial" w:hAnsi="Arial"/>
          <w:color w:val="181717"/>
          <w:sz w:val="20"/>
          <w:highlight w:val="cyan"/>
        </w:rPr>
        <w:t xml:space="preserve"> Studie im Vertrauensbereich (A-D)</w:t>
      </w:r>
      <w:r>
        <w:rPr>
          <w:rFonts w:ascii="Arial" w:hAnsi="Arial"/>
          <w:color w:val="181717"/>
          <w:sz w:val="20"/>
        </w:rPr>
        <w:t>]</w:t>
      </w:r>
      <w:r>
        <w:rPr>
          <w:rFonts w:ascii="Arial" w:hAnsi="Arial"/>
          <w:color w:val="181717"/>
          <w:sz w:val="20"/>
        </w:rPr>
        <w:t>. Nach heutiger Wertanschauung hat dies einen positiven Einfluss auf die nachhaltige zukünftige Entwicklung der Immobilie.</w:t>
      </w:r>
    </w:p>
    <w:p>
      <w:pPr>
        <w:ind w:left="0" w:firstLine="0" w:right="0"/>
      </w:pPr>
      <w:r/>
      <w:r>
        <w:rPr>
          <w:rFonts w:ascii="Arial" w:hAnsi="Arial"/>
          <w:color w:val="181717"/>
          <w:sz w:val="20"/>
        </w:rPr>
        <w:t>Die angesetzten Wertparameter, insbesondere Restnutzungsdauer und Nachhaltigkeitsfaktor wurden auf Angemessenheit überprüft und erforderlichenfalls angepasst. Die Effizienzklasse wurde somit hinreichend bei der Wertermittlung berücksichtigt.</w:t>
      </w:r>
    </w:p>
    <w:p>
      <w:pPr>
        <w:pStyle w:val="Heading2"/>
        <w:ind w:left="0" w:firstLine="0" w:right="0"/>
      </w:pPr>
      <w:r/>
      <w:r>
        <w:rPr/>
        <w:t>2.6 Alterswertminderung</w:t>
      </w:r>
    </w:p>
    <w:p>
      <w:pPr>
        <w:ind w:left="0" w:firstLine="0" w:right="0"/>
      </w:pPr>
      <w:r/>
      <w:r>
        <w:rPr>
          <w:rFonts w:ascii="Arial" w:hAnsi="Arial"/>
          <w:color w:val="181717"/>
          <w:sz w:val="20"/>
        </w:rPr>
        <w:t>Die Alterswertminderung beschreibt den Wertverlust einer Immobilie, der sich unvermeidbar mit zunehmendem Alter einstellt. Sie ist Folge des Verschleißes und der technischen Abnutzung der</w:t>
      </w:r>
      <w:r>
        <w:t xml:space="preserve"> </w:t>
      </w:r>
      <w:r>
        <w:rPr>
          <w:rFonts w:ascii="Arial" w:hAnsi="Arial"/>
          <w:color w:val="181717"/>
          <w:sz w:val="20"/>
        </w:rPr>
        <w:t>Bausubstanz sowie der allgemeinen Wertentwicklung von Immobilien im Laufe der Zeit. Die Alterswertminderung wird anhand der Restnutzungsdauer der Immobilie berechnet. Diese gibt an, wie viele Jahre die Immobilie voraussichtlich noch genutzt werden kann.</w:t>
      </w:r>
    </w:p>
    <w:p>
      <w:pPr>
        <w:pStyle w:val="Heading2"/>
        <w:ind w:left="0" w:firstLine="0" w:right="0"/>
      </w:pPr>
      <w:r/>
      <w:r>
        <w:rPr/>
        <w:t>2.7 Abgrenzung von Alterswertminderung und Instandhaltungsstau</w:t>
      </w:r>
    </w:p>
    <w:p>
      <w:pPr>
        <w:ind w:left="0" w:firstLine="0" w:right="0"/>
      </w:pPr>
      <w:r/>
      <w:r>
        <w:rPr>
          <w:rFonts w:ascii="Arial" w:hAnsi="Arial"/>
          <w:color w:val="181717"/>
          <w:sz w:val="20"/>
        </w:rPr>
        <w:t>Alterswertminderung und Instandhaltungsstau sind zwei wichtige Faktoren, die bei der sachverständigen Bewertung von Immobilien den Wert mindern. Es ist jedoch wichtig, diese beiden Begriffe klar voneinander abzugrenzen, da sie unterschiedliche Auswirkungen auf die Bewertung haben. Die Alterswertminderung ist ein altersbedingter Wertverlust, der bei allen Immobilien eintritt. Der Instandhaltungsstau hingegen ist ein wertmindernder Faktor, der durch vernachlässigte Instandhaltung entsteht.</w:t>
      </w:r>
    </w:p>
    <w:p>
      <w:pPr>
        <w:ind w:left="0" w:firstLine="0" w:right="0"/>
      </w:pPr>
      <w:r/>
      <w:r>
        <w:rPr>
          <w:rFonts w:ascii="Arial" w:hAnsi="Arial"/>
          <w:color w:val="181717"/>
          <w:sz w:val="20"/>
        </w:rPr>
        <w:t>Bei der Immobilienbewertung müssen beide Faktoren berücksichtigt werden. Die</w:t>
      </w:r>
      <w:r>
        <w:t xml:space="preserve"> </w:t>
      </w:r>
      <w:r>
        <w:rPr>
          <w:rFonts w:ascii="Arial" w:hAnsi="Arial"/>
          <w:color w:val="181717"/>
          <w:sz w:val="20"/>
        </w:rPr>
        <w:t xml:space="preserve">Alterswertminderung wird anhand der Restnutzungsdauer berechnet, während die Wertminderung durch Instandhaltungsstau anhand der Kosten für die Beseitigung des </w:t>
      </w:r>
      <w:r>
        <w:rPr>
          <w:rFonts w:ascii="Arial" w:hAnsi="Arial"/>
          <w:color w:val="181717"/>
          <w:sz w:val="20"/>
        </w:rPr>
        <w:t>Rückstaus</w:t>
      </w:r>
      <w:r>
        <w:rPr>
          <w:rFonts w:ascii="Arial" w:hAnsi="Arial"/>
          <w:color w:val="181717"/>
          <w:sz w:val="20"/>
        </w:rPr>
        <w:t xml:space="preserve"> berechnet wird.</w:t>
      </w:r>
    </w:p>
    <w:p>
      <w:pPr>
        <w:pStyle w:val="Heading2"/>
        <w:ind w:left="0" w:firstLine="0" w:right="0"/>
      </w:pPr>
      <w:r/>
      <w:r>
        <w:rPr/>
        <w:t>2.8 Beurteilung des Instandhaltungszustand</w:t>
      </w:r>
    </w:p>
    <w:p>
      <w:pPr>
        <w:ind w:left="0" w:firstLine="0" w:right="0"/>
      </w:pPr>
      <w:r/>
      <w:r>
        <w:rPr>
          <w:rFonts w:ascii="Arial" w:hAnsi="Arial"/>
          <w:color w:val="181717"/>
          <w:sz w:val="20"/>
          <w:highlight w:val="cyan"/>
        </w:rPr>
        <w:t>[</w:t>
      </w:r>
      <w:r>
        <w:rPr>
          <w:rFonts w:ascii="Arial" w:hAnsi="Arial"/>
          <w:color w:val="181717"/>
          <w:sz w:val="20"/>
          <w:highlight w:val="cyan"/>
        </w:rPr>
        <w:t xml:space="preserve">Die baulichen Anlagen wurden nur in Maßen </w:t>
      </w:r>
      <w:r>
        <w:rPr>
          <w:rFonts w:ascii="Arial" w:hAnsi="Arial"/>
          <w:color w:val="181717"/>
          <w:sz w:val="20"/>
          <w:highlight w:val="cyan"/>
        </w:rPr>
        <w:t>instand gehalten</w:t>
      </w:r>
      <w:r>
        <w:rPr>
          <w:rFonts w:ascii="Arial" w:hAnsi="Arial"/>
          <w:color w:val="181717"/>
          <w:sz w:val="20"/>
          <w:highlight w:val="cyan"/>
        </w:rPr>
        <w:t xml:space="preserve"> (in Maßen, einfach, mittel überwiegend, vollständig)</w:t>
      </w:r>
      <w:r>
        <w:rPr>
          <w:rFonts w:ascii="Arial" w:hAnsi="Arial"/>
          <w:color w:val="181717"/>
          <w:sz w:val="20"/>
          <w:highlight w:val="cyan"/>
        </w:rPr>
        <w:t>. Das Sondereigentum</w:t>
      </w:r>
      <w:r>
        <w:rPr>
          <w:rFonts w:ascii="Arial" w:hAnsi="Arial"/>
          <w:color w:val="181717"/>
          <w:sz w:val="20"/>
          <w:highlight w:val="cyan"/>
        </w:rPr>
        <w:t xml:space="preserve"> / (Objekt)</w:t>
      </w:r>
      <w:r>
        <w:rPr>
          <w:rFonts w:ascii="Arial" w:hAnsi="Arial"/>
          <w:color w:val="181717"/>
          <w:sz w:val="20"/>
          <w:highlight w:val="cyan"/>
        </w:rPr>
        <w:t xml:space="preserve"> wurde </w:t>
      </w:r>
      <w:r>
        <w:rPr>
          <w:rFonts w:ascii="Arial" w:hAnsi="Arial"/>
          <w:color w:val="181717"/>
          <w:sz w:val="20"/>
          <w:highlight w:val="cyan"/>
        </w:rPr>
        <w:t>in 2022</w:t>
      </w:r>
      <w:r>
        <w:rPr>
          <w:rFonts w:ascii="Arial" w:hAnsi="Arial"/>
          <w:color w:val="181717"/>
          <w:sz w:val="20"/>
          <w:highlight w:val="cyan"/>
        </w:rPr>
        <w:t xml:space="preserve"> durch den Eigentümer modernisiert (Badezimmer, Elektrik, tlw. Bodenbelege).</w:t>
      </w:r>
      <w:r>
        <w:rPr>
          <w:rFonts w:ascii="Arial" w:hAnsi="Arial"/>
          <w:color w:val="181717"/>
          <w:sz w:val="20"/>
        </w:rPr>
        <w:t>]</w:t>
      </w:r>
      <w:r>
        <w:rPr>
          <w:rFonts w:ascii="Arial" w:hAnsi="Arial"/>
          <w:color w:val="181717"/>
          <w:sz w:val="20"/>
        </w:rPr>
        <w:t xml:space="preserve"> (Verweis auf Tabelle „Der Modernisierungsgrad ist der nachfolgenden Tabelle zu entnehmen.) </w:t>
      </w:r>
    </w:p>
    <w:p>
      <w:pPr>
        <w:ind w:left="0" w:firstLine="0" w:right="0"/>
      </w:pPr>
      <w:r/>
      <w:r>
        <w:rPr>
          <w:rFonts w:ascii="Arial" w:hAnsi="Arial"/>
          <w:color w:val="181717"/>
          <w:sz w:val="20"/>
        </w:rPr>
        <w:t xml:space="preserve">Die Bausubstanz stammt aus dem Jahr </w:t>
      </w:r>
      <w:r>
        <w:rPr>
          <w:rFonts w:ascii="Arial" w:hAnsi="Arial"/>
          <w:color w:val="181717"/>
          <w:sz w:val="20"/>
        </w:rPr>
        <w:t>{</w:t>
      </w:r>
      <w:r>
        <w:rPr>
          <w:rFonts w:ascii="Arial" w:hAnsi="Arial"/>
          <w:color w:val="181717"/>
          <w:sz w:val="20"/>
          <w:highlight w:val="yellow"/>
        </w:rPr>
        <w:t>1964</w:t>
      </w:r>
      <w:r>
        <w:rPr>
          <w:rFonts w:ascii="Arial" w:hAnsi="Arial"/>
          <w:color w:val="181717"/>
          <w:sz w:val="20"/>
        </w:rPr>
        <w:t>}</w:t>
      </w:r>
      <w:r>
        <w:rPr>
          <w:rFonts w:ascii="Arial" w:hAnsi="Arial"/>
          <w:color w:val="181717"/>
          <w:sz w:val="20"/>
        </w:rPr>
        <w:t xml:space="preserve">. Über die hier angesetzte Wertminderung wegen der Unterhaltungsrückstände hinaus, bestehen somit erhebliche Erneuerungs- bzw. Sanierungsrisiken. </w:t>
      </w:r>
      <w:r>
        <w:rPr>
          <w:rFonts w:ascii="Arial" w:hAnsi="Arial"/>
          <w:color w:val="181717"/>
          <w:sz w:val="20"/>
        </w:rPr>
        <w:t>Hier sind vor allem die zukünftigen Änderungen des Gebäude-</w:t>
      </w:r>
      <w:r>
        <w:rPr>
          <w:rFonts w:ascii="Arial" w:hAnsi="Arial"/>
          <w:color w:val="181717"/>
          <w:sz w:val="20"/>
        </w:rPr>
        <w:t>EnergieGesetzes</w:t>
      </w:r>
      <w:r>
        <w:rPr>
          <w:rFonts w:ascii="Arial" w:hAnsi="Arial"/>
          <w:color w:val="181717"/>
          <w:sz w:val="20"/>
        </w:rPr>
        <w:t xml:space="preserve"> zu bedenken, wonach größere Investitionen auf die Gebäudeeigentümer zukommen können.</w:t>
      </w:r>
    </w:p>
    <w:p>
      <w:pPr>
        <w:ind w:left="0" w:firstLine="0" w:right="0"/>
      </w:pPr>
      <w:r/>
      <w:r>
        <w:rPr>
          <w:rFonts w:ascii="Arial" w:hAnsi="Arial"/>
          <w:color w:val="181717"/>
          <w:sz w:val="20"/>
          <w:highlight w:val="cyan"/>
        </w:rPr>
        <w:t>[</w:t>
      </w:r>
      <w:r>
        <w:rPr>
          <w:rFonts w:ascii="Arial" w:hAnsi="Arial"/>
          <w:color w:val="181717"/>
          <w:sz w:val="20"/>
          <w:highlight w:val="cyan"/>
        </w:rPr>
        <w:t xml:space="preserve">Die Wärmedämmung entspricht nicht den modernen Anforderungen. Die Energiekosten sind aufgrund der veralteten </w:t>
      </w:r>
      <w:r>
        <w:rPr>
          <w:rFonts w:ascii="Arial" w:hAnsi="Arial"/>
          <w:color w:val="181717"/>
          <w:sz w:val="20"/>
          <w:highlight w:val="cyan"/>
        </w:rPr>
        <w:t>Wärmedämmung verhältnismäßig</w:t>
      </w:r>
      <w:r>
        <w:rPr>
          <w:rFonts w:ascii="Arial" w:hAnsi="Arial"/>
          <w:color w:val="181717"/>
          <w:sz w:val="20"/>
          <w:highlight w:val="cyan"/>
        </w:rPr>
        <w:t xml:space="preserve"> hoch.</w:t>
      </w:r>
    </w:p>
    <w:p>
      <w:pPr>
        <w:ind w:left="0" w:firstLine="0" w:right="0"/>
      </w:pPr>
      <w:r/>
      <w:r>
        <w:rPr>
          <w:rFonts w:ascii="Arial" w:hAnsi="Arial"/>
          <w:color w:val="181717"/>
          <w:sz w:val="20"/>
          <w:highlight w:val="cyan"/>
        </w:rPr>
        <w:t>Das Haus ist nicht barrierefrei. Um eine Barrierefreiheit herzustellen, müssten größere Umbaumaßnahmen durchgeführt werden.</w:t>
      </w:r>
      <w:r>
        <w:rPr>
          <w:rFonts w:ascii="Arial" w:hAnsi="Arial"/>
          <w:color w:val="181717"/>
          <w:sz w:val="20"/>
        </w:rPr>
        <w:t>]</w:t>
      </w:r>
    </w:p>
    <w:p>
      <w:pPr>
        <w:pStyle w:val="Heading2"/>
        <w:ind w:left="0" w:firstLine="0" w:right="0"/>
      </w:pPr>
      <w:r/>
      <w:r>
        <w:rPr/>
        <w:t>2.9 Beurteilung der Modernisierungsmaßnahme</w:t>
      </w:r>
    </w:p>
    <w:p>
      <w:pPr>
        <w:ind w:left="0" w:firstLine="0" w:right="0"/>
      </w:pPr>
      <w:r/>
      <w:r>
        <w:rPr>
          <w:rFonts w:ascii="Arial" w:hAnsi="Arial"/>
          <w:color w:val="181717"/>
          <w:sz w:val="20"/>
        </w:rPr>
        <w:t>Modernisierungselement und Zeitraum</w:t>
      </w:r>
    </w:p>
    <w:p>
      <w:pPr>
        <w:ind w:left="0" w:firstLine="0" w:right="0"/>
      </w:pPr>
      <w:r/>
      <w:r>
        <w:rPr>
          <w:rFonts w:ascii="Arial" w:hAnsi="Arial"/>
          <w:color w:val="181717"/>
          <w:sz w:val="20"/>
          <w:highlight w:val="cyan"/>
        </w:rPr>
        <w:t>Dacherneuerung inkl. Wärmedämmung: Dämmung des Dachbodens</w:t>
      </w:r>
      <w:r>
        <w:t xml:space="preserve"> </w:t>
      </w:r>
      <w:r>
        <w:rPr>
          <w:rFonts w:ascii="Arial" w:hAnsi="Arial"/>
          <w:color w:val="181717"/>
          <w:sz w:val="20"/>
          <w:highlight w:val="cyan"/>
        </w:rPr>
        <w:t>Modernisierung der Fenster: laufender Austausch der Fenster/ unterschiedliche Baujahre</w:t>
      </w:r>
      <w:r>
        <w:t xml:space="preserve"> </w:t>
      </w:r>
      <w:r>
        <w:rPr>
          <w:rFonts w:ascii="Arial" w:hAnsi="Arial"/>
          <w:color w:val="181717"/>
          <w:sz w:val="20"/>
          <w:highlight w:val="cyan"/>
        </w:rPr>
        <w:t>Modernisierung der Leitungssysteme: -/ Erneuerung der Elektrik ausschließlich im Sondereigentum</w:t>
      </w:r>
      <w:r>
        <w:t xml:space="preserve"> </w:t>
      </w:r>
      <w:r>
        <w:rPr>
          <w:rFonts w:ascii="Arial" w:hAnsi="Arial"/>
          <w:color w:val="181717"/>
          <w:sz w:val="20"/>
          <w:highlight w:val="cyan"/>
        </w:rPr>
        <w:t>Modernisierung der Heizungsanlage: 2012</w:t>
      </w:r>
      <w:r>
        <w:t xml:space="preserve"> </w:t>
      </w:r>
      <w:r>
        <w:rPr>
          <w:rFonts w:ascii="Arial" w:hAnsi="Arial"/>
          <w:color w:val="181717"/>
          <w:sz w:val="20"/>
          <w:highlight w:val="cyan"/>
        </w:rPr>
        <w:t>Wärmedämmung der Außenwände: nicht stattgefunden (nur Anstrich)</w:t>
      </w:r>
      <w:r>
        <w:t xml:space="preserve"> </w:t>
      </w:r>
      <w:r>
        <w:rPr>
          <w:rFonts w:ascii="Arial" w:hAnsi="Arial"/>
          <w:color w:val="181717"/>
          <w:sz w:val="20"/>
          <w:highlight w:val="cyan"/>
        </w:rPr>
        <w:t>Modernisierung der Bäder: 2022 (im Sondereigentum)</w:t>
      </w:r>
      <w:r>
        <w:t xml:space="preserve"> </w:t>
      </w:r>
      <w:r>
        <w:rPr>
          <w:rFonts w:ascii="Arial" w:hAnsi="Arial"/>
          <w:color w:val="181717"/>
          <w:sz w:val="20"/>
          <w:highlight w:val="cyan"/>
        </w:rPr>
        <w:t>Modernisierung des Innenausbaus: tlw. 2022</w:t>
      </w:r>
      <w:r>
        <w:t xml:space="preserve"> </w:t>
      </w:r>
      <w:r>
        <w:rPr>
          <w:rFonts w:ascii="Arial" w:hAnsi="Arial"/>
          <w:color w:val="181717"/>
          <w:sz w:val="20"/>
          <w:highlight w:val="cyan"/>
        </w:rPr>
        <w:t>Wesentliche Verbesserung der Grundrissgestaltung: -</w:t>
      </w:r>
    </w:p>
    <w:p>
      <w:pPr>
        <w:pStyle w:val="Heading2"/>
        <w:ind w:left="0" w:firstLine="0" w:right="0"/>
      </w:pPr>
      <w:r/>
      <w:r>
        <w:rPr/>
        <w:t>2.10 Beurteilung der Grundrissqualität</w:t>
      </w:r>
    </w:p>
    <w:p>
      <w:pPr>
        <w:ind w:left="0" w:firstLine="0" w:right="0"/>
      </w:pPr>
      <w:r/>
      <w:r>
        <w:rPr>
          <w:rFonts w:ascii="Arial" w:hAnsi="Arial"/>
          <w:color w:val="181717"/>
          <w:sz w:val="20"/>
          <w:highlight w:val="cyan"/>
        </w:rPr>
        <w:t>Die Qualität des Grundrisses ist als zweckmäßig zu bezeichnen.</w:t>
      </w:r>
    </w:p>
    <w:p>
      <w:pPr>
        <w:pStyle w:val="Heading2"/>
        <w:ind w:left="0" w:firstLine="0" w:right="0"/>
      </w:pPr>
      <w:r/>
      <w:r>
        <w:rPr/>
        <w:t>2.11 Barrierefreiheit</w:t>
      </w:r>
    </w:p>
    <w:p>
      <w:pPr>
        <w:ind w:left="0" w:firstLine="0" w:right="0"/>
      </w:pPr>
      <w:r/>
      <w:r>
        <w:rPr>
          <w:rFonts w:ascii="Arial" w:hAnsi="Arial"/>
          <w:color w:val="181717"/>
          <w:sz w:val="20"/>
          <w:highlight w:val="cyan"/>
        </w:rPr>
        <w:t>Nicht barrierefrei</w:t>
      </w:r>
    </w:p>
    <w:p>
      <w:pPr>
        <w:pStyle w:val="Heading2"/>
        <w:ind w:left="0" w:firstLine="0" w:right="0"/>
      </w:pPr>
      <w:r/>
      <w:r>
        <w:rPr>
          <w:highlight w:val="cyan"/>
        </w:rPr>
        <w:t xml:space="preserve">2.12 Beurteilung der Belichtungsverhältnisse </w:t>
      </w:r>
    </w:p>
    <w:p>
      <w:pPr>
        <w:ind w:left="0" w:firstLine="0" w:right="0"/>
      </w:pPr>
      <w:r/>
      <w:r>
        <w:rPr>
          <w:rFonts w:ascii="Arial" w:hAnsi="Arial"/>
          <w:color w:val="181717"/>
          <w:sz w:val="20"/>
          <w:highlight w:val="cyan"/>
        </w:rPr>
        <w:t>Die Belichtungsverhältnisse sind einwandfrei.</w:t>
      </w:r>
    </w:p>
    <w:p>
      <w:pPr>
        <w:pStyle w:val="Heading2"/>
        <w:ind w:left="0" w:firstLine="0" w:right="0"/>
      </w:pPr>
      <w:r/>
      <w:r>
        <w:rPr/>
        <w:t>2.1</w:t>
      </w:r>
      <w:r>
        <w:rPr/>
        <w:t>3</w:t>
      </w:r>
      <w:r>
        <w:rPr/>
        <w:t xml:space="preserve"> Flächen und sonstige Kennzahlen</w:t>
      </w:r>
    </w:p>
    <w:p>
      <w:pPr>
        <w:ind w:left="0" w:firstLine="0" w:right="0"/>
      </w:pPr>
      <w:r/>
      <w:r>
        <w:rPr>
          <w:rFonts w:ascii="Arial" w:hAnsi="Arial"/>
          <w:color w:val="181717"/>
          <w:sz w:val="20"/>
        </w:rPr>
        <w:t>Die Berechnung der Flächen erfolgt auf Grund der vorliegenden Unterlagen. Die darin angegebenen Werte wurden vor Ort überschlägig geprüft, bzw. auf Grundlage der vorhandenen Unterlagen überschlägig mit für die Wertermittlung hinreichender Genauigkeit ermittelt.</w:t>
      </w:r>
    </w:p>
    <w:p>
      <w:pPr>
        <w:pStyle w:val="Heading2"/>
        <w:ind w:left="0" w:firstLine="0" w:right="0"/>
      </w:pPr>
      <w:r/>
      <w:r>
        <w:rPr/>
        <w:t>2.1</w:t>
      </w:r>
      <w:r>
        <w:rPr/>
        <w:t>4</w:t>
      </w:r>
      <w:r>
        <w:rPr/>
        <w:t xml:space="preserve"> Bautechnische Beanstandungen</w:t>
      </w:r>
    </w:p>
    <w:p>
      <w:pPr>
        <w:ind w:left="0" w:firstLine="0" w:right="0"/>
      </w:pPr>
      <w:r/>
      <w:r>
        <w:rPr>
          <w:rFonts w:ascii="Arial" w:hAnsi="Arial"/>
          <w:color w:val="181717"/>
          <w:sz w:val="20"/>
          <w:highlight w:val="cyan"/>
        </w:rPr>
        <w:t>(Bei der Besichtigung wurde festgestellt, dass an den Außenwänden im Wohnzimmer sowie am Balkon Feuchtigkeitsschäden an der Decke vorhanden sind. Augenscheinlich dringt Feuchtigkeit von außen ein.)</w:t>
      </w:r>
    </w:p>
    <w:p/>
    <w:p>
      <w:pPr>
        <w:ind w:left="0" w:firstLine="0" w:right="0"/>
      </w:pPr>
      <w:r/>
      <w:r>
        <w:rPr>
          <w:rFonts w:ascii="Arial" w:hAnsi="Arial"/>
          <w:color w:val="181717"/>
          <w:sz w:val="20"/>
        </w:rPr>
        <w:t>Weitere Bautechnische Beanstandungen konnten während des Ortstermins nicht festgestellt werden. Die Aufstellung der bautechnischen Beanstandungen erhebt nicht den Anspruch auf Vollständigkeit, da das vorliegende Gutachten kein qualifiziertes Bauschadensgutachten ersetzen soll und kann.</w:t>
      </w:r>
    </w:p>
    <w:p>
      <w:pPr>
        <w:pStyle w:val="Heading2"/>
        <w:ind w:left="0" w:firstLine="0" w:right="0"/>
      </w:pPr>
      <w:r/>
      <w:r>
        <w:rPr/>
        <w:t>2.1</w:t>
      </w:r>
      <w:r>
        <w:rPr/>
        <w:t>5</w:t>
      </w:r>
      <w:r>
        <w:rPr/>
        <w:t xml:space="preserve"> Tabellarische Auflistung der Gebäudemerkmale</w:t>
      </w:r>
    </w:p>
    <w:p>
      <w:pPr>
        <w:ind w:left="0" w:firstLine="0" w:right="0"/>
      </w:pPr>
      <w:r/>
      <w:r>
        <w:rPr>
          <w:rFonts w:ascii="Arial" w:hAnsi="Arial"/>
          <w:color w:val="181717"/>
          <w:sz w:val="20"/>
        </w:rPr>
        <w:t>In den Anlagen zu dieser Arbeit ist eine Aufstellung der wesentlichen Merkmale des Gebäudes hinzugefügt.</w:t>
      </w:r>
    </w:p>
    <w:p>
      <w:pPr>
        <w:ind w:left="0" w:firstLine="0" w:right="0"/>
      </w:pPr>
      <w:r/>
      <w:r>
        <w:rPr>
          <w:rFonts w:ascii="Arial" w:hAnsi="Arial"/>
          <w:color w:val="181717"/>
          <w:sz w:val="20"/>
        </w:rPr>
        <w:t>Bauliche Anlagen – fortfahrend</w:t>
      </w:r>
    </w:p>
    <w:p>
      <w:pPr>
        <w:pStyle w:val="Heading2"/>
        <w:ind w:left="0" w:firstLine="0" w:right="0"/>
      </w:pPr>
      <w:r/>
      <w:r>
        <w:rPr/>
        <w:t>2.1</w:t>
      </w:r>
      <w:r>
        <w:rPr/>
        <w:t>6</w:t>
      </w:r>
      <w:r>
        <w:rPr/>
        <w:t xml:space="preserve"> </w:t>
      </w:r>
      <w:r>
        <w:rPr/>
        <w:t>Allgemein</w:t>
      </w:r>
    </w:p>
    <w:p>
      <w:pPr>
        <w:ind w:left="0" w:firstLine="0" w:right="0"/>
      </w:pPr>
      <w:r/>
      <w:r>
        <w:rPr>
          <w:rFonts w:ascii="Arial" w:hAnsi="Arial"/>
          <w:color w:val="181717"/>
          <w:sz w:val="20"/>
        </w:rPr>
        <w:t>Beschreibung der baulichen Anlagen des Wertermittlungsobjekts, gegliedert nach Gebäude, technischer Gebäudeausstattung, Innenausbau und nach besonderen Bauteilen.</w:t>
      </w:r>
    </w:p>
    <w:p>
      <w:pPr>
        <w:pStyle w:val="Heading2"/>
        <w:ind w:left="0" w:firstLine="0" w:right="0"/>
      </w:pPr>
      <w:r/>
      <w:r>
        <w:rPr/>
        <w:t>2.1</w:t>
      </w:r>
      <w:r>
        <w:rPr/>
        <w:t>7</w:t>
      </w:r>
      <w:r>
        <w:rPr/>
        <w:t xml:space="preserve"> Gemeinschaftseigentum</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513"/>
        <w:gridCol w:w="4513"/>
      </w:tblGrid>
      <w:tr>
        <w:tc>
          <w:tcPr>
            <w:tcW w:type="dxa" w:w="4513"/>
          </w:tcPr>
          <w:p>
            <w:pPr>
              <w:spacing w:after="0" w:before="0"/>
            </w:pPr>
            <w:r/>
            <w:r>
              <w:rPr>
                <w:rFonts w:ascii="Arial" w:hAnsi="Arial"/>
                <w:color w:val="181717"/>
                <w:sz w:val="20"/>
                <w:highlight w:val="cyan"/>
              </w:rPr>
              <w:t>Gebäudeart:</w:t>
            </w:r>
          </w:p>
          <w:p>
            <w:pPr>
              <w:spacing w:after="0" w:before="0"/>
            </w:pPr>
          </w:p>
          <w:p>
            <w:pPr>
              <w:spacing w:after="0" w:before="0"/>
            </w:pPr>
            <w:r>
              <w:rPr>
                <w:color w:val="EE0000"/>
                <w:highlight w:val="cyan"/>
              </w:rPr>
              <w:t>Anzahl Einheiten</w:t>
            </w:r>
          </w:p>
        </w:tc>
        <w:tc>
          <w:tcPr>
            <w:tcW w:type="dxa" w:w="4513"/>
          </w:tcPr>
          <w:p>
            <w:pPr>
              <w:spacing w:after="0" w:before="0"/>
            </w:pPr>
            <w:r/>
            <w:r>
              <w:rPr>
                <w:rFonts w:ascii="Arial" w:hAnsi="Arial"/>
                <w:color w:val="181717"/>
                <w:sz w:val="20"/>
                <w:highlight w:val="cyan"/>
              </w:rPr>
              <w:t xml:space="preserve">Mehrfamilienhaus </w:t>
            </w:r>
          </w:p>
          <w:p>
            <w:pPr>
              <w:spacing w:after="0" w:before="0"/>
            </w:pPr>
          </w:p>
          <w:p>
            <w:pPr>
              <w:spacing w:after="0" w:before="0"/>
            </w:pPr>
            <w:r>
              <w:rPr>
                <w:rFonts w:ascii="Arial" w:hAnsi="Arial"/>
                <w:color w:val="EE0000"/>
                <w:sz w:val="20"/>
                <w:highlight w:val="cyan"/>
              </w:rPr>
              <w:t>28</w:t>
            </w:r>
          </w:p>
        </w:tc>
      </w:tr>
      <w:tr>
        <w:tc>
          <w:tcPr>
            <w:tcW w:type="dxa" w:w="4513"/>
          </w:tcPr>
          <w:p>
            <w:pPr>
              <w:spacing w:after="0" w:before="0"/>
            </w:pPr>
            <w:r/>
            <w:r>
              <w:rPr>
                <w:rFonts w:ascii="Arial" w:hAnsi="Arial"/>
                <w:color w:val="181717"/>
                <w:sz w:val="20"/>
                <w:highlight w:val="cyan"/>
              </w:rPr>
              <w:t>Baujahr:</w:t>
            </w:r>
          </w:p>
        </w:tc>
        <w:tc>
          <w:tcPr>
            <w:tcW w:type="dxa" w:w="4513"/>
          </w:tcPr>
          <w:p>
            <w:pPr>
              <w:spacing w:after="0" w:before="0"/>
            </w:pPr>
            <w:r/>
            <w:r>
              <w:rPr>
                <w:rFonts w:ascii="Arial" w:hAnsi="Arial"/>
                <w:color w:val="181717"/>
                <w:sz w:val="20"/>
                <w:highlight w:val="cyan"/>
              </w:rPr>
              <w:t>1964 (gem. vorliegendem Energieausweis)</w:t>
            </w:r>
          </w:p>
        </w:tc>
      </w:tr>
      <w:tr>
        <w:tc>
          <w:tcPr>
            <w:tcW w:type="dxa" w:w="4513"/>
          </w:tcPr>
          <w:p>
            <w:pPr>
              <w:spacing w:after="0" w:before="0"/>
            </w:pPr>
            <w:r/>
            <w:r>
              <w:rPr>
                <w:rFonts w:ascii="Arial" w:hAnsi="Arial"/>
                <w:color w:val="EE0000"/>
                <w:sz w:val="20"/>
                <w:highlight w:val="cyan"/>
              </w:rPr>
              <w:t>Voll</w:t>
            </w:r>
            <w:r>
              <w:rPr>
                <w:rFonts w:ascii="Arial" w:hAnsi="Arial"/>
                <w:color w:val="181717"/>
                <w:sz w:val="20"/>
                <w:highlight w:val="cyan"/>
              </w:rPr>
              <w:t>Geschosse</w:t>
            </w:r>
            <w:r>
              <w:rPr>
                <w:rFonts w:ascii="Arial" w:hAnsi="Arial"/>
                <w:color w:val="181717"/>
                <w:sz w:val="20"/>
                <w:highlight w:val="cyan"/>
              </w:rPr>
              <w:t>:</w:t>
            </w:r>
          </w:p>
        </w:tc>
        <w:tc>
          <w:tcPr>
            <w:tcW w:type="dxa" w:w="4513"/>
          </w:tcPr>
          <w:p>
            <w:pPr>
              <w:spacing w:after="0" w:before="0"/>
            </w:pPr>
            <w:r/>
            <w:r>
              <w:rPr>
                <w:rFonts w:ascii="Arial" w:hAnsi="Arial"/>
                <w:color w:val="EE0000"/>
                <w:sz w:val="20"/>
                <w:highlight w:val="cyan"/>
              </w:rPr>
              <w:t>3</w:t>
            </w:r>
          </w:p>
          <w:p>
            <w:pPr>
              <w:spacing w:after="0" w:before="0"/>
            </w:pPr>
            <w:r>
              <w:rPr>
                <w:rFonts w:ascii="Arial" w:hAnsi="Arial"/>
                <w:color w:val="181717"/>
                <w:sz w:val="20"/>
                <w:highlight w:val="cyan"/>
              </w:rPr>
              <w:t xml:space="preserve">DG </w:t>
            </w:r>
            <w:r>
              <w:rPr>
                <w:rFonts w:ascii="Arial" w:hAnsi="Arial"/>
                <w:color w:val="EE0000"/>
                <w:sz w:val="20"/>
                <w:highlight w:val="cyan"/>
              </w:rPr>
              <w:t>ausgebaut/nicht ausgebaut</w:t>
            </w:r>
          </w:p>
        </w:tc>
      </w:tr>
      <w:tr>
        <w:tc>
          <w:tcPr>
            <w:tcW w:type="dxa" w:w="4513"/>
          </w:tcPr>
          <w:p>
            <w:pPr>
              <w:spacing w:after="0" w:before="0"/>
            </w:pPr>
            <w:r/>
            <w:r>
              <w:rPr>
                <w:rFonts w:ascii="Arial" w:hAnsi="Arial"/>
                <w:color w:val="181717"/>
                <w:sz w:val="20"/>
                <w:highlight w:val="cyan"/>
              </w:rPr>
              <w:t>Geschossdecken:</w:t>
            </w:r>
          </w:p>
        </w:tc>
        <w:tc>
          <w:tcPr>
            <w:tcW w:type="dxa" w:w="4513"/>
          </w:tcPr>
          <w:p>
            <w:pPr>
              <w:spacing w:after="0" w:before="0"/>
            </w:pPr>
            <w:r/>
            <w:r>
              <w:rPr>
                <w:rFonts w:ascii="Arial" w:hAnsi="Arial"/>
                <w:color w:val="181717"/>
                <w:sz w:val="20"/>
                <w:highlight w:val="cyan"/>
              </w:rPr>
              <w:t>Stahlbeton</w:t>
            </w:r>
          </w:p>
        </w:tc>
      </w:tr>
      <w:tr>
        <w:tc>
          <w:tcPr>
            <w:tcW w:type="dxa" w:w="4513"/>
          </w:tcPr>
          <w:p>
            <w:pPr>
              <w:spacing w:after="0" w:before="0"/>
            </w:pPr>
            <w:r/>
            <w:r>
              <w:rPr>
                <w:rFonts w:ascii="Arial" w:hAnsi="Arial"/>
                <w:color w:val="181717"/>
                <w:sz w:val="20"/>
                <w:highlight w:val="cyan"/>
              </w:rPr>
              <w:t>Fassade:</w:t>
            </w:r>
          </w:p>
        </w:tc>
        <w:tc>
          <w:tcPr>
            <w:tcW w:type="dxa" w:w="4513"/>
          </w:tcPr>
          <w:p>
            <w:pPr>
              <w:spacing w:after="0" w:before="0"/>
            </w:pPr>
            <w:r/>
            <w:r>
              <w:rPr>
                <w:rFonts w:ascii="Arial" w:hAnsi="Arial"/>
                <w:color w:val="181717"/>
                <w:sz w:val="20"/>
                <w:highlight w:val="cyan"/>
              </w:rPr>
              <w:t>Klassische norddeutsche Rotsteinfassade</w:t>
            </w:r>
          </w:p>
        </w:tc>
      </w:tr>
      <w:tr>
        <w:tc>
          <w:tcPr>
            <w:tcW w:type="dxa" w:w="4513"/>
          </w:tcPr>
          <w:p>
            <w:pPr>
              <w:spacing w:after="0" w:before="0"/>
            </w:pPr>
            <w:r/>
            <w:r>
              <w:rPr>
                <w:rFonts w:ascii="Arial" w:hAnsi="Arial"/>
                <w:color w:val="181717"/>
                <w:sz w:val="20"/>
                <w:highlight w:val="cyan"/>
              </w:rPr>
              <w:t>Fenster:</w:t>
            </w:r>
          </w:p>
        </w:tc>
        <w:tc>
          <w:tcPr>
            <w:tcW w:type="dxa" w:w="4513"/>
          </w:tcPr>
          <w:p>
            <w:pPr>
              <w:spacing w:after="0" w:before="0"/>
            </w:pPr>
            <w:r/>
            <w:r>
              <w:rPr>
                <w:rFonts w:ascii="Arial" w:hAnsi="Arial"/>
                <w:color w:val="181717"/>
                <w:sz w:val="20"/>
                <w:highlight w:val="cyan"/>
              </w:rPr>
              <w:t>Kunststofffenster</w:t>
            </w:r>
            <w:r>
              <w:rPr>
                <w:rFonts w:ascii="Arial" w:hAnsi="Arial"/>
                <w:color w:val="181717"/>
                <w:sz w:val="20"/>
                <w:highlight w:val="cyan"/>
              </w:rPr>
              <w:t xml:space="preserve"> / Holzfenster</w:t>
            </w:r>
          </w:p>
        </w:tc>
      </w:tr>
      <w:tr>
        <w:tc>
          <w:tcPr>
            <w:tcW w:type="dxa" w:w="4513"/>
          </w:tcPr>
          <w:p>
            <w:pPr>
              <w:spacing w:after="0" w:before="0"/>
            </w:pPr>
            <w:r/>
            <w:r>
              <w:rPr>
                <w:rFonts w:ascii="Arial" w:hAnsi="Arial"/>
                <w:color w:val="181717"/>
                <w:sz w:val="20"/>
                <w:highlight w:val="cyan"/>
              </w:rPr>
              <w:t>Dach:</w:t>
            </w:r>
          </w:p>
        </w:tc>
        <w:tc>
          <w:tcPr>
            <w:tcW w:type="dxa" w:w="4513"/>
          </w:tcPr>
          <w:p>
            <w:pPr>
              <w:spacing w:after="0" w:before="0"/>
            </w:pPr>
            <w:r/>
            <w:r>
              <w:rPr>
                <w:rFonts w:ascii="Arial" w:hAnsi="Arial"/>
                <w:color w:val="181717"/>
                <w:sz w:val="20"/>
                <w:highlight w:val="cyan"/>
              </w:rPr>
              <w:t>Satteldach – Betondachstein</w:t>
            </w:r>
          </w:p>
        </w:tc>
      </w:tr>
      <w:tr>
        <w:tc>
          <w:tcPr>
            <w:tcW w:type="dxa" w:w="4513"/>
          </w:tcPr>
          <w:p>
            <w:pPr>
              <w:spacing w:after="0" w:before="0"/>
            </w:pPr>
            <w:r/>
            <w:r>
              <w:rPr>
                <w:rFonts w:ascii="Arial" w:hAnsi="Arial"/>
                <w:color w:val="181717"/>
                <w:sz w:val="20"/>
                <w:highlight w:val="cyan"/>
              </w:rPr>
              <w:t>Wärmetechnik:</w:t>
            </w:r>
          </w:p>
        </w:tc>
        <w:tc>
          <w:tcPr>
            <w:tcW w:type="dxa" w:w="4513"/>
          </w:tcPr>
          <w:p>
            <w:pPr>
              <w:spacing w:after="0" w:before="0"/>
            </w:pPr>
            <w:r/>
            <w:r>
              <w:rPr>
                <w:rFonts w:ascii="Arial" w:hAnsi="Arial"/>
                <w:color w:val="181717"/>
                <w:sz w:val="20"/>
                <w:highlight w:val="cyan"/>
              </w:rPr>
              <w:t>Gas</w:t>
            </w:r>
          </w:p>
        </w:tc>
      </w:tr>
      <w:tr>
        <w:tc>
          <w:tcPr>
            <w:tcW w:type="dxa" w:w="4513"/>
          </w:tcPr>
          <w:p>
            <w:pPr>
              <w:spacing w:after="0" w:before="0"/>
            </w:pPr>
            <w:r/>
            <w:r>
              <w:rPr>
                <w:rFonts w:ascii="Arial" w:hAnsi="Arial"/>
                <w:color w:val="181717"/>
                <w:sz w:val="20"/>
                <w:highlight w:val="cyan"/>
              </w:rPr>
              <w:t>Raumlufttechnik:</w:t>
            </w:r>
          </w:p>
        </w:tc>
        <w:tc>
          <w:tcPr>
            <w:tcW w:type="dxa" w:w="4513"/>
          </w:tcPr>
          <w:p>
            <w:pPr>
              <w:spacing w:after="0" w:before="0"/>
            </w:pPr>
            <w:r/>
            <w:r>
              <w:rPr>
                <w:rFonts w:ascii="Arial" w:hAnsi="Arial"/>
                <w:color w:val="181717"/>
                <w:sz w:val="20"/>
                <w:highlight w:val="cyan"/>
              </w:rPr>
              <w:t>Keine</w:t>
            </w:r>
          </w:p>
        </w:tc>
      </w:tr>
      <w:tr>
        <w:tc>
          <w:tcPr>
            <w:tcW w:type="dxa" w:w="4513"/>
          </w:tcPr>
          <w:p>
            <w:pPr>
              <w:spacing w:after="0" w:before="0"/>
            </w:pPr>
            <w:r/>
            <w:r>
              <w:rPr>
                <w:rFonts w:ascii="Arial" w:hAnsi="Arial"/>
                <w:color w:val="181717"/>
                <w:sz w:val="20"/>
                <w:highlight w:val="cyan"/>
              </w:rPr>
              <w:t>Elektrotechnik:</w:t>
            </w:r>
          </w:p>
        </w:tc>
        <w:tc>
          <w:tcPr>
            <w:tcW w:type="dxa" w:w="4513"/>
          </w:tcPr>
          <w:p>
            <w:pPr>
              <w:spacing w:after="0" w:before="0"/>
            </w:pPr>
            <w:r/>
            <w:r>
              <w:rPr>
                <w:rFonts w:ascii="Arial" w:hAnsi="Arial"/>
                <w:color w:val="181717"/>
                <w:sz w:val="20"/>
                <w:highlight w:val="cyan"/>
              </w:rPr>
              <w:t xml:space="preserve">Einfach </w:t>
            </w:r>
            <w:r>
              <w:rPr>
                <w:rFonts w:ascii="Arial" w:hAnsi="Arial"/>
                <w:color w:val="181717"/>
                <w:sz w:val="20"/>
                <w:highlight w:val="cyan"/>
              </w:rPr>
              <w:t>ausstattung</w:t>
            </w:r>
            <w:r>
              <w:rPr>
                <w:rFonts w:ascii="Arial" w:hAnsi="Arial"/>
                <w:color w:val="181717"/>
                <w:sz w:val="20"/>
                <w:highlight w:val="cyan"/>
              </w:rPr>
              <w:t xml:space="preserve"> / mittlere Ausstattung</w:t>
            </w:r>
          </w:p>
        </w:tc>
      </w:tr>
      <w:tr>
        <w:tc>
          <w:tcPr>
            <w:tcW w:type="dxa" w:w="4513"/>
          </w:tcPr>
          <w:p>
            <w:pPr>
              <w:spacing w:after="0" w:before="0"/>
            </w:pPr>
            <w:r/>
            <w:r>
              <w:rPr>
                <w:rFonts w:ascii="Arial" w:hAnsi="Arial"/>
                <w:color w:val="181717"/>
                <w:sz w:val="20"/>
                <w:highlight w:val="cyan"/>
              </w:rPr>
              <w:t>Aufzugtechnik:</w:t>
            </w:r>
          </w:p>
        </w:tc>
        <w:tc>
          <w:tcPr>
            <w:tcW w:type="dxa" w:w="4513"/>
          </w:tcPr>
          <w:p>
            <w:pPr>
              <w:spacing w:after="0" w:before="0"/>
            </w:pPr>
            <w:r/>
            <w:r>
              <w:rPr>
                <w:rFonts w:ascii="Arial" w:hAnsi="Arial"/>
                <w:color w:val="181717"/>
                <w:sz w:val="20"/>
                <w:highlight w:val="cyan"/>
              </w:rPr>
              <w:t>Kein Aufzug vorhanden</w:t>
            </w:r>
          </w:p>
        </w:tc>
      </w:tr>
      <w:tr>
        <w:tc>
          <w:tcPr>
            <w:tcW w:type="dxa" w:w="4513"/>
          </w:tcPr>
          <w:p>
            <w:pPr>
              <w:spacing w:after="0" w:before="0"/>
            </w:pPr>
            <w:r/>
            <w:r>
              <w:rPr/>
              <w:t>2.1</w:t>
            </w:r>
            <w:r>
              <w:rPr/>
              <w:t>8</w:t>
            </w:r>
            <w:r>
              <w:rPr/>
              <w:t xml:space="preserve"> Sondereigentum</w:t>
            </w:r>
            <w:r>
              <w:rPr/>
              <w:t xml:space="preserve"> / </w:t>
            </w:r>
            <w:r>
              <w:rPr>
                <w:color w:val="EE0000"/>
              </w:rPr>
              <w:t>Wohneinheit</w:t>
            </w:r>
          </w:p>
          <w:p>
            <w:pPr>
              <w:spacing w:after="0" w:before="0"/>
            </w:pPr>
          </w:p>
        </w:tc>
        <w:tc>
          <w:tcPr>
            <w:tcW w:type="dxa" w:w="4513"/>
          </w:tcPr>
          <w:p>
            <w:pPr>
              <w:spacing w:after="0" w:before="0"/>
            </w:pPr>
            <w:r/>
          </w:p>
        </w:tc>
      </w:tr>
      <w:tr>
        <w:tc>
          <w:tcPr>
            <w:tcW w:type="dxa" w:w="4513"/>
          </w:tcPr>
          <w:p>
            <w:pPr>
              <w:spacing w:after="0" w:before="0"/>
            </w:pPr>
            <w:r/>
            <w:r>
              <w:rPr>
                <w:rFonts w:ascii="Arial" w:hAnsi="Arial"/>
                <w:color w:val="181717"/>
                <w:sz w:val="20"/>
                <w:highlight w:val="cyan"/>
              </w:rPr>
              <w:t>Aufenthaltsqualität:</w:t>
            </w:r>
          </w:p>
        </w:tc>
        <w:tc>
          <w:tcPr>
            <w:tcW w:type="dxa" w:w="4513"/>
          </w:tcPr>
          <w:p>
            <w:pPr>
              <w:spacing w:after="0" w:before="0"/>
            </w:pPr>
            <w:r/>
            <w:r>
              <w:rPr>
                <w:rFonts w:ascii="Arial" w:hAnsi="Arial"/>
                <w:color w:val="181717"/>
                <w:sz w:val="20"/>
                <w:highlight w:val="cyan"/>
              </w:rPr>
              <w:t>Durchschnittlich</w:t>
            </w:r>
          </w:p>
        </w:tc>
      </w:tr>
      <w:tr>
        <w:tc>
          <w:tcPr>
            <w:tcW w:type="dxa" w:w="4513"/>
          </w:tcPr>
          <w:p>
            <w:pPr>
              <w:spacing w:after="0" w:before="0"/>
            </w:pPr>
            <w:r/>
            <w:r>
              <w:rPr>
                <w:rFonts w:ascii="Arial" w:hAnsi="Arial"/>
                <w:color w:val="181717"/>
                <w:sz w:val="20"/>
                <w:highlight w:val="cyan"/>
              </w:rPr>
              <w:t>Ausstattungsqualität:</w:t>
            </w:r>
          </w:p>
        </w:tc>
        <w:tc>
          <w:tcPr>
            <w:tcW w:type="dxa" w:w="4513"/>
          </w:tcPr>
          <w:p>
            <w:pPr>
              <w:spacing w:after="0" w:before="0"/>
            </w:pPr>
            <w:r/>
            <w:r>
              <w:rPr>
                <w:rFonts w:ascii="Arial" w:hAnsi="Arial"/>
                <w:color w:val="181717"/>
                <w:sz w:val="20"/>
                <w:highlight w:val="cyan"/>
              </w:rPr>
              <w:t>Durchschnittlich</w:t>
            </w:r>
          </w:p>
        </w:tc>
      </w:tr>
      <w:tr>
        <w:tc>
          <w:tcPr>
            <w:tcW w:type="dxa" w:w="4513"/>
          </w:tcPr>
          <w:p>
            <w:pPr>
              <w:spacing w:after="0" w:before="0"/>
            </w:pPr>
            <w:r/>
            <w:r>
              <w:rPr>
                <w:rFonts w:ascii="Arial" w:hAnsi="Arial"/>
                <w:color w:val="181717"/>
                <w:sz w:val="20"/>
                <w:highlight w:val="cyan"/>
              </w:rPr>
              <w:t>Barrierefreiheit:</w:t>
            </w:r>
          </w:p>
        </w:tc>
        <w:tc>
          <w:tcPr>
            <w:tcW w:type="dxa" w:w="4513"/>
          </w:tcPr>
          <w:p>
            <w:pPr>
              <w:spacing w:after="0" w:before="0"/>
            </w:pPr>
            <w:r/>
            <w:r>
              <w:rPr>
                <w:rFonts w:ascii="Arial" w:hAnsi="Arial"/>
                <w:color w:val="181717"/>
                <w:sz w:val="20"/>
                <w:highlight w:val="cyan"/>
              </w:rPr>
              <w:t>Nicht barrierefrei</w:t>
            </w:r>
          </w:p>
        </w:tc>
      </w:tr>
      <w:tr>
        <w:tc>
          <w:tcPr>
            <w:tcW w:type="dxa" w:w="4513"/>
          </w:tcPr>
          <w:p>
            <w:pPr>
              <w:spacing w:after="0" w:before="0"/>
            </w:pPr>
            <w:r/>
            <w:r>
              <w:rPr>
                <w:color w:val="EE0000"/>
                <w:highlight w:val="cyan"/>
              </w:rPr>
              <w:t>Innenausbau:</w:t>
            </w:r>
          </w:p>
        </w:tc>
        <w:tc>
          <w:tcPr>
            <w:tcW w:type="dxa" w:w="4513"/>
          </w:tcPr>
          <w:p>
            <w:pPr>
              <w:spacing w:after="0" w:before="0"/>
            </w:pPr>
            <w:r/>
            <w:r>
              <w:rPr>
                <w:color w:val="EE0000"/>
                <w:highlight w:val="cyan"/>
              </w:rPr>
              <w:t>Einfach / mittel / gut</w:t>
            </w:r>
          </w:p>
        </w:tc>
      </w:tr>
    </w:tbl>
    <w:p>
      <w:pPr>
        <w:ind w:left="0" w:firstLine="0" w:right="0"/>
      </w:pPr>
      <w:r/>
      <w:r>
        <w:rPr>
          <w:rFonts w:ascii="Arial" w:hAnsi="Arial"/>
          <w:color w:val="181717"/>
          <w:sz w:val="20"/>
        </w:rPr>
        <w:t>Bauliche Anlagen – fortfahrend</w:t>
      </w:r>
    </w:p>
    <w:p>
      <w:pPr>
        <w:ind w:left="0" w:firstLine="0" w:right="0"/>
      </w:pPr>
      <w:r/>
      <w:r>
        <w:rPr/>
        <w:tab/>
      </w:r>
      <w:r>
        <w:rPr>
          <w:rFonts w:ascii="Arial" w:hAnsi="Arial"/>
          <w:color w:val="181717"/>
          <w:sz w:val="20"/>
          <w:highlight w:val="cyan"/>
        </w:rPr>
        <w:t>Sanitäre Anlagen:</w:t>
      </w:r>
      <w:r>
        <w:rPr>
          <w:rFonts w:ascii="Arial" w:hAnsi="Arial"/>
          <w:color w:val="181717"/>
          <w:sz w:val="20"/>
          <w:highlight w:val="cyan"/>
        </w:rPr>
        <w:tab/>
        <w:t>Durchschnittliche Ausstattung</w:t>
      </w:r>
      <w:r>
        <w:t xml:space="preserve"> </w:t>
      </w:r>
      <w:r>
        <w:rPr>
          <w:highlight w:val="cyan"/>
        </w:rPr>
        <w:tab/>
      </w:r>
      <w:r>
        <w:rPr>
          <w:rFonts w:ascii="Arial" w:hAnsi="Arial"/>
          <w:color w:val="181717"/>
          <w:sz w:val="20"/>
          <w:highlight w:val="cyan"/>
        </w:rPr>
        <w:t>Elektroinstallation:</w:t>
      </w:r>
      <w:r>
        <w:rPr>
          <w:rFonts w:ascii="Arial" w:hAnsi="Arial"/>
          <w:color w:val="181717"/>
          <w:sz w:val="20"/>
          <w:highlight w:val="cyan"/>
        </w:rPr>
        <w:tab/>
        <w:t>Durchschnittliche Ausstattung</w:t>
      </w:r>
      <w:r>
        <w:t xml:space="preserve"> </w:t>
      </w:r>
      <w:r>
        <w:rPr>
          <w:highlight w:val="cyan"/>
        </w:rPr>
        <w:tab/>
      </w:r>
      <w:r>
        <w:rPr>
          <w:rFonts w:ascii="Arial" w:hAnsi="Arial"/>
          <w:color w:val="181717"/>
          <w:sz w:val="20"/>
          <w:highlight w:val="cyan"/>
        </w:rPr>
        <w:t>Heizungsart:</w:t>
      </w:r>
      <w:r>
        <w:rPr>
          <w:rFonts w:ascii="Arial" w:hAnsi="Arial"/>
          <w:color w:val="181717"/>
          <w:sz w:val="20"/>
          <w:highlight w:val="cyan"/>
        </w:rPr>
        <w:tab/>
        <w:t>Heizkörper</w:t>
      </w:r>
    </w:p>
    <w:p>
      <w:r>
        <w:br w:type="page"/>
      </w:r>
    </w:p>
    <w:p>
      <w:pPr>
        <w:pStyle w:val="Heading2"/>
      </w:pPr>
      <w:r>
        <w:t>3.2 Festlegung des Modernisierungsgrads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402"/>
        <w:gridCol w:w="5624"/>
      </w:tblGrid>
      <w:tr>
        <w:tc>
          <w:tcPr>
            <w:tcW w:type="dxa" w:w="3402"/>
          </w:tcPr>
          <w:p>
            <w:pPr>
              <w:spacing w:after="0"/>
            </w:pPr>
            <w:r/>
            <w:r>
              <w:rPr>
                <w:rFonts w:ascii="Arial" w:hAnsi="Arial"/>
                <w:sz w:val="20"/>
              </w:rPr>
              <w:t>Gesamtnutzungsdauer:</w:t>
            </w:r>
          </w:p>
        </w:tc>
        <w:tc>
          <w:tcPr>
            <w:tcW w:type="dxa" w:w="5624"/>
          </w:tcPr>
          <w:p>
            <w:pPr>
              <w:spacing w:after="0"/>
            </w:pPr>
            <w:r/>
            <w:r>
              <w:rPr>
                <w:rFonts w:ascii="Arial" w:hAnsi="Arial"/>
                <w:sz w:val="20"/>
                <w:highlight w:val="yellow"/>
              </w:rPr>
              <w:t>{80 J}</w:t>
            </w:r>
          </w:p>
        </w:tc>
      </w:tr>
      <w:tr>
        <w:tc>
          <w:tcPr>
            <w:tcW w:type="dxa" w:w="3402"/>
          </w:tcPr>
          <w:p>
            <w:pPr>
              <w:spacing w:after="0"/>
            </w:pPr>
            <w:r/>
            <w:r>
              <w:rPr>
                <w:rFonts w:ascii="Arial" w:hAnsi="Arial"/>
                <w:b/>
                <w:sz w:val="20"/>
              </w:rPr>
              <w:t xml:space="preserve">Restnutzungsdauer, </w:t>
            </w:r>
            <w:r>
              <w:rPr>
                <w:rFonts w:ascii="Arial" w:hAnsi="Arial"/>
                <w:b/>
                <w:sz w:val="20"/>
              </w:rPr>
              <w:t>modifiziert:</w:t>
            </w:r>
          </w:p>
        </w:tc>
        <w:tc>
          <w:tcPr>
            <w:tcW w:type="dxa" w:w="5624"/>
          </w:tcPr>
          <w:p>
            <w:pPr>
              <w:spacing w:after="0"/>
            </w:pPr>
            <w:r/>
            <w:r>
              <w:rPr>
                <w:rFonts w:ascii="Arial" w:hAnsi="Arial"/>
                <w:b/>
                <w:sz w:val="20"/>
                <w:highlight w:val="yellow"/>
              </w:rPr>
              <w:t>{29 J}</w:t>
            </w:r>
          </w:p>
        </w:tc>
      </w:tr>
    </w:tbl>
    <w:tbl>
      <w:tblPr>
        <w:tblStyle w:val="TableGrid"/>
        <w:tblW w:type="auto" w:w="0"/>
        <w:tblLayout w:type="fixed"/>
        <w:tblLook w:firstColumn="1" w:firstRow="1" w:lastColumn="0" w:lastRow="0" w:noHBand="0" w:noVBand="1" w:val="04A0"/>
      </w:tblPr>
      <w:tblGrid>
        <w:gridCol w:w="6758"/>
        <w:gridCol w:w="1134"/>
        <w:gridCol w:w="1134"/>
      </w:tblGrid>
      <w:tr>
        <w:tc>
          <w:tcPr>
            <w:tcW w:type="dxa" w:w="6758"/>
          </w:tcPr>
          <w:p>
            <w:pPr>
              <w:spacing w:after="0"/>
            </w:pPr>
            <w:r/>
            <w:r>
              <w:rPr>
                <w:rFonts w:ascii="Arial" w:hAnsi="Arial"/>
                <w:b/>
                <w:sz w:val="20"/>
                <w:highlight w:val="cyan"/>
              </w:rPr>
              <w:t>Maßnahme</w:t>
            </w:r>
          </w:p>
        </w:tc>
        <w:tc>
          <w:tcPr>
            <w:tcW w:type="dxa" w:w="2268"/>
            <w:gridSpan w:val="2"/>
          </w:tcPr>
          <w:p>
            <w:r/>
            <w:r>
              <w:rPr>
                <w:rFonts w:ascii="Arial" w:hAnsi="Arial"/>
                <w:b/>
                <w:sz w:val="20"/>
                <w:highlight w:val="cyan"/>
              </w:rPr>
              <w:t>Hinweise zur Modernisierung</w:t>
            </w:r>
          </w:p>
        </w:tc>
      </w:tr>
      <w:tr>
        <w:tc>
          <w:tcPr>
            <w:tcW w:type="dxa" w:w="6758"/>
          </w:tcPr>
          <w:p>
            <w:pPr>
              <w:spacing w:after="0"/>
            </w:pPr>
            <w:r/>
          </w:p>
        </w:tc>
        <w:tc>
          <w:tcPr>
            <w:tcW w:type="dxa" w:w="1134"/>
          </w:tcPr>
          <w:p>
            <w:pPr>
              <w:spacing w:after="0"/>
            </w:pPr>
            <w:r/>
            <w:r>
              <w:rPr>
                <w:rFonts w:ascii="Arial" w:hAnsi="Arial"/>
                <w:b/>
                <w:sz w:val="20"/>
                <w:highlight w:val="cyan"/>
              </w:rPr>
              <w:t>max.</w:t>
            </w:r>
          </w:p>
        </w:tc>
        <w:tc>
          <w:tcPr>
            <w:tcW w:type="dxa" w:w="1134"/>
          </w:tcPr>
          <w:p>
            <w:pPr>
              <w:spacing w:after="0"/>
            </w:pPr>
            <w:r/>
            <w:r>
              <w:rPr>
                <w:rFonts w:ascii="Arial" w:hAnsi="Arial"/>
                <w:b/>
                <w:sz w:val="20"/>
                <w:highlight w:val="cyan"/>
              </w:rPr>
              <w:t>Punkte</w:t>
            </w:r>
          </w:p>
        </w:tc>
      </w:tr>
      <w:tr>
        <w:tc>
          <w:tcPr>
            <w:tcW w:type="dxa" w:w="6758"/>
          </w:tcPr>
          <w:p>
            <w:pPr>
              <w:spacing w:after="0"/>
            </w:pPr>
            <w:r/>
            <w:r>
              <w:rPr>
                <w:rFonts w:ascii="Arial" w:hAnsi="Arial"/>
                <w:sz w:val="20"/>
                <w:highlight w:val="cyan"/>
              </w:rPr>
              <w:t>Dacherneuerung (inklusive Verbesserung der Wärmedämmung):</w:t>
            </w:r>
          </w:p>
        </w:tc>
        <w:tc>
          <w:tcPr>
            <w:tcW w:type="dxa" w:w="1134"/>
          </w:tcPr>
          <w:p>
            <w:pPr>
              <w:spacing w:after="0"/>
            </w:pPr>
            <w:r/>
            <w:r>
              <w:rPr>
                <w:rFonts w:ascii="Arial" w:hAnsi="Arial"/>
                <w:sz w:val="20"/>
                <w:highlight w:val="cyan"/>
              </w:rPr>
              <w:t>4</w:t>
            </w:r>
          </w:p>
        </w:tc>
        <w:tc>
          <w:tcPr>
            <w:tcW w:type="dxa" w:w="1134"/>
          </w:tcPr>
          <w:p>
            <w:pPr>
              <w:spacing w:after="0"/>
            </w:pPr>
            <w:r/>
            <w:r>
              <w:rPr>
                <w:rFonts w:ascii="Arial" w:hAnsi="Arial"/>
                <w:sz w:val="20"/>
                <w:highlight w:val="cyan"/>
              </w:rPr>
              <w:t>0,5</w:t>
            </w:r>
          </w:p>
        </w:tc>
      </w:tr>
      <w:tr>
        <w:tc>
          <w:tcPr>
            <w:tcW w:type="dxa" w:w="6758"/>
          </w:tcPr>
          <w:p>
            <w:pPr>
              <w:spacing w:after="0"/>
            </w:pPr>
            <w:r/>
            <w:r>
              <w:rPr>
                <w:rFonts w:ascii="Arial" w:hAnsi="Arial"/>
                <w:sz w:val="20"/>
                <w:highlight w:val="cyan"/>
              </w:rPr>
              <w:t>Modernisierung der Fenster und Außentüren:</w:t>
            </w:r>
          </w:p>
        </w:tc>
        <w:tc>
          <w:tcPr>
            <w:tcW w:type="dxa" w:w="1134"/>
          </w:tcPr>
          <w:p>
            <w:pPr>
              <w:spacing w:after="0"/>
            </w:pPr>
            <w:r/>
            <w:r>
              <w:rPr>
                <w:rFonts w:ascii="Arial" w:hAnsi="Arial"/>
                <w:sz w:val="20"/>
                <w:highlight w:val="cyan"/>
              </w:rPr>
              <w:t>2</w:t>
            </w:r>
          </w:p>
        </w:tc>
        <w:tc>
          <w:tcPr>
            <w:tcW w:type="dxa" w:w="1134"/>
          </w:tcPr>
          <w:p>
            <w:pPr>
              <w:spacing w:after="0"/>
            </w:pPr>
            <w:r/>
            <w:r>
              <w:rPr>
                <w:rFonts w:ascii="Arial" w:hAnsi="Arial"/>
                <w:sz w:val="20"/>
                <w:highlight w:val="cyan"/>
              </w:rPr>
              <w:t>1,0</w:t>
            </w:r>
          </w:p>
        </w:tc>
      </w:tr>
      <w:tr>
        <w:tc>
          <w:tcPr>
            <w:tcW w:type="dxa" w:w="6758"/>
          </w:tcPr>
          <w:p>
            <w:pPr>
              <w:spacing w:after="0"/>
            </w:pPr>
            <w:r/>
            <w:r>
              <w:rPr>
                <w:rFonts w:ascii="Arial" w:hAnsi="Arial"/>
                <w:sz w:val="20"/>
                <w:highlight w:val="cyan"/>
              </w:rPr>
              <w:t xml:space="preserve">Modernisierung der Leitungssysteme (Strom, Gas, Wasser, </w:t>
            </w:r>
            <w:r>
              <w:rPr>
                <w:rFonts w:ascii="Arial" w:hAnsi="Arial"/>
                <w:sz w:val="20"/>
                <w:highlight w:val="cyan"/>
              </w:rPr>
              <w:t>Abwasser):</w:t>
            </w:r>
          </w:p>
        </w:tc>
        <w:tc>
          <w:tcPr>
            <w:tcW w:type="dxa" w:w="1134"/>
          </w:tcPr>
          <w:p>
            <w:pPr>
              <w:spacing w:after="0"/>
            </w:pPr>
            <w:r/>
            <w:r>
              <w:rPr>
                <w:rFonts w:ascii="Arial" w:hAnsi="Arial"/>
                <w:sz w:val="20"/>
                <w:highlight w:val="cyan"/>
              </w:rPr>
              <w:t>2</w:t>
            </w:r>
          </w:p>
        </w:tc>
        <w:tc>
          <w:tcPr>
            <w:tcW w:type="dxa" w:w="1134"/>
          </w:tcPr>
          <w:p>
            <w:pPr>
              <w:spacing w:after="0"/>
            </w:pPr>
            <w:r/>
            <w:r>
              <w:rPr>
                <w:rFonts w:ascii="Arial" w:hAnsi="Arial"/>
                <w:sz w:val="20"/>
                <w:highlight w:val="cyan"/>
              </w:rPr>
              <w:t>0,5</w:t>
            </w:r>
          </w:p>
        </w:tc>
      </w:tr>
      <w:tr>
        <w:tc>
          <w:tcPr>
            <w:tcW w:type="dxa" w:w="6758"/>
          </w:tcPr>
          <w:p>
            <w:pPr>
              <w:spacing w:after="0"/>
            </w:pPr>
            <w:r/>
            <w:r>
              <w:rPr>
                <w:rFonts w:ascii="Arial" w:hAnsi="Arial"/>
                <w:sz w:val="20"/>
                <w:highlight w:val="cyan"/>
              </w:rPr>
              <w:t>Modernisierung der Heizungsanlage:</w:t>
            </w:r>
          </w:p>
        </w:tc>
        <w:tc>
          <w:tcPr>
            <w:tcW w:type="dxa" w:w="1134"/>
          </w:tcPr>
          <w:p>
            <w:pPr>
              <w:spacing w:after="0"/>
            </w:pPr>
            <w:r/>
            <w:r>
              <w:rPr>
                <w:rFonts w:ascii="Arial" w:hAnsi="Arial"/>
                <w:sz w:val="20"/>
                <w:highlight w:val="cyan"/>
              </w:rPr>
              <w:t>2</w:t>
            </w:r>
          </w:p>
        </w:tc>
        <w:tc>
          <w:tcPr>
            <w:tcW w:type="dxa" w:w="1134"/>
          </w:tcPr>
          <w:p>
            <w:pPr>
              <w:spacing w:after="0"/>
            </w:pPr>
            <w:r/>
            <w:r>
              <w:rPr>
                <w:rFonts w:ascii="Arial" w:hAnsi="Arial"/>
                <w:sz w:val="20"/>
                <w:highlight w:val="cyan"/>
              </w:rPr>
              <w:t>1,0</w:t>
            </w:r>
          </w:p>
        </w:tc>
      </w:tr>
      <w:tr>
        <w:tc>
          <w:tcPr>
            <w:tcW w:type="dxa" w:w="6758"/>
          </w:tcPr>
          <w:p>
            <w:pPr>
              <w:spacing w:after="0"/>
            </w:pPr>
            <w:r/>
            <w:r>
              <w:rPr>
                <w:rFonts w:ascii="Arial" w:hAnsi="Arial"/>
                <w:sz w:val="20"/>
                <w:highlight w:val="cyan"/>
              </w:rPr>
              <w:t>Wärmedämmung der Außenwände:</w:t>
            </w:r>
          </w:p>
        </w:tc>
        <w:tc>
          <w:tcPr>
            <w:tcW w:type="dxa" w:w="1134"/>
          </w:tcPr>
          <w:p>
            <w:pPr>
              <w:spacing w:after="0"/>
            </w:pPr>
            <w:r/>
            <w:r>
              <w:rPr>
                <w:rFonts w:ascii="Arial" w:hAnsi="Arial"/>
                <w:sz w:val="20"/>
                <w:highlight w:val="cyan"/>
              </w:rPr>
              <w:t>4</w:t>
            </w:r>
          </w:p>
        </w:tc>
        <w:tc>
          <w:tcPr>
            <w:tcW w:type="dxa" w:w="1134"/>
          </w:tcPr>
          <w:p>
            <w:pPr>
              <w:spacing w:after="0"/>
            </w:pPr>
            <w:r/>
            <w:r>
              <w:rPr>
                <w:rFonts w:ascii="Arial" w:hAnsi="Arial"/>
                <w:sz w:val="20"/>
                <w:highlight w:val="cyan"/>
              </w:rPr>
              <w:t>0,0</w:t>
            </w:r>
          </w:p>
        </w:tc>
      </w:tr>
      <w:tr>
        <w:tc>
          <w:tcPr>
            <w:tcW w:type="dxa" w:w="6758"/>
          </w:tcPr>
          <w:p>
            <w:pPr>
              <w:spacing w:after="0"/>
            </w:pPr>
            <w:r/>
            <w:r>
              <w:rPr>
                <w:rFonts w:ascii="Arial" w:hAnsi="Arial"/>
                <w:sz w:val="20"/>
                <w:highlight w:val="cyan"/>
              </w:rPr>
              <w:t>Modernisierung von Bädern:</w:t>
            </w:r>
          </w:p>
        </w:tc>
        <w:tc>
          <w:tcPr>
            <w:tcW w:type="dxa" w:w="1134"/>
          </w:tcPr>
          <w:p>
            <w:pPr>
              <w:spacing w:after="0"/>
            </w:pPr>
            <w:r/>
            <w:r>
              <w:rPr>
                <w:rFonts w:ascii="Arial" w:hAnsi="Arial"/>
                <w:sz w:val="20"/>
                <w:highlight w:val="cyan"/>
              </w:rPr>
              <w:t>2</w:t>
            </w:r>
          </w:p>
        </w:tc>
        <w:tc>
          <w:tcPr>
            <w:tcW w:type="dxa" w:w="1134"/>
          </w:tcPr>
          <w:p>
            <w:pPr>
              <w:spacing w:after="0"/>
            </w:pPr>
            <w:r/>
            <w:r>
              <w:rPr>
                <w:rFonts w:ascii="Arial" w:hAnsi="Arial"/>
                <w:sz w:val="20"/>
                <w:highlight w:val="cyan"/>
              </w:rPr>
              <w:t>1,0</w:t>
            </w:r>
          </w:p>
        </w:tc>
      </w:tr>
      <w:tr>
        <w:tc>
          <w:tcPr>
            <w:tcW w:type="dxa" w:w="6758"/>
          </w:tcPr>
          <w:p>
            <w:pPr>
              <w:spacing w:after="0"/>
            </w:pPr>
            <w:r/>
            <w:r>
              <w:rPr>
                <w:rFonts w:ascii="Arial" w:hAnsi="Arial"/>
                <w:sz w:val="20"/>
                <w:highlight w:val="cyan"/>
              </w:rPr>
              <w:t>Modernisierung des Innenausbaus (z. B. Decken, Fußböden, Treppen):</w:t>
            </w:r>
          </w:p>
        </w:tc>
        <w:tc>
          <w:tcPr>
            <w:tcW w:type="dxa" w:w="1134"/>
          </w:tcPr>
          <w:p>
            <w:pPr>
              <w:spacing w:after="0"/>
            </w:pPr>
            <w:r/>
            <w:r>
              <w:rPr>
                <w:rFonts w:ascii="Arial" w:hAnsi="Arial"/>
                <w:sz w:val="20"/>
                <w:highlight w:val="cyan"/>
              </w:rPr>
              <w:t>2</w:t>
            </w:r>
          </w:p>
        </w:tc>
        <w:tc>
          <w:tcPr>
            <w:tcW w:type="dxa" w:w="1134"/>
          </w:tcPr>
          <w:p>
            <w:pPr>
              <w:spacing w:after="0"/>
            </w:pPr>
            <w:r/>
            <w:r>
              <w:rPr>
                <w:rFonts w:ascii="Arial" w:hAnsi="Arial"/>
                <w:sz w:val="20"/>
                <w:highlight w:val="cyan"/>
              </w:rPr>
              <w:t>1,0</w:t>
            </w:r>
          </w:p>
        </w:tc>
      </w:tr>
      <w:tr>
        <w:tc>
          <w:tcPr>
            <w:tcW w:type="dxa" w:w="6758"/>
          </w:tcPr>
          <w:p>
            <w:pPr>
              <w:spacing w:after="0"/>
            </w:pPr>
            <w:r/>
            <w:r>
              <w:rPr>
                <w:rFonts w:ascii="Arial" w:hAnsi="Arial"/>
                <w:sz w:val="20"/>
                <w:highlight w:val="cyan"/>
              </w:rPr>
              <w:t xml:space="preserve">Wesentliche Verbesserung der </w:t>
            </w:r>
            <w:r>
              <w:rPr>
                <w:rFonts w:ascii="Arial" w:hAnsi="Arial"/>
                <w:sz w:val="20"/>
                <w:highlight w:val="cyan"/>
              </w:rPr>
              <w:t>Grundrissgestaltung:</w:t>
            </w:r>
          </w:p>
        </w:tc>
        <w:tc>
          <w:tcPr>
            <w:tcW w:type="dxa" w:w="1134"/>
          </w:tcPr>
          <w:p>
            <w:pPr>
              <w:spacing w:after="0"/>
            </w:pPr>
            <w:r/>
            <w:r>
              <w:rPr>
                <w:rFonts w:ascii="Arial" w:hAnsi="Arial"/>
                <w:sz w:val="20"/>
                <w:highlight w:val="cyan"/>
              </w:rPr>
              <w:t>2</w:t>
            </w:r>
          </w:p>
        </w:tc>
        <w:tc>
          <w:tcPr>
            <w:tcW w:type="dxa" w:w="1134"/>
          </w:tcPr>
          <w:p>
            <w:pPr>
              <w:spacing w:after="0"/>
            </w:pPr>
            <w:r/>
            <w:r>
              <w:rPr>
                <w:rFonts w:ascii="Arial" w:hAnsi="Arial"/>
                <w:sz w:val="20"/>
                <w:highlight w:val="cyan"/>
              </w:rPr>
              <w:t>0,0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402"/>
        <w:gridCol w:w="5624"/>
      </w:tblGrid>
      <w:tr>
        <w:tc>
          <w:tcPr>
            <w:tcW w:type="dxa" w:w="3402"/>
          </w:tcPr>
          <w:p>
            <w:r>
              <w:t>Modernisierungspunktzahl:</w:t>
            </w:r>
          </w:p>
        </w:tc>
        <w:tc>
          <w:tcPr>
            <w:tcW w:type="dxa" w:w="5624"/>
          </w:tcPr>
          <w:p>
            <w:r/>
            <w:r>
              <w:rPr>
                <w:rFonts w:ascii="Arial" w:hAnsi="Arial"/>
                <w:b/>
                <w:sz w:val="20"/>
                <w:highlight w:val="yellow"/>
              </w:rPr>
              <w:t>{5,0}</w:t>
            </w:r>
          </w:p>
        </w:tc>
      </w:tr>
    </w:tbl>
    <w:p/>
    <w:p>
      <w:pPr>
        <w:pStyle w:val="Heading2"/>
      </w:pPr>
      <w:r>
        <w:t>3.3 Ermittlung der wirtschaftlichen Restnutzungsdauer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402"/>
        <w:gridCol w:w="5624"/>
      </w:tblGrid>
      <w:tr>
        <w:tc>
          <w:tcPr>
            <w:tcW w:type="dxa" w:w="3402"/>
          </w:tcPr>
          <w:p>
            <w:r/>
            <w:r>
              <w:rPr>
                <w:rFonts w:ascii="Arial" w:hAnsi="Arial"/>
                <w:sz w:val="20"/>
              </w:rPr>
              <w:t>Wertermittlungsstichtag:</w:t>
            </w:r>
          </w:p>
        </w:tc>
        <w:tc>
          <w:tcPr>
            <w:tcW w:type="dxa" w:w="5624"/>
          </w:tcPr>
          <w:p>
            <w:r/>
            <w:r>
              <w:rPr>
                <w:rFonts w:ascii="Arial" w:hAnsi="Arial"/>
                <w:sz w:val="20"/>
                <w:highlight w:val="yellow"/>
              </w:rPr>
              <w:t>{07.10.2025}</w:t>
            </w:r>
          </w:p>
        </w:tc>
      </w:tr>
      <w:tr>
        <w:tc>
          <w:tcPr>
            <w:tcW w:type="dxa" w:w="3402"/>
          </w:tcPr>
          <w:p>
            <w:r/>
            <w:r>
              <w:rPr>
                <w:rFonts w:ascii="Arial" w:hAnsi="Arial"/>
                <w:sz w:val="20"/>
              </w:rPr>
              <w:t>Baujahr der baulichen Anlagen:</w:t>
            </w:r>
          </w:p>
        </w:tc>
        <w:tc>
          <w:tcPr>
            <w:tcW w:type="dxa" w:w="5624"/>
          </w:tcPr>
          <w:p>
            <w:r/>
            <w:r>
              <w:rPr>
                <w:rFonts w:ascii="Arial" w:hAnsi="Arial"/>
                <w:sz w:val="20"/>
                <w:highlight w:val="yellow"/>
              </w:rPr>
              <w:t>{1964}</w:t>
            </w:r>
          </w:p>
        </w:tc>
      </w:tr>
      <w:tr>
        <w:tc>
          <w:tcPr>
            <w:tcW w:type="dxa" w:w="3402"/>
          </w:tcPr>
          <w:p>
            <w:r/>
            <w:r>
              <w:rPr>
                <w:rFonts w:ascii="Arial" w:hAnsi="Arial"/>
                <w:sz w:val="20"/>
              </w:rPr>
              <w:t>Baujahr, modifiziert:</w:t>
            </w:r>
          </w:p>
        </w:tc>
        <w:tc>
          <w:tcPr>
            <w:tcW w:type="dxa" w:w="5624"/>
          </w:tcPr>
          <w:p>
            <w:r/>
            <w:r>
              <w:rPr>
                <w:rFonts w:ascii="Arial" w:hAnsi="Arial"/>
                <w:sz w:val="20"/>
                <w:highlight w:val="yellow"/>
              </w:rPr>
              <w:t>{1974}</w:t>
            </w:r>
          </w:p>
        </w:tc>
      </w:tr>
    </w:tbl>
    <w:p/>
    <w:p>
      <w:r>
        <w:rPr>
          <w:rFonts w:ascii="Arial" w:hAnsi="Arial"/>
          <w:sz w:val="20"/>
        </w:rPr>
        <w:t xml:space="preserve">Aufgrund von Modernisierungsmaßnahmen wurde die Restnutzungsdauer verlängert. Der Umfang gilt als kleine Modernisierung im Rahmen der Instandhaltung. Für die Maßnahmen wurden </w:t>
      </w:r>
      <w:r>
        <w:rPr>
          <w:rFonts w:ascii="Arial" w:hAnsi="Arial"/>
          <w:sz w:val="20"/>
          <w:highlight w:val="yellow"/>
        </w:rPr>
        <w:t>{5 Punkte}</w:t>
      </w:r>
      <w:r>
        <w:rPr>
          <w:rFonts w:ascii="Arial" w:hAnsi="Arial"/>
          <w:sz w:val="20"/>
        </w:rPr>
        <w:t xml:space="preserve"> vergeben, welche gemäß der Anlage 2 der Immobilienwertermittlungsverordnung (ImmoWertV 2021) zu einer Verlängerung der Restnutzungsdauer auf </w:t>
      </w:r>
      <w:r>
        <w:rPr>
          <w:rFonts w:ascii="Arial" w:hAnsi="Arial"/>
          <w:sz w:val="20"/>
          <w:highlight w:val="yellow"/>
        </w:rPr>
        <w:t>{29 Jahre}</w:t>
      </w:r>
      <w:r>
        <w:rPr>
          <w:rFonts w:ascii="Arial" w:hAnsi="Arial"/>
          <w:sz w:val="20"/>
        </w:rPr>
        <w:t xml:space="preserve"> und zu einem modifizierten Baujahr von </w:t>
      </w:r>
      <w:r>
        <w:rPr>
          <w:rFonts w:ascii="Arial" w:hAnsi="Arial"/>
          <w:sz w:val="20"/>
          <w:highlight w:val="yellow"/>
        </w:rPr>
        <w:t>{1974}</w:t>
      </w:r>
      <w:r>
        <w:rPr>
          <w:rFonts w:ascii="Arial" w:hAnsi="Arial"/>
          <w:sz w:val="20"/>
        </w:rPr>
        <w:t xml:space="preserve"> führen.</w:t>
      </w:r>
    </w:p>
    <w:p>
      <w:r>
        <w:rPr>
          <w:rFonts w:ascii="Arial" w:hAnsi="Arial"/>
          <w:sz w:val="20"/>
        </w:rPr>
        <w:t>Rechenweg: (a * Gebäudealter² / GND - b * Gebäudealter + c * Gesamtnutzungsdauer) = (0,6725 * 61²) / 80 - 1,4578 * 61 + 1,0850 * 80 ≈ 29 Jahre)</w:t>
      </w:r>
    </w:p>
    <w:p>
      <w:r>
        <w:rPr>
          <w:rFonts w:ascii="Arial" w:hAnsi="Arial"/>
          <w:sz w:val="20"/>
        </w:rPr>
        <w:t>Die Restnutzungsdauer entspricht dabei nicht dem Ergebnis aus Gesamtnutzungsdauer abzüglich Gebäudealter, sondern ergibt sich aus der Formel gemäß der Anlage 2 ImmoWertV.</w:t>
      </w:r>
    </w:p>
    <w:p>
      <w:pPr>
        <w:ind w:left="0" w:firstLine="0" w:right="0"/>
      </w:pPr>
      <w:r/>
      <w:r>
        <w:rPr>
          <w:rFonts w:ascii="Arial" w:hAnsi="Arial"/>
          <w:color w:val="FFFEFD"/>
          <w:sz w:val="8"/>
        </w:rPr>
        <w:t>#CodePageEnd</w:t>
      </w:r>
    </w:p>
    <w:p>
      <w:pPr>
        <w:pStyle w:val="Heading1"/>
        <w:ind w:left="0" w:firstLine="0" w:right="0"/>
      </w:pPr>
      <w:r/>
      <w:r>
        <w:rPr>
          <w:rFonts w:ascii="Calibri" w:hAnsi="Calibri"/>
          <w:b w:val="0"/>
          <w:color w:val="000000"/>
          <w:sz w:val="22"/>
        </w:rPr>
        <w:t xml:space="preserve"> </w:t>
      </w:r>
      <w:r>
        <w:rPr/>
        <w:t>4.</w:t>
      </w:r>
      <w:r>
        <w:rPr/>
        <w:t xml:space="preserve"> Schlusserklärung</w:t>
      </w:r>
    </w:p>
    <w:p>
      <w:pPr>
        <w:ind w:left="0" w:firstLine="0" w:right="0"/>
      </w:pPr>
      <w:r/>
      <w:r>
        <w:rPr>
          <w:rFonts w:ascii="Arial" w:hAnsi="Arial"/>
          <w:color w:val="181717"/>
          <w:sz w:val="20"/>
        </w:rPr>
        <w:t>– Plausibilisierung und Würdigung des Bewertungsergebnisses –</w:t>
      </w:r>
    </w:p>
    <w:p>
      <w:pPr>
        <w:pStyle w:val="Heading2"/>
        <w:ind w:left="0" w:firstLine="0" w:right="0"/>
      </w:pPr>
      <w:r/>
      <w:r>
        <w:rPr/>
        <w:t xml:space="preserve">4.1 Restnutzungsdauer gemäß diesem Gutachten zum Wertermittlungsstichtag </w:t>
      </w:r>
      <w:r>
        <w:rPr>
          <w:highlight w:val="yellow"/>
        </w:rPr>
        <w:t>07.10.2025</w:t>
      </w:r>
    </w:p>
    <w:p>
      <w:pPr>
        <w:ind w:left="0" w:firstLine="0" w:right="0"/>
      </w:pPr>
      <w:r/>
      <w:r>
        <w:rPr>
          <w:rFonts w:ascii="Arial" w:hAnsi="Arial"/>
          <w:color w:val="181717"/>
          <w:sz w:val="20"/>
        </w:rPr>
        <w:t>Auf Basis der durchgeführten Bewertung und unter Berücksichtigung der entsprechenden Richtlinien und Verordnungen beträgt die von mir ermittelte Restnutzungsdauer des zu bewertenden Objekts:</w:t>
      </w:r>
    </w:p>
    <w:p>
      <w:pPr>
        <w:ind w:left="0" w:firstLine="0" w:right="0"/>
      </w:pPr>
      <w:r/>
      <w:r>
        <w:rPr>
          <w:rFonts w:ascii="Arial" w:hAnsi="Arial"/>
          <w:b/>
          <w:color w:val="181717"/>
          <w:sz w:val="28"/>
          <w:highlight w:val="yellow"/>
        </w:rPr>
        <w:t>29 Jahre</w:t>
      </w:r>
    </w:p>
    <w:p>
      <w:pPr>
        <w:ind w:left="0" w:firstLine="0" w:right="0"/>
      </w:pPr>
      <w:r/>
      <w:r>
        <w:rPr>
          <w:rFonts w:ascii="Arial" w:hAnsi="Arial"/>
          <w:color w:val="181717"/>
          <w:sz w:val="20"/>
        </w:rPr>
        <w:t>basierend auf der Ermittlung gemäß ImmoWertV</w:t>
      </w:r>
    </w:p>
    <w:p>
      <w:pPr>
        <w:pStyle w:val="Heading2"/>
        <w:ind w:left="0" w:firstLine="0" w:right="0"/>
      </w:pPr>
      <w:r/>
      <w:r>
        <w:rPr/>
        <w:t>4.2 Hinweis zur Verwendung</w:t>
      </w:r>
    </w:p>
    <w:p>
      <w:pPr>
        <w:ind w:left="0" w:firstLine="0" w:right="0"/>
      </w:pPr>
      <w:r/>
      <w:r>
        <w:rPr>
          <w:rFonts w:ascii="Arial" w:hAnsi="Arial"/>
          <w:color w:val="181717"/>
          <w:sz w:val="20"/>
        </w:rPr>
        <w:t xml:space="preserve">Dieses Gutachten wurde unparteiisch und nach bestem Wissen und Gewissen und ausschließlich zu dem im Auftrag genannten Zweck erstellt. Eine </w:t>
      </w:r>
      <w:r>
        <w:rPr>
          <w:rFonts w:ascii="Arial" w:hAnsi="Arial"/>
          <w:color w:val="181717"/>
          <w:sz w:val="20"/>
        </w:rPr>
        <w:t>darüber hinausgehende</w:t>
      </w:r>
      <w:r>
        <w:rPr>
          <w:rFonts w:ascii="Arial" w:hAnsi="Arial"/>
          <w:color w:val="181717"/>
          <w:sz w:val="20"/>
        </w:rPr>
        <w:t xml:space="preserve"> oder abweichende Nutzung, auch in Auszügen, ist nur mit meiner vorherigen schriftlichen Zustimmung zulässig.</w:t>
      </w:r>
    </w:p>
    <w:p>
      <w:pPr>
        <w:ind w:left="0" w:firstLine="0" w:right="0"/>
      </w:pPr>
      <w:r/>
      <w:r>
        <w:rPr>
          <w:rFonts w:ascii="Arial" w:hAnsi="Arial"/>
          <w:color w:val="181717"/>
          <w:sz w:val="20"/>
        </w:rPr>
        <w:t>Der Auftraggeber ist verpflichtet, das Gutachten nur für den vereinbarten Zweck zu verwenden und es nicht an Dritte weiterzugeben, es sei denn, dies ist im Rahmen des Auftrags ausdrücklich vorgesehen oder ich habe der Weitergabe schriftlich zugestimmt.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16"/>
        <w:gridCol w:w="3610"/>
      </w:tblGrid>
      <w:tr>
        <w:tc>
          <w:tcPr>
            <w:tcW w:type="dxa" w:w="5416"/>
          </w:tcPr>
          <w:p>
            <w:pPr>
              <w:spacing w:after="0"/>
            </w:pPr>
            <w:r/>
            <w:r>
              <w:rPr>
                <w:rFonts w:ascii="Arial" w:hAnsi="Arial"/>
                <w:color w:val="181717"/>
                <w:sz w:val="20"/>
              </w:rPr>
              <w:t xml:space="preserve">Bargteheide, den </w:t>
            </w:r>
            <w:r>
              <w:rPr>
                <w:rFonts w:ascii="Arial" w:hAnsi="Arial"/>
                <w:color w:val="181717"/>
                <w:sz w:val="20"/>
                <w:highlight w:val="yellow"/>
              </w:rPr>
              <w:t>03.11.2025</w:t>
            </w:r>
            <w:r>
              <w:rPr>
                <w:rFonts w:ascii="Arial" w:hAnsi="Arial"/>
                <w:color w:val="181717"/>
                <w:sz w:val="20"/>
              </w:rPr>
              <w:t xml:space="preserve"> </w:t>
            </w:r>
            <w:r>
              <w:rPr>
                <w:rFonts w:ascii="Arial" w:hAnsi="Arial"/>
                <w:b/>
                <w:color w:val="181717"/>
                <w:sz w:val="20"/>
              </w:rPr>
              <w:t>Maria Knoop</w:t>
            </w:r>
          </w:p>
          <w:p>
            <w:pPr>
              <w:spacing w:after="0"/>
            </w:pPr>
            <w:r>
              <w:rPr>
                <w:rFonts w:ascii="Arial" w:hAnsi="Arial"/>
                <w:color w:val="181717"/>
                <w:sz w:val="20"/>
              </w:rPr>
              <w:t>zertifizierte Sachverständige nach DIN 17024 Maria K</w:t>
            </w:r>
            <w:r>
              <w:rPr>
                <w:rFonts w:ascii="Arial" w:hAnsi="Arial"/>
                <w:color w:val="85858A"/>
                <w:sz w:val="20"/>
              </w:rPr>
              <w:t>n</w:t>
            </w:r>
            <w:r>
              <w:rPr>
                <w:rFonts w:ascii="Arial" w:hAnsi="Arial"/>
                <w:color w:val="A5A0B9"/>
                <w:sz w:val="20"/>
              </w:rPr>
              <w:t>o</w:t>
            </w:r>
            <w:r>
              <w:rPr>
                <w:rFonts w:ascii="Arial" w:hAnsi="Arial"/>
                <w:color w:val="181717"/>
                <w:sz w:val="20"/>
              </w:rPr>
              <w:t>o</w:t>
            </w:r>
            <w:r>
              <w:rPr>
                <w:rFonts w:ascii="Arial" w:hAnsi="Arial"/>
                <w:color w:val="928DAE"/>
                <w:sz w:val="20"/>
              </w:rPr>
              <w:t xml:space="preserve">p </w:t>
            </w:r>
            <w:r>
              <w:rPr>
                <w:rFonts w:ascii="Arial" w:hAnsi="Arial"/>
                <w:color w:val="181717"/>
                <w:sz w:val="20"/>
              </w:rPr>
              <w:t>Sprengnetter (S)</w:t>
            </w:r>
          </w:p>
        </w:tc>
        <w:tc>
          <w:tcPr>
            <w:tcW w:type="dxa" w:w="3610"/>
          </w:tcPr>
          <w:p>
            <w:pPr>
              <w:jc w:val="center"/>
            </w:pPr>
            <w:r/>
            <w:r>
              <w:drawing>
                <wp:inline xmlns:a="http://schemas.openxmlformats.org/drawingml/2006/main" xmlns:pic="http://schemas.openxmlformats.org/drawingml/2006/picture">
                  <wp:extent cx="1440000" cy="10828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440000" cy="1082880"/>
                          </a:xfrm>
                          <a:prstGeom prst="rect"/>
                        </pic:spPr>
                      </pic:pic>
                    </a:graphicData>
                  </a:graphic>
                </wp:inline>
              </w:drawing>
            </w:r>
            <w:r>
              <w:t xml:space="preserve">  </w:t>
            </w:r>
            <w:r>
              <w:drawing>
                <wp:inline xmlns:a="http://schemas.openxmlformats.org/drawingml/2006/main" xmlns:pic="http://schemas.openxmlformats.org/drawingml/2006/picture">
                  <wp:extent cx="1080000" cy="1064283"/>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80000" cy="1064283"/>
                          </a:xfrm>
                          <a:prstGeom prst="rect"/>
                        </pic:spPr>
                      </pic:pic>
                    </a:graphicData>
                  </a:graphic>
                </wp:inline>
              </w:drawing>
            </w:r>
          </w:p>
        </w:tc>
      </w:tr>
    </w:tbl>
    <w:p>
      <w:pPr>
        <w:pStyle w:val="Heading1"/>
        <w:ind w:left="0" w:firstLine="0" w:right="0"/>
      </w:pPr>
      <w:r/>
      <w:r>
        <w:rPr>
          <w:rFonts w:ascii="Calibri" w:hAnsi="Calibri"/>
          <w:b w:val="0"/>
          <w:color w:val="000000"/>
          <w:sz w:val="22"/>
        </w:rPr>
        <w:t xml:space="preserve"> </w:t>
      </w:r>
      <w:r>
        <w:rPr/>
        <w:t>5.</w:t>
      </w:r>
      <w:r>
        <w:rPr/>
        <w:t xml:space="preserve"> Anerkenntnis durch</w:t>
      </w:r>
      <w:r>
        <w:rPr/>
        <w:t xml:space="preserve"> </w:t>
      </w:r>
      <w:r>
        <w:rPr/>
        <w:t xml:space="preserve">Finanzverwaltung und - </w:t>
      </w:r>
      <w:r>
        <w:rPr/>
        <w:t>gerichtsbarkeit</w:t>
      </w:r>
    </w:p>
    <w:p>
      <w:pPr>
        <w:ind w:left="0" w:firstLine="0" w:right="0"/>
      </w:pPr>
      <w:r/>
      <w:r>
        <w:rPr>
          <w:rFonts w:ascii="Arial" w:hAnsi="Arial"/>
          <w:color w:val="181717"/>
          <w:sz w:val="20"/>
        </w:rPr>
        <w:t>– Wahlrecht des Steuerpflichtigen –</w:t>
      </w:r>
    </w:p>
    <w:p>
      <w:pPr>
        <w:ind w:left="0" w:firstLine="0" w:right="0"/>
      </w:pPr>
      <w:r/>
      <w:r>
        <w:rPr>
          <w:rFonts w:ascii="Arial" w:hAnsi="Arial"/>
          <w:color w:val="181717"/>
          <w:sz w:val="20"/>
        </w:rPr>
        <w:t>Die Bestimmung des § 7 Abs. 4 Satz 2 EStG räumt dem Steuerpflichtigen ein Wahlrecht ein, ob er sich mit dem typisierten AfA-Satz nach § 7 Abs. 4 Satz 1 EStG zufrieden gibt oder eine tatsächlich kürzere Nutzungsdauer geltend macht und darlegt.</w:t>
      </w:r>
    </w:p>
    <w:p>
      <w:pPr>
        <w:ind w:left="0" w:firstLine="0" w:right="0"/>
      </w:pPr>
      <w:r/>
      <w:r>
        <w:rPr>
          <w:rFonts w:ascii="Arial" w:hAnsi="Arial"/>
          <w:color w:val="181717"/>
          <w:sz w:val="20"/>
        </w:rPr>
        <w:t>Auszugehen ist im Rahmen der vom Finanzamt durchzuführenden Amtsermittlung von der</w:t>
      </w:r>
      <w:r>
        <w:t xml:space="preserve"> </w:t>
      </w:r>
      <w:r>
        <w:rPr>
          <w:rFonts w:ascii="Arial" w:hAnsi="Arial"/>
          <w:color w:val="181717"/>
          <w:sz w:val="20"/>
        </w:rPr>
        <w:t>Schätzung des Steuerpflichtigen, solange dieser Erwägungen zugrunde liegen, wie sie ein vernünftig wirtschaftender Steuerpflichtiger üblicherweise anstellt.</w:t>
      </w:r>
    </w:p>
    <w:p>
      <w:pPr>
        <w:ind w:left="0" w:firstLine="0" w:right="0"/>
      </w:pPr>
      <w:r/>
      <w:r>
        <w:rPr>
          <w:rFonts w:ascii="Arial" w:hAnsi="Arial"/>
          <w:color w:val="181717"/>
          <w:sz w:val="20"/>
        </w:rPr>
        <w:t>Da im Rahmen der Schätzung des Steuerpflichtigen nicht Gewissheit über die kürzere tatsächliche Nutzungsdauer, sondern allenfalls größtmögliche Wahrscheinlichkeit verlangt werden kann, ist sie nur dann zu verwerfen, wenn sie eindeutig außerhalb des angemessenen Schätzungsrahmens liegt.</w:t>
      </w:r>
    </w:p>
    <w:p>
      <w:pPr>
        <w:pStyle w:val="Heading2"/>
        <w:ind w:left="0" w:firstLine="0" w:right="0"/>
      </w:pPr>
      <w:r/>
      <w:r>
        <w:rPr/>
        <w:t>5.1 Urteil des Bundesfinanzhofs vom 28.07.2021 – IX R 25/19</w:t>
      </w:r>
    </w:p>
    <w:p>
      <w:pPr>
        <w:ind w:left="0" w:firstLine="0" w:right="0"/>
      </w:pPr>
      <w:r/>
      <w:r>
        <w:rPr>
          <w:rFonts w:ascii="Arial" w:hAnsi="Arial"/>
          <w:color w:val="181717"/>
          <w:sz w:val="20"/>
        </w:rPr>
        <w:t>Gemäß dem Urteil gibt es keine Verengung der Gutachtenmethodik auf Bausubstanzgutachten zum Nachweis einer kürzeren tatsächlichen Nutzungsdauer eines Gebäudes (§ 7 Abs. 4 Satz 2 EStG). Es gilt:</w:t>
      </w:r>
    </w:p>
    <w:p>
      <w:pPr>
        <w:ind w:left="0" w:firstLine="0" w:right="0"/>
      </w:pPr>
      <w:r/>
      <w:r>
        <w:rPr>
          <w:rFonts w:ascii="Arial" w:hAnsi="Arial"/>
          <w:color w:val="181717"/>
          <w:sz w:val="20"/>
        </w:rPr>
        <w:t xml:space="preserve">Der Steuerpflichtige kann sich zur Darlegung der verkürzten tatsächlichen Nutzungsdauer </w:t>
      </w:r>
      <w:r>
        <w:rPr>
          <w:rFonts w:ascii="Arial" w:hAnsi="Arial"/>
          <w:color w:val="181717"/>
          <w:sz w:val="20"/>
        </w:rPr>
        <w:t>eineszur</w:t>
      </w:r>
      <w:r>
        <w:rPr>
          <w:rFonts w:ascii="Arial" w:hAnsi="Arial"/>
          <w:color w:val="181717"/>
          <w:sz w:val="20"/>
        </w:rPr>
        <w:t xml:space="preserve"> </w:t>
      </w:r>
      <w:r>
        <w:rPr>
          <w:rFonts w:ascii="Arial" w:hAnsi="Arial"/>
          <w:color w:val="181717"/>
          <w:sz w:val="20"/>
        </w:rPr>
        <w:t>Einkünfteerzielung</w:t>
      </w:r>
      <w:r>
        <w:rPr>
          <w:rFonts w:ascii="Arial" w:hAnsi="Arial"/>
          <w:color w:val="181717"/>
          <w:sz w:val="20"/>
        </w:rPr>
        <w:t xml:space="preserve"> genutzten Gebäudes (§ 7 Abs. 4 Satz 2 EStG) jeder Darlegungsmethode bedienen, die im Einzelfall zur Führung des erforderlichen Nachweises geeignet erscheint; erforderlich ist insoweit, dass aufgrund der Darlegungen des Steuerpflichtigen der Zeitraum, in dem das maßgebliche Gebäude voraussichtlich seiner Zweckbestimmung entsprechend genutzt werden kann, mit hinreichender Sicherheit geschätzt werden kann.</w:t>
      </w:r>
    </w:p>
    <w:p>
      <w:pPr>
        <w:ind w:left="0" w:firstLine="0" w:right="0"/>
      </w:pPr>
      <w:r/>
      <w:r>
        <w:rPr>
          <w:rFonts w:ascii="Arial" w:hAnsi="Arial"/>
          <w:color w:val="181717"/>
          <w:sz w:val="20"/>
        </w:rPr>
        <w:t xml:space="preserve">Die Vorlage eines Bausubstanzgutachtens ist nicht Voraussetzung für die Anerkennung </w:t>
      </w:r>
      <w:r>
        <w:rPr>
          <w:rFonts w:ascii="Arial" w:hAnsi="Arial"/>
          <w:color w:val="181717"/>
          <w:sz w:val="20"/>
        </w:rPr>
        <w:t>einerverkürzten</w:t>
      </w:r>
      <w:r>
        <w:rPr>
          <w:rFonts w:ascii="Arial" w:hAnsi="Arial"/>
          <w:color w:val="181717"/>
          <w:sz w:val="20"/>
        </w:rPr>
        <w:t xml:space="preserve"> tatsächlichen Nutzungsdauer.</w:t>
      </w:r>
    </w:p>
    <w:p>
      <w:pPr>
        <w:pStyle w:val="Heading2"/>
        <w:ind w:left="0" w:firstLine="0" w:right="0"/>
      </w:pPr>
      <w:r/>
      <w:r>
        <w:rPr/>
        <w:t>5.2 Weitere Finanzgerichtsurteile zum Sachverhalt</w:t>
      </w:r>
    </w:p>
    <w:p>
      <w:pPr>
        <w:ind w:left="0" w:firstLine="0" w:right="0"/>
      </w:pPr>
      <w:r/>
      <w:r>
        <w:rPr>
          <w:rFonts w:ascii="Arial" w:hAnsi="Arial"/>
          <w:color w:val="181717"/>
          <w:sz w:val="20"/>
        </w:rPr>
        <w:t>Die Vorgehensweise dieses Sachverständigengutachtens wurde weiter durch folgende Finanzgerichtsurteile bestätigt:</w:t>
      </w:r>
    </w:p>
    <w:p>
      <w:pPr>
        <w:ind w:left="0" w:firstLine="0" w:right="0"/>
      </w:pPr>
      <w:r/>
      <w:r>
        <w:rPr>
          <w:rFonts w:ascii="Arial" w:hAnsi="Arial"/>
          <w:color w:val="181717"/>
          <w:sz w:val="20"/>
        </w:rPr>
        <w:t>FG Münster-Urteil vom 27.01.2022 - 1 K 1741/18</w:t>
      </w:r>
      <w:r>
        <w:t xml:space="preserve"> </w:t>
      </w:r>
      <w:r>
        <w:rPr>
          <w:rFonts w:ascii="Arial" w:hAnsi="Arial"/>
          <w:color w:val="181717"/>
          <w:sz w:val="20"/>
        </w:rPr>
        <w:t>FG Köln-Urteil vom 23.03.2022 - 6 K 923/20</w:t>
      </w:r>
      <w:r>
        <w:t xml:space="preserve"> </w:t>
      </w:r>
      <w:r>
        <w:rPr>
          <w:rFonts w:ascii="Arial" w:hAnsi="Arial"/>
          <w:color w:val="181717"/>
          <w:sz w:val="20"/>
        </w:rPr>
        <w:t>BFH-Urteil vom 03.05.2022 - IX R 22/19</w:t>
      </w:r>
      <w:r>
        <w:t xml:space="preserve"> </w:t>
      </w:r>
      <w:r>
        <w:rPr>
          <w:rFonts w:ascii="Arial" w:hAnsi="Arial"/>
          <w:color w:val="181717"/>
          <w:sz w:val="20"/>
        </w:rPr>
        <w:t>FG Köln-Urteil vom 20.10.2022 - 6 K 1506/17</w:t>
      </w:r>
      <w:r>
        <w:t xml:space="preserve"> </w:t>
      </w:r>
      <w:r>
        <w:rPr>
          <w:rFonts w:ascii="Arial" w:hAnsi="Arial"/>
          <w:color w:val="181717"/>
          <w:sz w:val="20"/>
        </w:rPr>
        <w:t>FG Münster-Urteil vom 14.02.2023 - 1 K 3840/19</w:t>
      </w:r>
      <w:r>
        <w:t xml:space="preserve"> </w:t>
      </w:r>
      <w:r>
        <w:rPr>
          <w:rFonts w:ascii="Arial" w:hAnsi="Arial"/>
          <w:color w:val="181717"/>
          <w:sz w:val="20"/>
        </w:rPr>
        <w:t>FG Münster-Urteil vom 14.02.2023 - 1 K 3841/19</w:t>
      </w:r>
      <w:r>
        <w:t xml:space="preserve"> </w:t>
      </w:r>
      <w:r>
        <w:rPr>
          <w:rFonts w:ascii="Arial" w:hAnsi="Arial"/>
          <w:color w:val="181717"/>
          <w:sz w:val="20"/>
        </w:rPr>
        <w:t>FG Münster-Urteil vom 27.04.2023 - 1 K 487/19</w:t>
      </w:r>
      <w:r>
        <w:t xml:space="preserve"> </w:t>
      </w:r>
      <w:r>
        <w:rPr>
          <w:rFonts w:ascii="Arial" w:hAnsi="Arial"/>
          <w:color w:val="181717"/>
          <w:sz w:val="20"/>
        </w:rPr>
        <w:t>FG Niedersachsen-Urteil vom 16.05.2023 - 9 K 93/22</w:t>
      </w:r>
      <w:r>
        <w:t xml:space="preserve"> </w:t>
      </w:r>
      <w:r>
        <w:rPr>
          <w:rFonts w:ascii="Arial" w:hAnsi="Arial"/>
          <w:color w:val="181717"/>
          <w:sz w:val="20"/>
        </w:rPr>
        <w:t>BFH-Urteil vom 23.01.2024 - IX R 14/23</w:t>
      </w:r>
    </w:p>
    <w:p>
      <w:pPr>
        <w:pStyle w:val="Heading2"/>
        <w:ind w:left="0" w:firstLine="0" w:right="0"/>
      </w:pPr>
      <w:r/>
      <w:r>
        <w:rPr/>
        <w:t>5.3 Hinweis zum Auftrag und zur Ausarbeitung</w:t>
      </w:r>
    </w:p>
    <w:p>
      <w:pPr>
        <w:ind w:left="0" w:firstLine="0" w:right="0"/>
      </w:pPr>
      <w:r/>
      <w:r>
        <w:rPr>
          <w:rFonts w:ascii="Arial" w:hAnsi="Arial"/>
          <w:color w:val="181717"/>
          <w:sz w:val="20"/>
        </w:rPr>
        <w:t>Eine steuerliche Beratung durch den Sachverständigen hat nicht stattgefunden.</w:t>
      </w:r>
    </w:p>
    <w:p>
      <w:r>
        <w:br w:type="page"/>
      </w:r>
    </w:p>
    <w:p>
      <w:pPr>
        <w:pStyle w:val="Heading1"/>
      </w:pPr>
      <w:r>
        <w:t>A1 Luftbild</w:t>
      </w:r>
    </w:p>
    <w:p>
      <w:r>
        <w:rPr>
          <w:rFonts w:ascii="Arial" w:hAnsi="Arial"/>
          <w:color w:val="181717"/>
          <w:sz w:val="20"/>
          <w:highlight w:val="red"/>
        </w:rPr>
        <w:t xml:space="preserve">– Quelle: </w:t>
      </w:r>
      <w:r>
        <w:rPr>
          <w:rFonts w:ascii="Arial" w:hAnsi="Arial"/>
          <w:color w:val="181717"/>
          <w:sz w:val="20"/>
          <w:highlight w:val="red"/>
        </w:rPr>
        <w:t>GoogleMaps</w:t>
      </w:r>
      <w:r>
        <w:rPr>
          <w:rFonts w:ascii="Arial" w:hAnsi="Arial"/>
          <w:color w:val="181717"/>
          <w:sz w:val="20"/>
          <w:highlight w:val="red"/>
        </w:rPr>
        <w:t xml:space="preserve"> | Abruf über API –</w:t>
      </w:r>
    </w:p>
    <w:p/>
    <w:p>
      <w:r>
        <w:rPr>
          <w:rFonts w:ascii="Arial" w:hAnsi="Arial"/>
          <w:b/>
          <w:sz w:val="20"/>
        </w:rPr>
        <w:t>Daimlerstraße 4c, 21337 Lüneburg</w:t>
      </w:r>
    </w:p>
    <w:tbl>
      <w:tblPr>
        <w:tblW w:type="auto" w:w="0"/>
        <w:tblLayout w:type="fixed"/>
        <w:tblLook w:firstColumn="1" w:firstRow="1" w:lastColumn="0" w:lastRow="0" w:noHBand="0" w:noVBand="1" w:val="04A0"/>
      </w:tblPr>
      <w:tblGrid>
        <w:gridCol w:w="9026"/>
      </w:tblGrid>
      <w:tr>
        <w:trPr>
          <w:trHeight w:val="6803" w:hRule="exact"/>
        </w:trPr>
        <w:tc>
          <w:tcPr>
            <w:tcW w:type="dxa" w:w="9026"/>
            <w:vAlign w:val="center"/>
            <w:tcBorders>
              <w:left w:sz="8" w:val="single" w:color="BFBFBF"/>
              <w:top w:sz="8" w:val="single" w:color="BFBFBF"/>
              <w:right w:sz="8" w:val="single" w:color="BFBFBF"/>
              <w:bottom w:sz="8" w:val="single" w:color="BFBFBF"/>
            </w:tcBorders>
          </w:tcPr>
          <w:p>
            <w:pPr>
              <w:jc w:val="center"/>
            </w:pPr>
            <w:r/>
            <w:r>
              <w:rPr>
                <w:rFonts w:ascii="Arial" w:hAnsi="Arial"/>
                <w:i/>
                <w:sz w:val="18"/>
              </w:rPr>
              <w:t>[Luftbild / Kartenausschnitt hier einfügen]</w:t>
            </w:r>
          </w:p>
        </w:tc>
      </w:tr>
    </w:tbl>
    <w:p>
      <w:r>
        <w:br w:type="page"/>
      </w:r>
    </w:p>
    <w:p>
      <w:pPr>
        <w:pStyle w:val="Heading2"/>
      </w:pPr>
      <w:r>
        <w:rPr>
          <w:rFonts w:ascii="Arial" w:hAnsi="Arial"/>
          <w:b/>
          <w:sz w:val="24"/>
        </w:rPr>
        <w:t>A2</w:t>
      </w:r>
      <w:r>
        <w:t xml:space="preserve"> </w:t>
      </w:r>
      <w:r>
        <w:rPr>
          <w:rFonts w:ascii="Arial" w:hAnsi="Arial"/>
          <w:b/>
          <w:sz w:val="24"/>
          <w:highlight w:val="red"/>
        </w:rPr>
        <w:t>Objektbilder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58"/>
        <w:gridCol w:w="2268"/>
      </w:tblGrid>
      <w:tr>
        <w:trPr>
          <w:trHeight w:val="8504" w:hRule="exact"/>
        </w:trPr>
        <w:tc>
          <w:tcPr>
            <w:tcW w:type="dxa" w:w="6758"/>
            <w:tcBorders>
              <w:left w:sz="8" w:val="single" w:color="BFBFBF"/>
              <w:top w:sz="8" w:val="single" w:color="BFBFBF"/>
              <w:right w:sz="8" w:val="single" w:color="BFBFBF"/>
              <w:bottom w:sz="8" w:val="single" w:color="BFBFBF"/>
            </w:tcBorders>
          </w:tcPr>
          <w:p>
            <w:r/>
          </w:p>
        </w:tc>
        <w:tc>
          <w:tcPr>
            <w:tcW w:type="dxa" w:w="2268"/>
          </w:tcPr>
          <w:p>
            <w:pPr>
              <w:spacing w:after="0"/>
            </w:pPr>
            <w:r/>
            <w:r>
              <w:rPr>
                <w:rFonts w:ascii="Arial" w:hAnsi="Arial"/>
                <w:b/>
                <w:sz w:val="20"/>
              </w:rPr>
              <w:t>Nr. 1</w:t>
            </w:r>
          </w:p>
          <w:p>
            <w:pPr>
              <w:spacing w:after="0"/>
            </w:pPr>
            <w:r>
              <w:rPr>
                <w:rFonts w:ascii="Arial" w:hAnsi="Arial"/>
                <w:sz w:val="18"/>
              </w:rPr>
              <w:t>Aussenansicht</w:t>
            </w:r>
          </w:p>
        </w:tc>
      </w:tr>
    </w:tbl>
    <w:p>
      <w:r>
        <w:br w:type="page"/>
      </w:r>
    </w:p>
    <w:p>
      <w:pPr>
        <w:pStyle w:val="Heading2"/>
      </w:pPr>
      <w:r>
        <w:rPr>
          <w:rFonts w:ascii="Arial" w:hAnsi="Arial"/>
          <w:b/>
          <w:sz w:val="24"/>
        </w:rPr>
        <w:t>A2</w:t>
      </w:r>
      <w:r>
        <w:t xml:space="preserve"> </w:t>
      </w:r>
      <w:r>
        <w:rPr>
          <w:rFonts w:ascii="Arial" w:hAnsi="Arial"/>
          <w:b/>
          <w:sz w:val="24"/>
        </w:rPr>
        <w:t>Objektbilder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58"/>
        <w:gridCol w:w="2268"/>
      </w:tblGrid>
      <w:tr>
        <w:trPr>
          <w:trHeight w:val="8504" w:hRule="exact"/>
        </w:trPr>
        <w:tc>
          <w:tcPr>
            <w:tcW w:type="dxa" w:w="6758"/>
            <w:tcBorders>
              <w:left w:sz="8" w:val="single" w:color="BFBFBF"/>
              <w:top w:sz="8" w:val="single" w:color="BFBFBF"/>
              <w:right w:sz="8" w:val="single" w:color="BFBFBF"/>
              <w:bottom w:sz="8" w:val="single" w:color="BFBFBF"/>
            </w:tcBorders>
          </w:tcPr>
          <w:p>
            <w:r/>
          </w:p>
        </w:tc>
        <w:tc>
          <w:tcPr>
            <w:tcW w:type="dxa" w:w="2268"/>
          </w:tcPr>
          <w:p>
            <w:pPr>
              <w:spacing w:after="0"/>
            </w:pPr>
            <w:r/>
            <w:r>
              <w:rPr>
                <w:rFonts w:ascii="Arial" w:hAnsi="Arial"/>
                <w:b/>
                <w:sz w:val="20"/>
              </w:rPr>
              <w:t>Nr. 2</w:t>
            </w:r>
          </w:p>
          <w:p>
            <w:pPr>
              <w:spacing w:after="0"/>
            </w:pPr>
            <w:r>
              <w:rPr>
                <w:rFonts w:ascii="Arial" w:hAnsi="Arial"/>
                <w:sz w:val="18"/>
              </w:rPr>
              <w:t>Aussenansicht</w:t>
            </w:r>
          </w:p>
        </w:tc>
      </w:tr>
    </w:tbl>
    <w:p>
      <w:r>
        <w:br w:type="page"/>
      </w:r>
    </w:p>
    <w:p>
      <w:pPr>
        <w:pStyle w:val="Heading2"/>
      </w:pPr>
      <w:r>
        <w:rPr>
          <w:rFonts w:ascii="Arial" w:hAnsi="Arial"/>
          <w:b/>
          <w:sz w:val="24"/>
        </w:rPr>
        <w:t>A2</w:t>
      </w:r>
      <w:r>
        <w:t xml:space="preserve"> </w:t>
      </w:r>
      <w:r>
        <w:rPr>
          <w:rFonts w:ascii="Arial" w:hAnsi="Arial"/>
          <w:b/>
          <w:sz w:val="24"/>
        </w:rPr>
        <w:t>Objektbilder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58"/>
        <w:gridCol w:w="2268"/>
      </w:tblGrid>
      <w:tr>
        <w:trPr>
          <w:trHeight w:val="8504" w:hRule="exact"/>
        </w:trPr>
        <w:tc>
          <w:tcPr>
            <w:tcW w:type="dxa" w:w="6758"/>
            <w:tcBorders>
              <w:left w:sz="8" w:val="single" w:color="BFBFBF"/>
              <w:top w:sz="8" w:val="single" w:color="BFBFBF"/>
              <w:right w:sz="8" w:val="single" w:color="BFBFBF"/>
              <w:bottom w:sz="8" w:val="single" w:color="BFBFBF"/>
            </w:tcBorders>
          </w:tcPr>
          <w:p>
            <w:r/>
          </w:p>
        </w:tc>
        <w:tc>
          <w:tcPr>
            <w:tcW w:type="dxa" w:w="2268"/>
          </w:tcPr>
          <w:p>
            <w:pPr>
              <w:spacing w:after="0"/>
            </w:pPr>
            <w:r/>
            <w:r>
              <w:rPr>
                <w:rFonts w:ascii="Arial" w:hAnsi="Arial"/>
                <w:b/>
                <w:sz w:val="20"/>
              </w:rPr>
              <w:t>Nr. 3</w:t>
            </w:r>
          </w:p>
          <w:p>
            <w:pPr>
              <w:spacing w:after="0"/>
            </w:pPr>
            <w:r>
              <w:rPr>
                <w:rFonts w:ascii="Arial" w:hAnsi="Arial"/>
                <w:sz w:val="18"/>
              </w:rPr>
              <w:t>Aussenansicht</w:t>
            </w:r>
          </w:p>
        </w:tc>
      </w:tr>
    </w:tbl>
    <w:p>
      <w:r>
        <w:br w:type="page"/>
      </w:r>
    </w:p>
    <w:p>
      <w:pPr>
        <w:pStyle w:val="Heading2"/>
      </w:pPr>
      <w:r>
        <w:rPr>
          <w:rFonts w:ascii="Arial" w:hAnsi="Arial"/>
          <w:b/>
          <w:sz w:val="24"/>
        </w:rPr>
        <w:t>A2</w:t>
      </w:r>
      <w:r>
        <w:t xml:space="preserve"> </w:t>
      </w:r>
      <w:r>
        <w:rPr>
          <w:rFonts w:ascii="Arial" w:hAnsi="Arial"/>
          <w:b/>
          <w:sz w:val="24"/>
        </w:rPr>
        <w:t>Objektbilder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58"/>
        <w:gridCol w:w="2268"/>
      </w:tblGrid>
      <w:tr>
        <w:trPr>
          <w:trHeight w:val="8504" w:hRule="exact"/>
        </w:trPr>
        <w:tc>
          <w:tcPr>
            <w:tcW w:type="dxa" w:w="6758"/>
            <w:tcBorders>
              <w:left w:sz="8" w:val="single" w:color="BFBFBF"/>
              <w:top w:sz="8" w:val="single" w:color="BFBFBF"/>
              <w:right w:sz="8" w:val="single" w:color="BFBFBF"/>
              <w:bottom w:sz="8" w:val="single" w:color="BFBFBF"/>
            </w:tcBorders>
          </w:tcPr>
          <w:p>
            <w:r/>
          </w:p>
        </w:tc>
        <w:tc>
          <w:tcPr>
            <w:tcW w:type="dxa" w:w="2268"/>
          </w:tcPr>
          <w:p>
            <w:pPr>
              <w:spacing w:after="0"/>
            </w:pPr>
            <w:r/>
            <w:r>
              <w:rPr>
                <w:rFonts w:ascii="Arial" w:hAnsi="Arial"/>
                <w:sz w:val="18"/>
              </w:rPr>
              <w:t>Treppenhaus</w:t>
            </w:r>
          </w:p>
          <w:p>
            <w:pPr>
              <w:spacing w:after="0"/>
            </w:pPr>
            <w:r>
              <w:rPr>
                <w:rFonts w:ascii="Arial" w:hAnsi="Arial"/>
                <w:sz w:val="18"/>
              </w:rPr>
              <w:t>Zustand</w:t>
            </w:r>
          </w:p>
        </w:tc>
      </w:tr>
    </w:tbl>
    <w:p>
      <w:r>
        <w:br w:type="page"/>
      </w:r>
    </w:p>
    <w:p>
      <w:pPr>
        <w:pStyle w:val="Heading2"/>
      </w:pPr>
      <w:r>
        <w:rPr>
          <w:rFonts w:ascii="Arial" w:hAnsi="Arial"/>
          <w:b/>
          <w:sz w:val="24"/>
        </w:rPr>
        <w:t>A2</w:t>
      </w:r>
      <w:r>
        <w:t xml:space="preserve"> </w:t>
      </w:r>
      <w:r>
        <w:rPr>
          <w:rFonts w:ascii="Arial" w:hAnsi="Arial"/>
          <w:b/>
          <w:sz w:val="24"/>
        </w:rPr>
        <w:t>Objektbilder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58"/>
        <w:gridCol w:w="2268"/>
      </w:tblGrid>
      <w:tr>
        <w:trPr>
          <w:trHeight w:val="8504" w:hRule="exact"/>
        </w:trPr>
        <w:tc>
          <w:tcPr>
            <w:tcW w:type="dxa" w:w="6758"/>
            <w:tcBorders>
              <w:left w:sz="8" w:val="single" w:color="BFBFBF"/>
              <w:top w:sz="8" w:val="single" w:color="BFBFBF"/>
              <w:right w:sz="8" w:val="single" w:color="BFBFBF"/>
              <w:bottom w:sz="8" w:val="single" w:color="BFBFBF"/>
            </w:tcBorders>
          </w:tcPr>
          <w:p>
            <w:r/>
          </w:p>
        </w:tc>
        <w:tc>
          <w:tcPr>
            <w:tcW w:type="dxa" w:w="2268"/>
          </w:tcPr>
          <w:p>
            <w:pPr>
              <w:spacing w:after="0"/>
            </w:pPr>
            <w:r/>
            <w:r>
              <w:rPr>
                <w:rFonts w:ascii="Arial" w:hAnsi="Arial"/>
                <w:sz w:val="18"/>
              </w:rPr>
              <w:t>Treppenhaus</w:t>
            </w:r>
          </w:p>
          <w:p>
            <w:pPr>
              <w:spacing w:after="0"/>
            </w:pPr>
            <w:r>
              <w:rPr>
                <w:rFonts w:ascii="Arial" w:hAnsi="Arial"/>
                <w:sz w:val="18"/>
              </w:rPr>
              <w:t>Zustand</w:t>
            </w:r>
          </w:p>
        </w:tc>
      </w:tr>
    </w:tbl>
    <w:p>
      <w:r>
        <w:br w:type="page"/>
      </w:r>
    </w:p>
    <w:p>
      <w:pPr>
        <w:pStyle w:val="Heading2"/>
      </w:pPr>
      <w:r>
        <w:rPr>
          <w:rFonts w:ascii="Arial" w:hAnsi="Arial"/>
          <w:b/>
          <w:sz w:val="24"/>
        </w:rPr>
        <w:t>A2</w:t>
      </w:r>
      <w:r>
        <w:t xml:space="preserve"> </w:t>
      </w:r>
      <w:r>
        <w:rPr>
          <w:rFonts w:ascii="Arial" w:hAnsi="Arial"/>
          <w:b/>
          <w:sz w:val="24"/>
        </w:rPr>
        <w:t>Objektbilder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58"/>
        <w:gridCol w:w="2268"/>
      </w:tblGrid>
      <w:tr>
        <w:trPr>
          <w:trHeight w:val="8504" w:hRule="exact"/>
        </w:trPr>
        <w:tc>
          <w:tcPr>
            <w:tcW w:type="dxa" w:w="6758"/>
            <w:tcBorders>
              <w:left w:sz="8" w:val="single" w:color="BFBFBF"/>
              <w:top w:sz="8" w:val="single" w:color="BFBFBF"/>
              <w:right w:sz="8" w:val="single" w:color="BFBFBF"/>
              <w:bottom w:sz="8" w:val="single" w:color="BFBFBF"/>
            </w:tcBorders>
          </w:tcPr>
          <w:p>
            <w:r/>
          </w:p>
        </w:tc>
        <w:tc>
          <w:tcPr>
            <w:tcW w:type="dxa" w:w="2268"/>
          </w:tcPr>
          <w:p>
            <w:pPr>
              <w:spacing w:after="0"/>
            </w:pPr>
            <w:r/>
            <w:r>
              <w:rPr>
                <w:rFonts w:ascii="Arial" w:hAnsi="Arial"/>
                <w:sz w:val="18"/>
              </w:rPr>
              <w:t>Treppenhaus</w:t>
            </w:r>
          </w:p>
          <w:p>
            <w:pPr>
              <w:spacing w:after="0"/>
            </w:pPr>
            <w:r>
              <w:rPr>
                <w:rFonts w:ascii="Arial" w:hAnsi="Arial"/>
                <w:sz w:val="18"/>
              </w:rPr>
              <w:t>Zustand</w:t>
            </w:r>
          </w:p>
        </w:tc>
      </w:tr>
    </w:tbl>
    <w:p>
      <w:r>
        <w:br w:type="page"/>
      </w:r>
    </w:p>
    <w:p>
      <w:pPr>
        <w:pStyle w:val="Heading2"/>
      </w:pPr>
      <w:r>
        <w:rPr>
          <w:rFonts w:ascii="Arial" w:hAnsi="Arial"/>
          <w:b/>
          <w:sz w:val="24"/>
        </w:rPr>
        <w:t>A2</w:t>
      </w:r>
      <w:r>
        <w:t xml:space="preserve"> </w:t>
      </w:r>
      <w:r>
        <w:rPr>
          <w:rFonts w:ascii="Arial" w:hAnsi="Arial"/>
          <w:b/>
          <w:sz w:val="24"/>
        </w:rPr>
        <w:t>Objektbilder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58"/>
        <w:gridCol w:w="2268"/>
      </w:tblGrid>
      <w:tr>
        <w:trPr>
          <w:trHeight w:val="8504" w:hRule="exact"/>
        </w:trPr>
        <w:tc>
          <w:tcPr>
            <w:tcW w:type="dxa" w:w="6758"/>
            <w:tcBorders>
              <w:left w:sz="8" w:val="single" w:color="BFBFBF"/>
              <w:top w:sz="8" w:val="single" w:color="BFBFBF"/>
              <w:right w:sz="8" w:val="single" w:color="BFBFBF"/>
              <w:bottom w:sz="8" w:val="single" w:color="BFBFBF"/>
            </w:tcBorders>
          </w:tcPr>
          <w:p>
            <w:r/>
          </w:p>
        </w:tc>
        <w:tc>
          <w:tcPr>
            <w:tcW w:type="dxa" w:w="2268"/>
          </w:tcPr>
          <w:p>
            <w:pPr>
              <w:spacing w:after="0"/>
            </w:pPr>
            <w:r/>
            <w:r>
              <w:rPr>
                <w:rFonts w:ascii="Arial" w:hAnsi="Arial"/>
                <w:b/>
                <w:sz w:val="20"/>
              </w:rPr>
              <w:t>Nr. 7</w:t>
            </w:r>
          </w:p>
          <w:p>
            <w:pPr>
              <w:spacing w:after="0"/>
            </w:pPr>
            <w:r>
              <w:rPr>
                <w:rFonts w:ascii="Arial" w:hAnsi="Arial"/>
                <w:sz w:val="18"/>
              </w:rPr>
              <w:t>Zustand Flur/Diele</w:t>
            </w:r>
          </w:p>
        </w:tc>
      </w:tr>
    </w:tbl>
    <w:p>
      <w:r>
        <w:br w:type="page"/>
      </w:r>
    </w:p>
    <w:p>
      <w:pPr>
        <w:pStyle w:val="Heading2"/>
      </w:pPr>
      <w:r>
        <w:rPr>
          <w:rFonts w:ascii="Arial" w:hAnsi="Arial"/>
          <w:b/>
          <w:sz w:val="24"/>
        </w:rPr>
        <w:t>A2</w:t>
      </w:r>
      <w:r>
        <w:t xml:space="preserve"> </w:t>
      </w:r>
      <w:r>
        <w:rPr>
          <w:rFonts w:ascii="Arial" w:hAnsi="Arial"/>
          <w:b/>
          <w:sz w:val="24"/>
        </w:rPr>
        <w:t>Objektbilder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58"/>
        <w:gridCol w:w="2268"/>
      </w:tblGrid>
      <w:tr>
        <w:trPr>
          <w:trHeight w:val="8504" w:hRule="exact"/>
        </w:trPr>
        <w:tc>
          <w:tcPr>
            <w:tcW w:type="dxa" w:w="6758"/>
            <w:tcBorders>
              <w:left w:sz="8" w:val="single" w:color="BFBFBF"/>
              <w:top w:sz="8" w:val="single" w:color="BFBFBF"/>
              <w:right w:sz="8" w:val="single" w:color="BFBFBF"/>
              <w:bottom w:sz="8" w:val="single" w:color="BFBFBF"/>
            </w:tcBorders>
          </w:tcPr>
          <w:p>
            <w:r/>
          </w:p>
        </w:tc>
        <w:tc>
          <w:tcPr>
            <w:tcW w:type="dxa" w:w="2268"/>
          </w:tcPr>
          <w:p>
            <w:pPr>
              <w:spacing w:after="0"/>
            </w:pPr>
            <w:r/>
            <w:r>
              <w:rPr>
                <w:rFonts w:ascii="Arial" w:hAnsi="Arial"/>
                <w:b/>
                <w:sz w:val="20"/>
              </w:rPr>
              <w:t>Nr. 8</w:t>
            </w:r>
          </w:p>
          <w:p>
            <w:pPr>
              <w:spacing w:after="0"/>
            </w:pPr>
            <w:r>
              <w:rPr>
                <w:rFonts w:ascii="Arial" w:hAnsi="Arial"/>
                <w:sz w:val="18"/>
              </w:rPr>
              <w:t>Zustand Flur/Diele</w:t>
            </w:r>
          </w:p>
        </w:tc>
      </w:tr>
    </w:tbl>
    <w:p>
      <w:r>
        <w:br w:type="page"/>
      </w:r>
    </w:p>
    <w:p>
      <w:pPr>
        <w:pStyle w:val="Heading2"/>
      </w:pPr>
      <w:r>
        <w:rPr>
          <w:rFonts w:ascii="Arial" w:hAnsi="Arial"/>
          <w:b/>
          <w:sz w:val="24"/>
        </w:rPr>
        <w:t>A2</w:t>
      </w:r>
      <w:r>
        <w:t xml:space="preserve"> </w:t>
      </w:r>
      <w:r>
        <w:rPr>
          <w:rFonts w:ascii="Arial" w:hAnsi="Arial"/>
          <w:b/>
          <w:sz w:val="24"/>
        </w:rPr>
        <w:t>Objektbilder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58"/>
        <w:gridCol w:w="2268"/>
      </w:tblGrid>
      <w:tr>
        <w:trPr>
          <w:trHeight w:val="8504" w:hRule="exact"/>
        </w:trPr>
        <w:tc>
          <w:tcPr>
            <w:tcW w:type="dxa" w:w="6758"/>
            <w:tcBorders>
              <w:left w:sz="8" w:val="single" w:color="BFBFBF"/>
              <w:top w:sz="8" w:val="single" w:color="BFBFBF"/>
              <w:right w:sz="8" w:val="single" w:color="BFBFBF"/>
              <w:bottom w:sz="8" w:val="single" w:color="BFBFBF"/>
            </w:tcBorders>
          </w:tcPr>
          <w:p>
            <w:r/>
          </w:p>
        </w:tc>
        <w:tc>
          <w:tcPr>
            <w:tcW w:type="dxa" w:w="2268"/>
          </w:tcPr>
          <w:p>
            <w:pPr>
              <w:spacing w:after="0"/>
            </w:pPr>
            <w:r/>
            <w:r>
              <w:rPr>
                <w:rFonts w:ascii="Arial" w:hAnsi="Arial"/>
                <w:sz w:val="18"/>
              </w:rPr>
              <w:t>(</w:t>
            </w:r>
          </w:p>
          <w:p>
            <w:pPr>
              <w:spacing w:after="0"/>
            </w:pPr>
            <w:r>
              <w:rPr>
                <w:rFonts w:ascii="Arial" w:hAnsi="Arial"/>
                <w:sz w:val="18"/>
              </w:rPr>
              <w:t>Zustand Badezimmer</w:t>
            </w:r>
          </w:p>
        </w:tc>
      </w:tr>
    </w:tbl>
    <w:p>
      <w:r>
        <w:br w:type="page"/>
      </w:r>
    </w:p>
    <w:p>
      <w:pPr>
        <w:pStyle w:val="Heading2"/>
      </w:pPr>
      <w:r>
        <w:rPr>
          <w:rFonts w:ascii="Arial" w:hAnsi="Arial"/>
          <w:b/>
          <w:sz w:val="24"/>
        </w:rPr>
        <w:t>A2</w:t>
      </w:r>
      <w:r>
        <w:t xml:space="preserve"> </w:t>
      </w:r>
      <w:r>
        <w:rPr>
          <w:rFonts w:ascii="Arial" w:hAnsi="Arial"/>
          <w:b/>
          <w:sz w:val="24"/>
        </w:rPr>
        <w:t>Objektbilder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58"/>
        <w:gridCol w:w="2268"/>
      </w:tblGrid>
      <w:tr>
        <w:trPr>
          <w:trHeight w:val="8504" w:hRule="exact"/>
        </w:trPr>
        <w:tc>
          <w:tcPr>
            <w:tcW w:type="dxa" w:w="6758"/>
            <w:tcBorders>
              <w:left w:sz="8" w:val="single" w:color="BFBFBF"/>
              <w:top w:sz="8" w:val="single" w:color="BFBFBF"/>
              <w:right w:sz="8" w:val="single" w:color="BFBFBF"/>
              <w:bottom w:sz="8" w:val="single" w:color="BFBFBF"/>
            </w:tcBorders>
          </w:tcPr>
          <w:p>
            <w:r/>
          </w:p>
        </w:tc>
        <w:tc>
          <w:tcPr>
            <w:tcW w:type="dxa" w:w="2268"/>
          </w:tcPr>
          <w:p>
            <w:pPr>
              <w:spacing w:after="0"/>
            </w:pPr>
            <w:r/>
            <w:r>
              <w:rPr>
                <w:rFonts w:ascii="Arial" w:hAnsi="Arial"/>
                <w:b/>
                <w:sz w:val="20"/>
              </w:rPr>
              <w:t>Nr. 10</w:t>
            </w:r>
          </w:p>
          <w:p>
            <w:pPr>
              <w:spacing w:after="0"/>
            </w:pPr>
            <w:r>
              <w:rPr>
                <w:rFonts w:ascii="Arial" w:hAnsi="Arial"/>
                <w:sz w:val="18"/>
              </w:rPr>
              <w:t>Zustand Küche</w:t>
            </w:r>
          </w:p>
        </w:tc>
      </w:tr>
    </w:tbl>
    <w:p>
      <w:r>
        <w:br w:type="page"/>
      </w:r>
    </w:p>
    <w:p>
      <w:pPr>
        <w:pStyle w:val="Heading2"/>
      </w:pPr>
      <w:r>
        <w:rPr>
          <w:rFonts w:ascii="Arial" w:hAnsi="Arial"/>
          <w:b/>
          <w:sz w:val="24"/>
        </w:rPr>
        <w:t>A2</w:t>
      </w:r>
      <w:r>
        <w:t xml:space="preserve"> </w:t>
      </w:r>
      <w:r>
        <w:rPr>
          <w:rFonts w:ascii="Arial" w:hAnsi="Arial"/>
          <w:b/>
          <w:sz w:val="24"/>
        </w:rPr>
        <w:t>Objektbilder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758"/>
        <w:gridCol w:w="2268"/>
      </w:tblGrid>
      <w:tr>
        <w:trPr>
          <w:trHeight w:val="8504" w:hRule="exact"/>
        </w:trPr>
        <w:tc>
          <w:tcPr>
            <w:tcW w:type="dxa" w:w="6758"/>
            <w:tcBorders>
              <w:left w:sz="8" w:val="single" w:color="BFBFBF"/>
              <w:top w:sz="8" w:val="single" w:color="BFBFBF"/>
              <w:right w:sz="8" w:val="single" w:color="BFBFBF"/>
              <w:bottom w:sz="8" w:val="single" w:color="BFBFBF"/>
            </w:tcBorders>
          </w:tcPr>
          <w:p>
            <w:r/>
          </w:p>
        </w:tc>
        <w:tc>
          <w:tcPr>
            <w:tcW w:type="dxa" w:w="2268"/>
          </w:tcPr>
          <w:p>
            <w:pPr>
              <w:spacing w:after="0"/>
            </w:pPr>
            <w:r/>
            <w:r>
              <w:rPr>
                <w:rFonts w:ascii="Arial" w:hAnsi="Arial"/>
                <w:sz w:val="18"/>
              </w:rPr>
              <w:t>Balkon/Loggia</w:t>
            </w:r>
          </w:p>
          <w:p>
            <w:pPr>
              <w:spacing w:after="0"/>
            </w:pPr>
            <w:r>
              <w:rPr>
                <w:rFonts w:ascii="Arial" w:hAnsi="Arial"/>
                <w:sz w:val="18"/>
              </w:rPr>
              <w:t>Zustand</w:t>
            </w:r>
          </w:p>
        </w:tc>
      </w:tr>
    </w:tbl>
    <w:p>
      <w:r>
        <w:br w:type="page"/>
      </w:r>
    </w:p>
    <w:p>
      <w:pPr>
        <w:pStyle w:val="Heading1"/>
        <w:ind w:left="0" w:firstLine="0" w:right="0"/>
      </w:pPr>
      <w:r/>
      <w:r>
        <w:rPr/>
        <w:t>A3</w:t>
      </w:r>
      <w:r>
        <w:rPr/>
        <w:t xml:space="preserve"> Wohnfläche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1805"/>
        <w:gridCol w:w="1805"/>
        <w:gridCol w:w="1805"/>
        <w:gridCol w:w="1805"/>
        <w:gridCol w:w="1805"/>
      </w:tblGrid>
      <w:tr>
        <w:tc>
          <w:tcPr>
            <w:tcW w:type="dxa" w:w="1805"/>
          </w:tcPr>
          <w:p>
            <w:pPr>
              <w:spacing w:after="0" w:before="0"/>
            </w:pPr>
            <w:r/>
            <w:r>
              <w:rPr>
                <w:rFonts w:ascii="Arial" w:hAnsi="Arial"/>
                <w:b/>
                <w:color w:val="181717"/>
                <w:sz w:val="20"/>
                <w:highlight w:val="cyan"/>
              </w:rPr>
              <w:t>Flächenbezeichnung</w:t>
            </w:r>
          </w:p>
        </w:tc>
        <w:tc>
          <w:tcPr>
            <w:tcW w:type="dxa" w:w="1805"/>
          </w:tcPr>
          <w:p>
            <w:pPr>
              <w:spacing w:after="0" w:before="0"/>
            </w:pPr>
            <w:r/>
            <w:r>
              <w:rPr>
                <w:rFonts w:ascii="Arial" w:hAnsi="Arial"/>
                <w:b/>
                <w:color w:val="181717"/>
                <w:sz w:val="20"/>
                <w:highlight w:val="cyan"/>
              </w:rPr>
              <w:t>Flächenbezeichnung</w:t>
            </w:r>
          </w:p>
        </w:tc>
        <w:tc>
          <w:tcPr>
            <w:tcW w:type="dxa" w:w="1805"/>
          </w:tcPr>
          <w:p>
            <w:pPr>
              <w:spacing w:after="0" w:before="0"/>
            </w:pPr>
            <w:r/>
            <w:r>
              <w:rPr>
                <w:rFonts w:ascii="Arial" w:hAnsi="Arial"/>
                <w:b/>
                <w:color w:val="181717"/>
                <w:sz w:val="20"/>
                <w:highlight w:val="cyan"/>
              </w:rPr>
              <w:t>Flächenansatz</w:t>
            </w:r>
          </w:p>
        </w:tc>
        <w:tc>
          <w:tcPr>
            <w:tcW w:type="dxa" w:w="1805"/>
          </w:tcPr>
          <w:p>
            <w:pPr>
              <w:spacing w:after="0" w:before="0"/>
            </w:pPr>
            <w:r/>
            <w:r>
              <w:rPr>
                <w:rFonts w:ascii="Arial" w:hAnsi="Arial"/>
                <w:b/>
                <w:color w:val="181717"/>
                <w:sz w:val="20"/>
                <w:highlight w:val="cyan"/>
              </w:rPr>
              <w:t>Flächenansatz</w:t>
            </w:r>
          </w:p>
        </w:tc>
        <w:tc>
          <w:tcPr>
            <w:tcW w:type="dxa" w:w="1805"/>
          </w:tcPr>
          <w:p>
            <w:pPr>
              <w:spacing w:after="0" w:before="0"/>
            </w:pPr>
            <w:r/>
            <w:r>
              <w:rPr>
                <w:rFonts w:ascii="Arial" w:hAnsi="Arial"/>
                <w:b/>
                <w:color w:val="181717"/>
                <w:sz w:val="20"/>
                <w:highlight w:val="cyan"/>
              </w:rPr>
              <w:t>Fläche in m²</w:t>
            </w:r>
          </w:p>
        </w:tc>
      </w:tr>
      <w:tr>
        <w:tc>
          <w:tcPr>
            <w:tcW w:type="dxa" w:w="1805"/>
          </w:tcPr>
          <w:p>
            <w:pPr>
              <w:spacing w:after="0" w:before="0"/>
            </w:pPr>
            <w:r/>
            <w:r>
              <w:rPr>
                <w:rFonts w:ascii="Arial" w:hAnsi="Arial"/>
                <w:color w:val="181717"/>
                <w:sz w:val="20"/>
                <w:highlight w:val="cyan"/>
              </w:rPr>
              <w:t>Wfl</w:t>
            </w:r>
            <w:r>
              <w:rPr>
                <w:rFonts w:ascii="Arial" w:hAnsi="Arial"/>
                <w:color w:val="181717"/>
                <w:sz w:val="20"/>
                <w:highlight w:val="cyan"/>
              </w:rPr>
              <w:t>.</w:t>
            </w:r>
          </w:p>
        </w:tc>
        <w:tc>
          <w:tcPr>
            <w:tcW w:type="dxa" w:w="1805"/>
          </w:tcPr>
          <w:p>
            <w:pPr>
              <w:spacing w:after="0" w:before="0"/>
            </w:pPr>
            <w:r/>
            <w:r>
              <w:rPr>
                <w:rFonts w:ascii="Arial" w:hAnsi="Arial"/>
                <w:color w:val="181717"/>
                <w:sz w:val="20"/>
                <w:highlight w:val="cyan"/>
              </w:rPr>
              <w:t>Bewertungsobjekt</w:t>
            </w:r>
          </w:p>
        </w:tc>
        <w:tc>
          <w:tcPr>
            <w:tcW w:type="dxa" w:w="1805"/>
          </w:tcPr>
          <w:p>
            <w:pPr>
              <w:spacing w:after="0" w:before="0"/>
            </w:pPr>
            <w:r/>
            <w:r>
              <w:rPr>
                <w:rFonts w:ascii="Arial" w:hAnsi="Arial"/>
                <w:color w:val="181717"/>
                <w:sz w:val="20"/>
                <w:highlight w:val="cyan"/>
              </w:rPr>
              <w:t>56,09</w:t>
            </w:r>
          </w:p>
        </w:tc>
        <w:tc>
          <w:tcPr>
            <w:tcW w:type="dxa" w:w="1805"/>
          </w:tcPr>
          <w:p>
            <w:pPr>
              <w:spacing w:after="0" w:before="0"/>
            </w:pPr>
            <w:r/>
            <w:r>
              <w:rPr>
                <w:rFonts w:ascii="Arial" w:hAnsi="Arial"/>
                <w:color w:val="181717"/>
                <w:sz w:val="20"/>
                <w:highlight w:val="cyan"/>
              </w:rPr>
              <w:t>100 %</w:t>
            </w:r>
          </w:p>
        </w:tc>
        <w:tc>
          <w:tcPr>
            <w:tcW w:type="dxa" w:w="1805"/>
          </w:tcPr>
          <w:p>
            <w:pPr>
              <w:spacing w:after="0" w:before="0"/>
            </w:pPr>
            <w:r/>
            <w:r>
              <w:rPr>
                <w:rFonts w:ascii="Arial" w:hAnsi="Arial"/>
                <w:color w:val="181717"/>
                <w:sz w:val="20"/>
                <w:highlight w:val="cyan"/>
              </w:rPr>
              <w:t>56,09</w:t>
            </w:r>
          </w:p>
        </w:tc>
      </w:tr>
      <w:tr>
        <w:tc>
          <w:tcPr>
            <w:tcW w:type="dxa" w:w="1805"/>
          </w:tcPr>
          <w:p>
            <w:pPr>
              <w:spacing w:after="0" w:before="0"/>
            </w:pPr>
            <w:r/>
          </w:p>
        </w:tc>
        <w:tc>
          <w:tcPr>
            <w:tcW w:type="dxa" w:w="1805"/>
          </w:tcPr>
          <w:p>
            <w:pPr>
              <w:spacing w:after="0" w:before="0"/>
            </w:pPr>
            <w:r/>
            <w:r>
              <w:rPr>
                <w:rFonts w:ascii="Arial" w:hAnsi="Arial"/>
                <w:b/>
                <w:color w:val="181717"/>
                <w:sz w:val="20"/>
                <w:highlight w:val="cyan"/>
              </w:rPr>
              <w:t>Bewertungsobjekt:</w:t>
            </w:r>
          </w:p>
        </w:tc>
        <w:tc>
          <w:tcPr>
            <w:tcW w:type="dxa" w:w="1805"/>
          </w:tcPr>
          <w:p>
            <w:pPr>
              <w:spacing w:after="0" w:before="0"/>
            </w:pPr>
            <w:r/>
            <w:r>
              <w:rPr>
                <w:rFonts w:ascii="Arial" w:hAnsi="Arial"/>
                <w:b/>
                <w:color w:val="181717"/>
                <w:sz w:val="20"/>
                <w:highlight w:val="cyan"/>
              </w:rPr>
              <w:t>Bewertungsobjekt:</w:t>
            </w:r>
          </w:p>
        </w:tc>
        <w:tc>
          <w:tcPr>
            <w:tcW w:type="dxa" w:w="1805"/>
          </w:tcPr>
          <w:p>
            <w:pPr>
              <w:spacing w:after="0" w:before="0"/>
            </w:pPr>
            <w:r/>
            <w:r>
              <w:rPr>
                <w:rFonts w:ascii="Arial" w:hAnsi="Arial"/>
                <w:b/>
                <w:color w:val="181717"/>
                <w:sz w:val="20"/>
                <w:highlight w:val="cyan"/>
              </w:rPr>
              <w:t>Bewertungsobjekt:</w:t>
            </w:r>
          </w:p>
        </w:tc>
        <w:tc>
          <w:tcPr>
            <w:tcW w:type="dxa" w:w="1805"/>
          </w:tcPr>
          <w:p>
            <w:pPr>
              <w:spacing w:after="0" w:before="0"/>
            </w:pPr>
            <w:r/>
            <w:r>
              <w:rPr>
                <w:rFonts w:ascii="Arial" w:hAnsi="Arial"/>
                <w:b/>
                <w:color w:val="181717"/>
                <w:sz w:val="20"/>
                <w:highlight w:val="cyan"/>
              </w:rPr>
              <w:t>56,09</w:t>
            </w:r>
          </w:p>
        </w:tc>
      </w:tr>
      <w:tr>
        <w:tc>
          <w:tcPr>
            <w:tcW w:type="dxa" w:w="1805"/>
          </w:tcPr>
          <w:p>
            <w:pPr>
              <w:spacing w:after="0" w:before="0"/>
            </w:pPr>
            <w:r/>
          </w:p>
        </w:tc>
        <w:tc>
          <w:tcPr>
            <w:tcW w:type="dxa" w:w="1805"/>
          </w:tcPr>
          <w:p>
            <w:pPr>
              <w:spacing w:after="0" w:before="0"/>
            </w:pPr>
            <w:r/>
            <w:r>
              <w:rPr>
                <w:rFonts w:ascii="Arial" w:hAnsi="Arial"/>
                <w:b/>
                <w:color w:val="181717"/>
                <w:sz w:val="20"/>
                <w:highlight w:val="cyan"/>
              </w:rPr>
              <w:t>Gesamte Wohnfläche:</w:t>
            </w:r>
          </w:p>
        </w:tc>
        <w:tc>
          <w:tcPr>
            <w:tcW w:type="dxa" w:w="1805"/>
          </w:tcPr>
          <w:p>
            <w:pPr>
              <w:spacing w:after="0" w:before="0"/>
            </w:pPr>
            <w:r/>
            <w:r>
              <w:rPr>
                <w:rFonts w:ascii="Arial" w:hAnsi="Arial"/>
                <w:b/>
                <w:color w:val="181717"/>
                <w:sz w:val="20"/>
                <w:highlight w:val="cyan"/>
              </w:rPr>
              <w:t>Gesamte Wohnfläche:</w:t>
            </w:r>
          </w:p>
        </w:tc>
        <w:tc>
          <w:tcPr>
            <w:tcW w:type="dxa" w:w="1805"/>
          </w:tcPr>
          <w:p>
            <w:pPr>
              <w:spacing w:after="0" w:before="0"/>
            </w:pPr>
            <w:r/>
            <w:r>
              <w:rPr>
                <w:rFonts w:ascii="Arial" w:hAnsi="Arial"/>
                <w:b/>
                <w:color w:val="181717"/>
                <w:sz w:val="20"/>
                <w:highlight w:val="cyan"/>
              </w:rPr>
              <w:t>Gesamte Wohnfläche:</w:t>
            </w:r>
          </w:p>
        </w:tc>
        <w:tc>
          <w:tcPr>
            <w:tcW w:type="dxa" w:w="1805"/>
          </w:tcPr>
          <w:p>
            <w:pPr>
              <w:spacing w:after="0" w:before="0"/>
            </w:pPr>
            <w:r/>
            <w:r>
              <w:rPr>
                <w:rFonts w:ascii="Arial" w:hAnsi="Arial"/>
                <w:b/>
                <w:color w:val="181717"/>
                <w:sz w:val="20"/>
                <w:highlight w:val="cyan"/>
              </w:rPr>
              <w:t>56,09</w:t>
            </w:r>
          </w:p>
        </w:tc>
      </w:tr>
    </w:tbl>
    <w:p>
      <w:pPr>
        <w:ind w:left="0" w:firstLine="0" w:right="0"/>
      </w:pPr>
      <w:r/>
      <w:r>
        <w:rPr>
          <w:highlight w:val="cyan"/>
        </w:rPr>
      </w:r>
      <w:r>
        <w:rPr>
          <w:highlight w:val="cyan"/>
        </w:rPr>
      </w:r>
      <w:r>
        <w:rPr>
          <w:rFonts w:ascii="Arial" w:hAnsi="Arial"/>
          <w:color w:val="181717"/>
          <w:sz w:val="20"/>
          <w:highlight w:val="cyan"/>
        </w:rPr>
        <w:t>– Alle Angaben in m², gerundet auf zwei Kommastellen –</w:t>
      </w:r>
    </w:p>
    <w:p/>
    <w:p>
      <w:pPr>
        <w:ind w:left="0" w:firstLine="0" w:right="0"/>
      </w:pPr>
      <w:r/>
      <w:r>
        <w:rPr>
          <w:rFonts w:ascii="Arial" w:hAnsi="Arial"/>
          <w:b/>
          <w:color w:val="181717"/>
          <w:sz w:val="20"/>
        </w:rPr>
        <w:t>Hinweis zu dieser Flächenermittlung</w:t>
      </w:r>
    </w:p>
    <w:p>
      <w:pPr>
        <w:ind w:left="0" w:firstLine="0" w:right="0"/>
      </w:pPr>
      <w:r/>
      <w:r>
        <w:rPr>
          <w:rFonts w:ascii="Arial" w:hAnsi="Arial"/>
          <w:color w:val="181717"/>
          <w:sz w:val="20"/>
        </w:rPr>
        <w:t>Diese Aufstellung wurde unter Berücksichtigung des vorhandenen Materials (Planungsunterlagen)</w:t>
      </w:r>
      <w:r>
        <w:t xml:space="preserve"> </w:t>
      </w:r>
      <w:r>
        <w:rPr>
          <w:rFonts w:ascii="Arial" w:hAnsi="Arial"/>
          <w:color w:val="181717"/>
          <w:sz w:val="20"/>
        </w:rPr>
        <w:t>erstellt, ist aber ohne Gewähr. Grundlage der Berechnung ist nach Möglichkeit die Wohnflächenverordnung bzw. abweichend davon die DIN 277.</w:t>
      </w:r>
    </w:p>
    <w:p>
      <w:pPr>
        <w:ind w:left="0" w:firstLine="0" w:right="0"/>
      </w:pPr>
      <w:r/>
      <w:r>
        <w:rPr>
          <w:rFonts w:ascii="Arial" w:hAnsi="Arial"/>
          <w:color w:val="181717"/>
          <w:sz w:val="20"/>
        </w:rPr>
        <w:t>Bitte beachten Sie, dass im Zweifelsfall die Flächenangaben auf Auskunft des Auftraggebers oder auf vorliegenden Dokumenten (z. B. Teilungserklärung) basieren. Flächen wurden nicht grundsätzlich nachgemessen bzw. geprüft.</w:t>
      </w:r>
      <w:r>
        <w:rPr/>
      </w:r>
    </w:p>
    <w:p>
      <w:pPr>
        <w:pStyle w:val="Heading1"/>
        <w:ind w:left="0" w:firstLine="0" w:right="0"/>
      </w:pPr>
      <w:r/>
      <w:r>
        <w:rPr/>
        <w:t>A4</w:t>
      </w:r>
      <w:r>
        <w:rPr/>
        <w:t xml:space="preserve"> Glossarium</w:t>
      </w:r>
    </w:p>
    <w:p>
      <w:pPr>
        <w:ind w:left="0" w:firstLine="0" w:right="0"/>
      </w:pPr>
      <w:r/>
      <w:r>
        <w:rPr>
          <w:rFonts w:ascii="Arial" w:hAnsi="Arial"/>
          <w:color w:val="181717"/>
          <w:sz w:val="20"/>
        </w:rPr>
        <w:t>– Abkürzungen und die dazugehörigen Fachbegriffe –</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513"/>
        <w:gridCol w:w="4513"/>
      </w:tblGrid>
      <w:tr>
        <w:tc>
          <w:tcPr>
            <w:tcW w:type="dxa" w:w="4513"/>
          </w:tcPr>
          <w:p>
            <w:pPr>
              <w:spacing w:after="0" w:before="0"/>
            </w:pPr>
            <w:r/>
            <w:r>
              <w:rPr>
                <w:rFonts w:ascii="Arial" w:hAnsi="Arial"/>
                <w:b/>
                <w:color w:val="181717"/>
                <w:sz w:val="20"/>
              </w:rPr>
              <w:t>Abkürzung</w:t>
            </w:r>
          </w:p>
        </w:tc>
        <w:tc>
          <w:tcPr>
            <w:tcW w:type="dxa" w:w="4513"/>
          </w:tcPr>
          <w:p>
            <w:pPr>
              <w:spacing w:after="0" w:before="0"/>
            </w:pPr>
            <w:r/>
            <w:r>
              <w:rPr>
                <w:rFonts w:ascii="Arial" w:hAnsi="Arial"/>
                <w:b/>
                <w:color w:val="181717"/>
                <w:sz w:val="20"/>
              </w:rPr>
              <w:t>Begriff</w:t>
            </w:r>
          </w:p>
        </w:tc>
      </w:tr>
      <w:tr>
        <w:tc>
          <w:tcPr>
            <w:tcW w:type="dxa" w:w="4513"/>
          </w:tcPr>
          <w:p>
            <w:pPr>
              <w:spacing w:after="0" w:before="0"/>
            </w:pPr>
            <w:r/>
            <w:r>
              <w:rPr>
                <w:rFonts w:ascii="Arial" w:hAnsi="Arial"/>
                <w:color w:val="181717"/>
                <w:sz w:val="20"/>
              </w:rPr>
              <w:t>AGVGA</w:t>
            </w:r>
          </w:p>
          <w:p>
            <w:pPr>
              <w:spacing w:after="0" w:before="0"/>
            </w:pPr>
            <w:r>
              <w:rPr>
                <w:rFonts w:ascii="Arial" w:hAnsi="Arial"/>
                <w:color w:val="181717"/>
                <w:sz w:val="20"/>
              </w:rPr>
              <w:t>BauGB</w:t>
            </w:r>
          </w:p>
          <w:p>
            <w:pPr>
              <w:spacing w:after="0" w:before="0"/>
            </w:pPr>
            <w:r>
              <w:rPr>
                <w:rFonts w:ascii="Arial" w:hAnsi="Arial"/>
                <w:color w:val="181717"/>
                <w:sz w:val="20"/>
              </w:rPr>
              <w:t>BauNVO</w:t>
            </w:r>
          </w:p>
          <w:p>
            <w:pPr>
              <w:spacing w:after="0" w:before="0"/>
            </w:pPr>
            <w:r>
              <w:rPr>
                <w:rFonts w:ascii="Arial" w:hAnsi="Arial"/>
                <w:color w:val="181717"/>
                <w:sz w:val="20"/>
              </w:rPr>
              <w:t>BauO</w:t>
            </w:r>
          </w:p>
          <w:p>
            <w:pPr>
              <w:spacing w:after="0" w:before="0"/>
            </w:pPr>
            <w:r>
              <w:rPr>
                <w:rFonts w:ascii="Arial" w:hAnsi="Arial"/>
                <w:color w:val="181717"/>
                <w:sz w:val="20"/>
              </w:rPr>
              <w:t>BetrKV</w:t>
            </w:r>
          </w:p>
          <w:p>
            <w:pPr>
              <w:spacing w:after="0" w:before="0"/>
            </w:pPr>
            <w:r>
              <w:rPr>
                <w:rFonts w:ascii="Arial" w:hAnsi="Arial"/>
                <w:color w:val="181717"/>
                <w:sz w:val="20"/>
              </w:rPr>
              <w:t>BGF</w:t>
            </w:r>
          </w:p>
          <w:p>
            <w:pPr>
              <w:spacing w:after="0" w:before="0"/>
            </w:pPr>
            <w:r>
              <w:rPr>
                <w:rFonts w:ascii="Arial" w:hAnsi="Arial"/>
                <w:color w:val="181717"/>
                <w:sz w:val="20"/>
              </w:rPr>
              <w:t xml:space="preserve">BKI </w:t>
            </w:r>
            <w:r>
              <w:rPr>
                <w:rFonts w:ascii="Arial" w:hAnsi="Arial"/>
                <w:color w:val="181717"/>
                <w:sz w:val="20"/>
              </w:rPr>
              <w:t>boG</w:t>
            </w:r>
            <w:r>
              <w:rPr>
                <w:rFonts w:ascii="Arial" w:hAnsi="Arial"/>
                <w:color w:val="181717"/>
                <w:sz w:val="20"/>
              </w:rPr>
              <w:t xml:space="preserve"> BRW</w:t>
            </w:r>
          </w:p>
          <w:p>
            <w:pPr>
              <w:spacing w:after="0" w:before="0"/>
            </w:pPr>
            <w:r>
              <w:rPr>
                <w:rFonts w:ascii="Arial" w:hAnsi="Arial"/>
                <w:color w:val="181717"/>
                <w:sz w:val="20"/>
              </w:rPr>
              <w:t>BV</w:t>
            </w:r>
          </w:p>
          <w:p>
            <w:pPr>
              <w:spacing w:after="0" w:before="0"/>
            </w:pPr>
            <w:r>
              <w:rPr>
                <w:rFonts w:ascii="Arial" w:hAnsi="Arial"/>
                <w:color w:val="181717"/>
                <w:sz w:val="20"/>
              </w:rPr>
              <w:t>BWF</w:t>
            </w:r>
          </w:p>
          <w:p>
            <w:pPr>
              <w:spacing w:after="0" w:before="0"/>
            </w:pPr>
            <w:r>
              <w:rPr>
                <w:rFonts w:ascii="Arial" w:hAnsi="Arial"/>
                <w:color w:val="181717"/>
                <w:sz w:val="20"/>
              </w:rPr>
              <w:t>BWK</w:t>
            </w:r>
          </w:p>
          <w:p>
            <w:pPr>
              <w:spacing w:after="0" w:before="0"/>
            </w:pPr>
            <w:r>
              <w:rPr>
                <w:rFonts w:ascii="Arial" w:hAnsi="Arial"/>
                <w:color w:val="181717"/>
                <w:sz w:val="20"/>
              </w:rPr>
              <w:t>DG</w:t>
            </w:r>
          </w:p>
          <w:p>
            <w:pPr>
              <w:spacing w:after="0" w:before="0"/>
            </w:pPr>
            <w:r>
              <w:rPr>
                <w:rFonts w:ascii="Arial" w:hAnsi="Arial"/>
                <w:color w:val="181717"/>
                <w:sz w:val="20"/>
              </w:rPr>
              <w:t>EG</w:t>
            </w:r>
          </w:p>
          <w:p>
            <w:pPr>
              <w:spacing w:after="0" w:before="0"/>
            </w:pPr>
            <w:r>
              <w:rPr>
                <w:rFonts w:ascii="Arial" w:hAnsi="Arial"/>
                <w:color w:val="181717"/>
                <w:sz w:val="20"/>
              </w:rPr>
              <w:t>EnEV</w:t>
            </w:r>
          </w:p>
          <w:p>
            <w:pPr>
              <w:spacing w:after="0" w:before="0"/>
            </w:pPr>
            <w:r>
              <w:rPr>
                <w:rFonts w:ascii="Arial" w:hAnsi="Arial"/>
                <w:color w:val="181717"/>
                <w:sz w:val="20"/>
              </w:rPr>
              <w:t>EW</w:t>
            </w:r>
          </w:p>
          <w:p>
            <w:pPr>
              <w:spacing w:after="0" w:before="0"/>
            </w:pPr>
            <w:r>
              <w:rPr>
                <w:rFonts w:ascii="Arial" w:hAnsi="Arial"/>
                <w:color w:val="181717"/>
                <w:sz w:val="20"/>
              </w:rPr>
              <w:t>GF</w:t>
            </w:r>
          </w:p>
          <w:p>
            <w:pPr>
              <w:spacing w:after="0" w:before="0"/>
            </w:pPr>
            <w:r>
              <w:rPr>
                <w:rFonts w:ascii="Arial" w:hAnsi="Arial"/>
                <w:color w:val="181717"/>
                <w:sz w:val="20"/>
              </w:rPr>
              <w:t>GFZ</w:t>
            </w:r>
          </w:p>
          <w:p>
            <w:pPr>
              <w:spacing w:after="0" w:before="0"/>
            </w:pPr>
            <w:r>
              <w:rPr>
                <w:rFonts w:ascii="Arial" w:hAnsi="Arial"/>
                <w:color w:val="181717"/>
                <w:sz w:val="20"/>
              </w:rPr>
              <w:t>GND</w:t>
            </w:r>
          </w:p>
          <w:p>
            <w:pPr>
              <w:spacing w:after="0" w:before="0"/>
            </w:pPr>
            <w:r>
              <w:rPr>
                <w:rFonts w:ascii="Arial" w:hAnsi="Arial"/>
                <w:color w:val="181717"/>
                <w:sz w:val="20"/>
              </w:rPr>
              <w:t xml:space="preserve">ImmoWertV </w:t>
            </w:r>
            <w:r>
              <w:rPr>
                <w:rFonts w:ascii="Arial" w:hAnsi="Arial"/>
                <w:color w:val="181717"/>
                <w:sz w:val="20"/>
              </w:rPr>
              <w:t>ImmoWertA</w:t>
            </w:r>
          </w:p>
          <w:p>
            <w:pPr>
              <w:spacing w:after="0" w:before="0"/>
            </w:pPr>
            <w:r>
              <w:rPr>
                <w:rFonts w:ascii="Arial" w:hAnsi="Arial"/>
                <w:color w:val="181717"/>
                <w:sz w:val="20"/>
              </w:rPr>
              <w:t>KAG</w:t>
            </w:r>
          </w:p>
          <w:p>
            <w:pPr>
              <w:spacing w:after="0" w:before="0"/>
            </w:pPr>
            <w:r>
              <w:rPr>
                <w:rFonts w:ascii="Arial" w:hAnsi="Arial"/>
                <w:color w:val="181717"/>
                <w:sz w:val="20"/>
              </w:rPr>
              <w:t>KG</w:t>
            </w:r>
          </w:p>
          <w:p>
            <w:pPr>
              <w:spacing w:after="0" w:before="0"/>
            </w:pPr>
            <w:r>
              <w:rPr>
                <w:rFonts w:ascii="Arial" w:hAnsi="Arial"/>
                <w:color w:val="181717"/>
                <w:sz w:val="20"/>
              </w:rPr>
              <w:t>LBodSchG</w:t>
            </w:r>
          </w:p>
          <w:p>
            <w:pPr>
              <w:spacing w:after="0" w:before="0"/>
            </w:pPr>
            <w:r>
              <w:rPr>
                <w:rFonts w:ascii="Arial" w:hAnsi="Arial"/>
                <w:color w:val="181717"/>
                <w:sz w:val="20"/>
              </w:rPr>
              <w:t>LSZ</w:t>
            </w:r>
          </w:p>
          <w:p>
            <w:pPr>
              <w:spacing w:after="0" w:before="0"/>
            </w:pPr>
            <w:r>
              <w:rPr>
                <w:rFonts w:ascii="Arial" w:hAnsi="Arial"/>
                <w:color w:val="181717"/>
                <w:sz w:val="20"/>
              </w:rPr>
              <w:t>LWG</w:t>
            </w:r>
          </w:p>
          <w:p>
            <w:pPr>
              <w:spacing w:after="0" w:before="0"/>
            </w:pPr>
            <w:r>
              <w:rPr>
                <w:rFonts w:ascii="Arial" w:hAnsi="Arial"/>
                <w:color w:val="181717"/>
                <w:sz w:val="20"/>
              </w:rPr>
              <w:t>NFL</w:t>
            </w:r>
          </w:p>
          <w:p>
            <w:pPr>
              <w:spacing w:after="0" w:before="0"/>
            </w:pPr>
            <w:r>
              <w:rPr>
                <w:rFonts w:ascii="Arial" w:hAnsi="Arial"/>
                <w:color w:val="181717"/>
                <w:sz w:val="20"/>
              </w:rPr>
              <w:t>NUF</w:t>
            </w:r>
          </w:p>
          <w:p>
            <w:pPr>
              <w:spacing w:after="0" w:before="0"/>
            </w:pPr>
            <w:r>
              <w:rPr>
                <w:rFonts w:ascii="Arial" w:hAnsi="Arial"/>
                <w:color w:val="181717"/>
                <w:sz w:val="20"/>
              </w:rPr>
              <w:t>NHK</w:t>
            </w:r>
          </w:p>
          <w:p>
            <w:pPr>
              <w:spacing w:after="0" w:before="0"/>
            </w:pPr>
            <w:r>
              <w:rPr>
                <w:rFonts w:ascii="Arial" w:hAnsi="Arial"/>
                <w:color w:val="181717"/>
                <w:sz w:val="20"/>
              </w:rPr>
              <w:t>OG</w:t>
            </w:r>
          </w:p>
          <w:p>
            <w:pPr>
              <w:spacing w:after="0" w:before="0"/>
            </w:pPr>
            <w:r>
              <w:rPr>
                <w:rFonts w:ascii="Arial" w:hAnsi="Arial"/>
                <w:color w:val="181717"/>
                <w:sz w:val="20"/>
              </w:rPr>
              <w:t>RE</w:t>
            </w:r>
          </w:p>
          <w:p>
            <w:pPr>
              <w:spacing w:after="0" w:before="0"/>
            </w:pPr>
            <w:r>
              <w:rPr>
                <w:rFonts w:ascii="Arial" w:hAnsi="Arial"/>
                <w:color w:val="181717"/>
                <w:sz w:val="20"/>
              </w:rPr>
              <w:t>RL</w:t>
            </w:r>
          </w:p>
          <w:p>
            <w:pPr>
              <w:spacing w:after="0" w:before="0"/>
            </w:pPr>
            <w:r>
              <w:rPr>
                <w:rFonts w:ascii="Arial" w:hAnsi="Arial"/>
                <w:color w:val="181717"/>
                <w:sz w:val="20"/>
              </w:rPr>
              <w:t>RND</w:t>
            </w:r>
          </w:p>
          <w:p>
            <w:pPr>
              <w:spacing w:after="0" w:before="0"/>
            </w:pPr>
            <w:r>
              <w:rPr>
                <w:rFonts w:ascii="Arial" w:hAnsi="Arial"/>
                <w:color w:val="181717"/>
                <w:sz w:val="20"/>
              </w:rPr>
              <w:t>SW</w:t>
            </w:r>
          </w:p>
          <w:p>
            <w:pPr>
              <w:spacing w:after="0" w:before="0"/>
            </w:pPr>
            <w:r>
              <w:rPr>
                <w:rFonts w:ascii="Arial" w:hAnsi="Arial"/>
                <w:color w:val="181717"/>
                <w:sz w:val="20"/>
              </w:rPr>
              <w:t>VG</w:t>
            </w:r>
          </w:p>
          <w:p>
            <w:pPr>
              <w:spacing w:after="0" w:before="0"/>
            </w:pPr>
            <w:r>
              <w:rPr>
                <w:rFonts w:ascii="Arial" w:hAnsi="Arial"/>
                <w:color w:val="181717"/>
                <w:sz w:val="20"/>
              </w:rPr>
              <w:t>VPI</w:t>
            </w:r>
          </w:p>
          <w:p>
            <w:pPr>
              <w:spacing w:after="0" w:before="0"/>
            </w:pPr>
            <w:r>
              <w:rPr>
                <w:rFonts w:ascii="Arial" w:hAnsi="Arial"/>
                <w:color w:val="181717"/>
                <w:sz w:val="20"/>
              </w:rPr>
              <w:t>WertR</w:t>
            </w:r>
          </w:p>
          <w:p>
            <w:pPr>
              <w:spacing w:after="0" w:before="0"/>
            </w:pPr>
            <w:r>
              <w:rPr>
                <w:rFonts w:ascii="Arial" w:hAnsi="Arial"/>
                <w:color w:val="181717"/>
                <w:sz w:val="20"/>
              </w:rPr>
              <w:t>WEST</w:t>
            </w:r>
          </w:p>
          <w:p>
            <w:pPr>
              <w:spacing w:after="0" w:before="0"/>
            </w:pPr>
            <w:r>
              <w:rPr>
                <w:rFonts w:ascii="Arial" w:hAnsi="Arial"/>
                <w:color w:val="181717"/>
                <w:sz w:val="20"/>
              </w:rPr>
              <w:t>Wfl</w:t>
            </w:r>
          </w:p>
          <w:p>
            <w:pPr>
              <w:spacing w:after="0" w:before="0"/>
            </w:pPr>
            <w:r>
              <w:rPr>
                <w:rFonts w:ascii="Arial" w:hAnsi="Arial"/>
                <w:color w:val="181717"/>
                <w:sz w:val="20"/>
              </w:rPr>
              <w:t>WNfl</w:t>
            </w:r>
          </w:p>
          <w:p>
            <w:pPr>
              <w:spacing w:after="0" w:before="0"/>
            </w:pPr>
            <w:r>
              <w:rPr>
                <w:rFonts w:ascii="Arial" w:hAnsi="Arial"/>
                <w:color w:val="181717"/>
                <w:sz w:val="20"/>
              </w:rPr>
              <w:t>WGFZ</w:t>
            </w:r>
          </w:p>
          <w:p>
            <w:pPr>
              <w:spacing w:after="0" w:before="0"/>
            </w:pPr>
            <w:r>
              <w:rPr>
                <w:rFonts w:ascii="Arial" w:hAnsi="Arial"/>
                <w:color w:val="181717"/>
                <w:sz w:val="20"/>
              </w:rPr>
              <w:t>WoFG</w:t>
            </w:r>
          </w:p>
          <w:p>
            <w:pPr>
              <w:spacing w:after="0" w:before="0"/>
            </w:pPr>
            <w:r>
              <w:rPr>
                <w:rFonts w:ascii="Arial" w:hAnsi="Arial"/>
                <w:color w:val="181717"/>
                <w:sz w:val="20"/>
              </w:rPr>
              <w:t>WoFlV</w:t>
            </w:r>
          </w:p>
        </w:tc>
        <w:tc>
          <w:tcPr>
            <w:tcW w:type="dxa" w:w="4513"/>
          </w:tcPr>
          <w:p>
            <w:pPr>
              <w:spacing w:after="0" w:before="0"/>
            </w:pPr>
            <w:r/>
            <w:r>
              <w:rPr>
                <w:rFonts w:ascii="Arial" w:hAnsi="Arial"/>
                <w:color w:val="181717"/>
                <w:sz w:val="20"/>
              </w:rPr>
              <w:t>Arbeitsgemeinschaft der Vorsitzenden der Gutachterausschüsse</w:t>
            </w:r>
          </w:p>
          <w:p>
            <w:pPr>
              <w:spacing w:after="0" w:before="0"/>
            </w:pPr>
            <w:r>
              <w:rPr>
                <w:rFonts w:ascii="Arial" w:hAnsi="Arial"/>
                <w:color w:val="181717"/>
                <w:sz w:val="20"/>
              </w:rPr>
              <w:t>Baugesetzbuch</w:t>
            </w:r>
          </w:p>
          <w:p>
            <w:pPr>
              <w:spacing w:after="0" w:before="0"/>
            </w:pPr>
            <w:r>
              <w:rPr>
                <w:rFonts w:ascii="Arial" w:hAnsi="Arial"/>
                <w:color w:val="181717"/>
                <w:sz w:val="20"/>
              </w:rPr>
              <w:t>Baunutzungsverordnung</w:t>
            </w:r>
          </w:p>
          <w:p>
            <w:pPr>
              <w:spacing w:after="0" w:before="0"/>
            </w:pPr>
            <w:r>
              <w:rPr>
                <w:rFonts w:ascii="Arial" w:hAnsi="Arial"/>
                <w:color w:val="181717"/>
                <w:sz w:val="20"/>
              </w:rPr>
              <w:t>Bauordnung</w:t>
            </w:r>
          </w:p>
          <w:p>
            <w:pPr>
              <w:spacing w:after="0" w:before="0"/>
            </w:pPr>
            <w:r>
              <w:rPr>
                <w:rFonts w:ascii="Arial" w:hAnsi="Arial"/>
                <w:color w:val="181717"/>
                <w:sz w:val="20"/>
              </w:rPr>
              <w:t>Betriebskostenverordnung</w:t>
            </w:r>
          </w:p>
          <w:p>
            <w:pPr>
              <w:spacing w:after="0" w:before="0"/>
            </w:pPr>
            <w:r>
              <w:rPr>
                <w:rFonts w:ascii="Arial" w:hAnsi="Arial"/>
                <w:color w:val="181717"/>
                <w:sz w:val="20"/>
              </w:rPr>
              <w:t>Brutto-Grundfläche Baukostenindex</w:t>
            </w:r>
          </w:p>
          <w:p>
            <w:pPr>
              <w:spacing w:after="0" w:before="0"/>
            </w:pPr>
            <w:r>
              <w:rPr>
                <w:rFonts w:ascii="Arial" w:hAnsi="Arial"/>
                <w:color w:val="181717"/>
                <w:sz w:val="20"/>
              </w:rPr>
              <w:t>besondere objektspezifische Grundstücksmerkmale</w:t>
            </w:r>
          </w:p>
          <w:p>
            <w:pPr>
              <w:spacing w:after="0" w:before="0"/>
            </w:pPr>
            <w:r>
              <w:rPr>
                <w:rFonts w:ascii="Arial" w:hAnsi="Arial"/>
                <w:color w:val="181717"/>
                <w:sz w:val="20"/>
              </w:rPr>
              <w:t>Bodenrichtwert</w:t>
            </w:r>
          </w:p>
          <w:p>
            <w:pPr>
              <w:spacing w:after="0" w:before="0"/>
            </w:pPr>
            <w:r>
              <w:rPr>
                <w:rFonts w:ascii="Arial" w:hAnsi="Arial"/>
                <w:color w:val="181717"/>
                <w:sz w:val="20"/>
              </w:rPr>
              <w:t>Berechnungsverordnung</w:t>
            </w:r>
          </w:p>
          <w:p>
            <w:pPr>
              <w:spacing w:after="0" w:before="0"/>
            </w:pPr>
            <w:r>
              <w:rPr>
                <w:rFonts w:ascii="Arial" w:hAnsi="Arial"/>
                <w:color w:val="181717"/>
                <w:sz w:val="20"/>
              </w:rPr>
              <w:t>Barwertfaktor</w:t>
            </w:r>
          </w:p>
          <w:p>
            <w:pPr>
              <w:spacing w:after="0" w:before="0"/>
            </w:pPr>
            <w:r>
              <w:rPr>
                <w:rFonts w:ascii="Arial" w:hAnsi="Arial"/>
                <w:color w:val="181717"/>
                <w:sz w:val="20"/>
              </w:rPr>
              <w:t>Bewirtschaftungskosten</w:t>
            </w:r>
          </w:p>
          <w:p>
            <w:pPr>
              <w:spacing w:after="0" w:before="0"/>
            </w:pPr>
            <w:r>
              <w:rPr>
                <w:rFonts w:ascii="Arial" w:hAnsi="Arial"/>
                <w:color w:val="181717"/>
                <w:sz w:val="20"/>
              </w:rPr>
              <w:t>Dachgeschoss</w:t>
            </w:r>
          </w:p>
          <w:p>
            <w:pPr>
              <w:spacing w:after="0" w:before="0"/>
            </w:pPr>
            <w:r>
              <w:rPr>
                <w:rFonts w:ascii="Arial" w:hAnsi="Arial"/>
                <w:color w:val="181717"/>
                <w:sz w:val="20"/>
              </w:rPr>
              <w:t>Erdgeschoss</w:t>
            </w:r>
          </w:p>
          <w:p>
            <w:pPr>
              <w:spacing w:after="0" w:before="0"/>
            </w:pPr>
            <w:r>
              <w:rPr>
                <w:rFonts w:ascii="Arial" w:hAnsi="Arial"/>
                <w:color w:val="181717"/>
                <w:sz w:val="20"/>
              </w:rPr>
              <w:t>Energieeinsparverordnung</w:t>
            </w:r>
          </w:p>
          <w:p>
            <w:pPr>
              <w:spacing w:after="0" w:before="0"/>
            </w:pPr>
            <w:r>
              <w:rPr>
                <w:rFonts w:ascii="Arial" w:hAnsi="Arial"/>
                <w:color w:val="181717"/>
                <w:sz w:val="20"/>
              </w:rPr>
              <w:t>Ertragswert</w:t>
            </w:r>
          </w:p>
          <w:p>
            <w:pPr>
              <w:spacing w:after="0" w:before="0"/>
            </w:pPr>
            <w:r>
              <w:rPr>
                <w:rFonts w:ascii="Arial" w:hAnsi="Arial"/>
                <w:color w:val="181717"/>
                <w:sz w:val="20"/>
              </w:rPr>
              <w:t>Geschossfläche</w:t>
            </w:r>
          </w:p>
          <w:p>
            <w:pPr>
              <w:spacing w:after="0" w:before="0"/>
            </w:pPr>
            <w:r>
              <w:rPr>
                <w:rFonts w:ascii="Arial" w:hAnsi="Arial"/>
                <w:color w:val="181717"/>
                <w:sz w:val="20"/>
              </w:rPr>
              <w:t>Geschossflächenzahl</w:t>
            </w:r>
          </w:p>
          <w:p>
            <w:pPr>
              <w:spacing w:after="0" w:before="0"/>
            </w:pPr>
            <w:r>
              <w:rPr>
                <w:rFonts w:ascii="Arial" w:hAnsi="Arial"/>
                <w:color w:val="181717"/>
                <w:sz w:val="20"/>
              </w:rPr>
              <w:t>Gesamtnutzungsdauer</w:t>
            </w:r>
          </w:p>
          <w:p>
            <w:pPr>
              <w:spacing w:after="0" w:before="0"/>
            </w:pPr>
            <w:r>
              <w:rPr>
                <w:rFonts w:ascii="Arial" w:hAnsi="Arial"/>
                <w:color w:val="181717"/>
                <w:sz w:val="20"/>
              </w:rPr>
              <w:t>Immobilienwertermittlungsverordnung</w:t>
            </w:r>
          </w:p>
          <w:p>
            <w:pPr>
              <w:spacing w:after="0" w:before="0"/>
            </w:pPr>
            <w:r>
              <w:rPr>
                <w:rFonts w:ascii="Arial" w:hAnsi="Arial"/>
                <w:color w:val="181717"/>
                <w:sz w:val="20"/>
              </w:rPr>
              <w:t>Anwendungshinweise zur ImmoWertV</w:t>
            </w:r>
          </w:p>
          <w:p>
            <w:pPr>
              <w:spacing w:after="0" w:before="0"/>
            </w:pPr>
            <w:r>
              <w:rPr>
                <w:rFonts w:ascii="Arial" w:hAnsi="Arial"/>
                <w:color w:val="181717"/>
                <w:sz w:val="20"/>
              </w:rPr>
              <w:t>Kommunalabgabengesetz</w:t>
            </w:r>
          </w:p>
          <w:p>
            <w:pPr>
              <w:spacing w:after="0" w:before="0"/>
            </w:pPr>
            <w:r>
              <w:rPr>
                <w:rFonts w:ascii="Arial" w:hAnsi="Arial"/>
                <w:color w:val="181717"/>
                <w:sz w:val="20"/>
              </w:rPr>
              <w:t>Kellergeschoss</w:t>
            </w:r>
          </w:p>
          <w:p>
            <w:pPr>
              <w:spacing w:after="0" w:before="0"/>
            </w:pPr>
            <w:r>
              <w:rPr>
                <w:rFonts w:ascii="Arial" w:hAnsi="Arial"/>
                <w:color w:val="181717"/>
                <w:sz w:val="20"/>
              </w:rPr>
              <w:t>Landesbodenschutzgesetz</w:t>
            </w:r>
          </w:p>
          <w:p>
            <w:pPr>
              <w:spacing w:after="0" w:before="0"/>
            </w:pPr>
            <w:r>
              <w:rPr>
                <w:rFonts w:ascii="Arial" w:hAnsi="Arial"/>
                <w:color w:val="181717"/>
                <w:sz w:val="20"/>
              </w:rPr>
              <w:t>Liegenschaftszinssatz</w:t>
            </w:r>
          </w:p>
          <w:p>
            <w:pPr>
              <w:spacing w:after="0" w:before="0"/>
            </w:pPr>
            <w:r>
              <w:rPr>
                <w:rFonts w:ascii="Arial" w:hAnsi="Arial"/>
                <w:color w:val="181717"/>
                <w:sz w:val="20"/>
              </w:rPr>
              <w:t>Landeswassergesetz</w:t>
            </w:r>
          </w:p>
          <w:p>
            <w:pPr>
              <w:spacing w:after="0" w:before="0"/>
            </w:pPr>
            <w:r>
              <w:rPr>
                <w:rFonts w:ascii="Arial" w:hAnsi="Arial"/>
                <w:color w:val="181717"/>
                <w:sz w:val="20"/>
              </w:rPr>
              <w:t>Nutzfläche</w:t>
            </w:r>
          </w:p>
          <w:p>
            <w:pPr>
              <w:spacing w:after="0" w:before="0"/>
            </w:pPr>
            <w:r>
              <w:rPr>
                <w:rFonts w:ascii="Arial" w:hAnsi="Arial"/>
                <w:color w:val="181717"/>
                <w:sz w:val="20"/>
              </w:rPr>
              <w:t>Nutzungsfläche (gemäß DIN 277)</w:t>
            </w:r>
          </w:p>
          <w:p>
            <w:pPr>
              <w:spacing w:after="0" w:before="0"/>
            </w:pPr>
            <w:r>
              <w:rPr>
                <w:rFonts w:ascii="Arial" w:hAnsi="Arial"/>
                <w:color w:val="181717"/>
                <w:sz w:val="20"/>
              </w:rPr>
              <w:t>Normalherstellungskosten</w:t>
            </w:r>
          </w:p>
          <w:p>
            <w:pPr>
              <w:spacing w:after="0" w:before="0"/>
            </w:pPr>
            <w:r>
              <w:rPr>
                <w:rFonts w:ascii="Arial" w:hAnsi="Arial"/>
                <w:color w:val="181717"/>
                <w:sz w:val="20"/>
              </w:rPr>
              <w:t>Obergeschoss</w:t>
            </w:r>
          </w:p>
          <w:p>
            <w:pPr>
              <w:spacing w:after="0" w:before="0"/>
            </w:pPr>
            <w:r>
              <w:rPr>
                <w:rFonts w:ascii="Arial" w:hAnsi="Arial"/>
                <w:color w:val="181717"/>
                <w:sz w:val="20"/>
              </w:rPr>
              <w:t>Reinertrag</w:t>
            </w:r>
          </w:p>
          <w:p>
            <w:pPr>
              <w:spacing w:after="0" w:before="0"/>
            </w:pPr>
            <w:r>
              <w:rPr>
                <w:rFonts w:ascii="Arial" w:hAnsi="Arial"/>
                <w:color w:val="181717"/>
                <w:sz w:val="20"/>
              </w:rPr>
              <w:t>Richtlinie</w:t>
            </w:r>
          </w:p>
          <w:p>
            <w:pPr>
              <w:spacing w:after="0" w:before="0"/>
            </w:pPr>
            <w:r>
              <w:rPr>
                <w:rFonts w:ascii="Arial" w:hAnsi="Arial"/>
                <w:color w:val="181717"/>
                <w:sz w:val="20"/>
              </w:rPr>
              <w:t>Restnutzungsdauer</w:t>
            </w:r>
          </w:p>
          <w:p>
            <w:pPr>
              <w:spacing w:after="0" w:before="0"/>
            </w:pPr>
            <w:r>
              <w:rPr>
                <w:rFonts w:ascii="Arial" w:hAnsi="Arial"/>
                <w:color w:val="181717"/>
                <w:sz w:val="20"/>
              </w:rPr>
              <w:t>Sachwert</w:t>
            </w:r>
          </w:p>
          <w:p>
            <w:pPr>
              <w:spacing w:after="0" w:before="0"/>
            </w:pPr>
            <w:r>
              <w:rPr>
                <w:rFonts w:ascii="Arial" w:hAnsi="Arial"/>
                <w:color w:val="181717"/>
                <w:sz w:val="20"/>
              </w:rPr>
              <w:t>Vollgeschoss</w:t>
            </w:r>
          </w:p>
          <w:p>
            <w:pPr>
              <w:spacing w:after="0" w:before="0"/>
            </w:pPr>
            <w:r>
              <w:rPr>
                <w:rFonts w:ascii="Arial" w:hAnsi="Arial"/>
                <w:color w:val="181717"/>
                <w:sz w:val="20"/>
              </w:rPr>
              <w:t>Verbraucherpreisindex</w:t>
            </w:r>
          </w:p>
          <w:p>
            <w:pPr>
              <w:spacing w:after="0" w:before="0"/>
            </w:pPr>
            <w:r>
              <w:rPr>
                <w:rFonts w:ascii="Arial" w:hAnsi="Arial"/>
                <w:color w:val="181717"/>
                <w:sz w:val="20"/>
              </w:rPr>
              <w:t>Wertermittlungsrichtlinien</w:t>
            </w:r>
          </w:p>
          <w:p>
            <w:pPr>
              <w:spacing w:after="0" w:before="0"/>
            </w:pPr>
            <w:r>
              <w:rPr>
                <w:rFonts w:ascii="Arial" w:hAnsi="Arial"/>
                <w:color w:val="181717"/>
                <w:sz w:val="20"/>
              </w:rPr>
              <w:t>Wertermittlungsstichtag</w:t>
            </w:r>
          </w:p>
          <w:p>
            <w:pPr>
              <w:spacing w:after="0" w:before="0"/>
            </w:pPr>
            <w:r>
              <w:rPr>
                <w:rFonts w:ascii="Arial" w:hAnsi="Arial"/>
                <w:color w:val="181717"/>
                <w:sz w:val="20"/>
              </w:rPr>
              <w:t xml:space="preserve">Wohnfläche (gemäß </w:t>
            </w:r>
            <w:r>
              <w:rPr>
                <w:rFonts w:ascii="Arial" w:hAnsi="Arial"/>
                <w:color w:val="181717"/>
                <w:sz w:val="20"/>
              </w:rPr>
              <w:t>WoFlV</w:t>
            </w:r>
            <w:r>
              <w:rPr>
                <w:rFonts w:ascii="Arial" w:hAnsi="Arial"/>
                <w:color w:val="181717"/>
                <w:sz w:val="20"/>
              </w:rPr>
              <w:t>)</w:t>
            </w:r>
          </w:p>
          <w:p>
            <w:pPr>
              <w:spacing w:after="0" w:before="0"/>
            </w:pPr>
            <w:r>
              <w:rPr>
                <w:rFonts w:ascii="Arial" w:hAnsi="Arial"/>
                <w:color w:val="181717"/>
                <w:sz w:val="20"/>
              </w:rPr>
              <w:t>Wohn-/Nutzfläche</w:t>
            </w:r>
          </w:p>
          <w:p>
            <w:pPr>
              <w:spacing w:after="0" w:before="0"/>
            </w:pPr>
            <w:r>
              <w:rPr>
                <w:rFonts w:ascii="Arial" w:hAnsi="Arial"/>
                <w:color w:val="181717"/>
                <w:sz w:val="20"/>
              </w:rPr>
              <w:t>Wertrelevante Geschossflächenzahl</w:t>
            </w:r>
          </w:p>
          <w:p>
            <w:pPr>
              <w:spacing w:after="0" w:before="0"/>
            </w:pPr>
            <w:r>
              <w:rPr>
                <w:rFonts w:ascii="Arial" w:hAnsi="Arial"/>
                <w:color w:val="181717"/>
                <w:sz w:val="20"/>
              </w:rPr>
              <w:t>Wohnraumförderungsgesetz</w:t>
            </w:r>
          </w:p>
          <w:p>
            <w:pPr>
              <w:spacing w:after="0" w:before="0"/>
            </w:pPr>
            <w:r>
              <w:rPr>
                <w:rFonts w:ascii="Arial" w:hAnsi="Arial"/>
                <w:color w:val="181717"/>
                <w:sz w:val="20"/>
              </w:rPr>
              <w:t>Wohnflächenverordnung</w:t>
            </w:r>
          </w:p>
        </w:tc>
      </w:tr>
    </w:tbl>
    <w:p>
      <w:pPr>
        <w:pStyle w:val="Heading1"/>
        <w:ind w:left="0" w:firstLine="0" w:right="0"/>
      </w:pPr>
      <w:r/>
      <w:r>
        <w:rPr/>
        <w:t>A5</w:t>
      </w:r>
      <w:r>
        <w:rPr/>
        <w:t xml:space="preserve"> Haftungsausschluss</w:t>
      </w:r>
    </w:p>
    <w:p>
      <w:pPr>
        <w:ind w:left="0" w:firstLine="0" w:right="0"/>
      </w:pPr>
      <w:r/>
      <w:r>
        <w:rPr>
          <w:rFonts w:ascii="Arial" w:hAnsi="Arial"/>
          <w:color w:val="181717"/>
          <w:sz w:val="20"/>
        </w:rPr>
        <w:t>– Haftungshinweis analog zur Auftragserteilung –</w:t>
      </w:r>
    </w:p>
    <w:p>
      <w:pPr>
        <w:ind w:left="0" w:firstLine="0" w:right="0"/>
      </w:pPr>
      <w:r/>
      <w:r>
        <w:rPr>
          <w:rFonts w:ascii="Arial" w:hAnsi="Arial"/>
          <w:color w:val="181717"/>
          <w:sz w:val="20"/>
        </w:rPr>
        <w:t>Die Auftragnehmerin (Sachverständige) haftet unabhängig davon, ob es sich um eine vertragliche, außervertragliche oder gesetzliche Anspruchsgrundlage handelt, ausschließlich für vorsätzliches und grob fahrlässiges Verhalten.</w:t>
      </w:r>
    </w:p>
    <w:p>
      <w:pPr>
        <w:ind w:left="0" w:firstLine="0" w:right="0"/>
      </w:pPr>
      <w:r/>
      <w:r>
        <w:rPr>
          <w:rFonts w:ascii="Arial" w:hAnsi="Arial"/>
          <w:color w:val="181717"/>
          <w:sz w:val="20"/>
        </w:rPr>
        <w:t>Die Auftragnehmerin haftet – gleich aus welchem Rechtsgrund – für einen Schaden, der auf einem mangelhaften Gutachten beruht, nur dann, wenn sie oder ein von ihr eingesetzter Mitarbeiter diesen Schaden vorsätzlich oder grob fahrlässig herbeigeführt hat.</w:t>
      </w:r>
    </w:p>
    <w:p>
      <w:pPr>
        <w:ind w:left="0" w:firstLine="0" w:right="0"/>
      </w:pPr>
      <w:r/>
      <w:r>
        <w:rPr>
          <w:rFonts w:ascii="Arial" w:hAnsi="Arial"/>
          <w:color w:val="181717"/>
          <w:sz w:val="20"/>
        </w:rPr>
        <w:t xml:space="preserve">Alle </w:t>
      </w:r>
      <w:r>
        <w:rPr>
          <w:rFonts w:ascii="Arial" w:hAnsi="Arial"/>
          <w:color w:val="181717"/>
          <w:sz w:val="20"/>
        </w:rPr>
        <w:t>darüber hinausgehenden</w:t>
      </w:r>
      <w:r>
        <w:rPr>
          <w:rFonts w:ascii="Arial" w:hAnsi="Arial"/>
          <w:color w:val="181717"/>
          <w:sz w:val="20"/>
        </w:rPr>
        <w:t xml:space="preserve"> Schäden werden ausgeschlossen.</w:t>
      </w:r>
    </w:p>
    <w:p>
      <w:pPr>
        <w:ind w:left="0" w:firstLine="0" w:right="0"/>
      </w:pPr>
      <w:r/>
      <w:r>
        <w:rPr>
          <w:rFonts w:ascii="Arial" w:hAnsi="Arial"/>
          <w:color w:val="181717"/>
          <w:sz w:val="20"/>
        </w:rPr>
        <w:t>Dies gilt insbesondere auch für jene, die im Rahmen einer Nacherfüllung entstehen. Unberührt bleibt die Haftung der Auftragnehmerin für Schäden aus der Verletzung des Lebens, des Körpers oder der Gesundheit und wegen der Verletzung wesentlicher Vertragspflichten, die auf einer vorsätzlichen oder fahrlässigen Pflichtverletzung der Auftragnehmerin oder seines gesetzlichen Vertreters oder Mitarbeiters beruhen.</w:t>
      </w:r>
    </w:p>
    <w:p>
      <w:pPr>
        <w:ind w:left="0" w:firstLine="0" w:right="0"/>
      </w:pPr>
      <w:r/>
      <w:r>
        <w:rPr>
          <w:rFonts w:ascii="Arial" w:hAnsi="Arial"/>
          <w:color w:val="181717"/>
          <w:sz w:val="20"/>
        </w:rPr>
        <w:t xml:space="preserve">Besteht ein Schadensersatzanspruch des Auftraggebers wegen schuldhafter Verletzung wesentlicher Vertragspflichten durch die Auftragnehmerin, so ist dieser auf den vertragstypischen, vorhersehbaren Schaden begrenzt, sofern und </w:t>
      </w:r>
      <w:r>
        <w:rPr>
          <w:rFonts w:ascii="Arial" w:hAnsi="Arial"/>
          <w:color w:val="181717"/>
          <w:sz w:val="20"/>
        </w:rPr>
        <w:t>soweit</w:t>
      </w:r>
      <w:r>
        <w:rPr>
          <w:rFonts w:ascii="Arial" w:hAnsi="Arial"/>
          <w:color w:val="181717"/>
          <w:sz w:val="20"/>
        </w:rPr>
        <w:t xml:space="preserve"> nicht Vorsatz oder grobe Fahrlässigkeit der Auftragnehmerin vorliegen.</w:t>
      </w:r>
    </w:p>
    <w:p>
      <w:pPr>
        <w:ind w:left="0" w:firstLine="0" w:right="0"/>
      </w:pPr>
      <w:r/>
      <w:r>
        <w:rPr>
          <w:rFonts w:ascii="Arial" w:hAnsi="Arial"/>
          <w:color w:val="181717"/>
          <w:sz w:val="20"/>
        </w:rPr>
        <w:t xml:space="preserve">Die Haftung der Auftragnehmerin für </w:t>
      </w:r>
      <w:r>
        <w:rPr>
          <w:rFonts w:ascii="Arial" w:hAnsi="Arial"/>
          <w:color w:val="181717"/>
          <w:sz w:val="20"/>
        </w:rPr>
        <w:t>ihre schriftliche Ausarbeitungen</w:t>
      </w:r>
      <w:r>
        <w:rPr>
          <w:rFonts w:ascii="Arial" w:hAnsi="Arial"/>
          <w:color w:val="181717"/>
          <w:sz w:val="20"/>
        </w:rPr>
        <w:t xml:space="preserve"> gegenüber einem Dritten ist ohne vorherige schriftliche Einwilligung der Auftragnehmerin ausgeschlossen, auch für den Fall einer Abtretung durch den Auftraggeber.</w:t>
      </w:r>
    </w:p>
    <w:p>
      <w:pPr>
        <w:ind w:left="0" w:firstLine="0" w:right="0"/>
      </w:pPr>
      <w:r/>
      <w:r>
        <w:rPr>
          <w:rFonts w:ascii="Arial" w:hAnsi="Arial"/>
          <w:color w:val="181717"/>
          <w:sz w:val="20"/>
        </w:rPr>
        <w:t xml:space="preserve">Informationen über mögliche besondere Risiken infolge Erdbeben-, Starkregen-, Hochwasser-, Bergschäden-, Waldbrand-, Blitzschlag- und Sturmrisiken u.a.m. liegen zum Wertermittlungsstichtag nicht vor. Untersuchungen hinsichtlich der vorbezeichneten Risiken sind nicht Gegenstand dieses </w:t>
      </w:r>
      <w:r>
        <w:rPr>
          <w:rFonts w:ascii="Arial" w:hAnsi="Arial"/>
          <w:color w:val="181717"/>
          <w:sz w:val="20"/>
        </w:rPr>
        <w:t>Gutachtens. Es wird in diesem Gutachten unterstellt, dass vorbezeichnete Risiken nicht vorhanden sind.</w:t>
      </w:r>
    </w:p>
    <w:p>
      <w:pPr>
        <w:ind w:left="0" w:firstLine="0" w:right="0"/>
      </w:pPr>
      <w:r/>
      <w:r>
        <w:rPr>
          <w:rFonts w:ascii="Arial" w:hAnsi="Arial"/>
          <w:color w:val="181717"/>
          <w:sz w:val="20"/>
        </w:rPr>
        <w:t>Die Auftragnehmerin haftet nicht für besondere Grundstücksgegebenheiten, Rechtsverhältnisse und dergleichen. Dies gilt insbesondere für mögliche schädliche Bodenveränderungen, Verdachtsflächen, Altlasten und altlastenverdächtige Flächen u.a.m., erschwerte Gründungsverhältnisse, ggf. den Wert ungünstig beeinflussende Grundwasserverhältnisse. Entsprechende Gegebenheiten werden nur dann als Wertminderung berücksichtigt, wenn sie von der Auftragnehmerin benannt wurden und für die Bewertung von relevantem Einfluss sind.</w:t>
      </w:r>
    </w:p>
    <w:p>
      <w:pPr>
        <w:ind w:left="0" w:firstLine="0" w:right="0"/>
      </w:pPr>
      <w:r/>
      <w:r>
        <w:rPr>
          <w:rFonts w:ascii="Arial" w:hAnsi="Arial"/>
          <w:color w:val="181717"/>
          <w:sz w:val="20"/>
        </w:rPr>
        <w:t>Die vom Auftraggeber vorgelegten Unterlagen und Informationen werden seitens der Auftragnehmerin durch Zufallsstichprobe geprüft verwendet.</w:t>
      </w:r>
    </w:p>
    <w:sectPr w:rsidR="00FC693F" w:rsidRPr="0006063C" w:rsidSect="00034616">
      <w:footerReference w:type="firs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Borders>
        <w:top w:val="single" w:sz="6" w:color="000000" w:space="0"/>
        <w:left w:val="nil"/>
        <w:bottom w:val="nil"/>
        <w:right w:val="nil"/>
        <w:insideH w:val="nil"/>
        <w:insideV w:val="nil"/>
      </w:tblBorders>
    </w:tblPr>
    <w:tblGrid>
      <w:gridCol w:w="3402"/>
      <w:gridCol w:w="5624"/>
    </w:tblGrid>
    <w:tr>
      <w:tc>
        <w:tcPr>
          <w:tcW w:type="dxa" w:w="3402"/>
        </w:tcPr>
        <w:p>
          <w:pPr>
            <w:jc w:val="left"/>
          </w:pPr>
          <w:r>
            <w:drawing>
              <wp:inline xmlns:a="http://schemas.openxmlformats.org/drawingml/2006/main" xmlns:pic="http://schemas.openxmlformats.org/drawingml/2006/picture">
                <wp:extent cx="1980000" cy="757342"/>
                <wp:docPr id="1" name="Picture 1"/>
                <wp:cNvGraphicFramePr>
                  <a:graphicFrameLocks noChangeAspect="1"/>
                </wp:cNvGraphicFramePr>
                <a:graphic>
                  <a:graphicData uri="http://schemas.openxmlformats.org/drawingml/2006/picture">
                    <pic:pic>
                      <pic:nvPicPr>
                        <pic:cNvPr id="0" name="image.jpg"/>
                        <pic:cNvPicPr/>
                      </pic:nvPicPr>
                      <pic:blipFill>
                        <a:blip r:embed="rId1"/>
                        <a:stretch>
                          <a:fillRect/>
                        </a:stretch>
                      </pic:blipFill>
                      <pic:spPr>
                        <a:xfrm>
                          <a:off x="0" y="0"/>
                          <a:ext cx="1980000" cy="757342"/>
                        </a:xfrm>
                        <a:prstGeom prst="rect"/>
                      </pic:spPr>
                    </pic:pic>
                  </a:graphicData>
                </a:graphic>
              </wp:inline>
            </w:drawing>
          </w:r>
        </w:p>
      </w:tc>
      <w:tc>
        <w:tcPr>
          <w:tcW w:type="dxa" w:w="5624"/>
        </w:tcPr>
        <w:p>
          <w:pPr>
            <w:jc w:val="left"/>
          </w:pPr>
          <w:r/>
          <w:r>
            <w:rPr>
              <w:rFonts w:ascii="Arial" w:hAnsi="Arial"/>
              <w:b/>
              <w:sz w:val="20"/>
            </w:rPr>
            <w:t>Immobilienbüro Maria Knoop</w:t>
          </w:r>
        </w:p>
        <w:p>
          <w:pPr>
            <w:jc w:val="left"/>
          </w:pPr>
          <w:r>
            <w:rPr>
              <w:rFonts w:ascii="Arial" w:hAnsi="Arial"/>
              <w:b w:val="0"/>
              <w:sz w:val="18"/>
            </w:rPr>
            <w:t>Carl-Benz-Weg 1, 22941 Bargteheide</w:t>
          </w:r>
        </w:p>
        <w:p>
          <w:pPr>
            <w:jc w:val="left"/>
          </w:pPr>
          <w:r>
            <w:rPr>
              <w:rFonts w:ascii="Arial" w:hAnsi="Arial"/>
              <w:b w:val="0"/>
              <w:sz w:val="18"/>
            </w:rPr>
            <w:t>Telefon +49 172 168 440 2 | Mail info@immobilien-knoop.de</w:t>
          </w:r>
        </w:p>
        <w:p>
          <w:pPr>
            <w:jc w:val="left"/>
          </w:pPr>
          <w:r>
            <w:rPr>
              <w:rFonts w:ascii="Arial" w:hAnsi="Arial"/>
              <w:b/>
              <w:sz w:val="20"/>
            </w:rPr>
            <w:t>www.immobilien-knoop.de</w:t>
          </w:r>
        </w:p>
      </w:tc>
    </w:tr>
  </w:tbl>
  <w:p>
    <w:pPr>
      <w:jc w:val="center"/>
    </w:pPr>
    <w:r>
      <w:rPr>
        <w:rFonts w:ascii="Arial" w:hAnsi="Arial"/>
        <w:sz w:val="18"/>
      </w:rPr>
      <w:fldChar w:fldCharType="begin"/>
      <w:instrText xml:space="preserve">PAGE</w:instrText>
      <w:fldChar w:fldCharType="separate"/>
    </w:r>
    <w:r>
      <w:rPr>
        <w:rFonts w:ascii="Arial" w:hAnsi="Arial"/>
        <w:sz w:val="18"/>
      </w:rPr>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Borders>
        <w:top w:val="single" w:sz="6" w:color="000000" w:space="0"/>
        <w:left w:val="nil"/>
        <w:bottom w:val="nil"/>
        <w:right w:val="nil"/>
        <w:insideH w:val="nil"/>
        <w:insideV w:val="nil"/>
      </w:tblBorders>
    </w:tblPr>
    <w:tblGrid>
      <w:gridCol w:w="3610"/>
      <w:gridCol w:w="3159"/>
      <w:gridCol w:w="2257"/>
    </w:tblGrid>
    <w:tr>
      <w:tc>
        <w:tcPr>
          <w:tcW w:type="dxa" w:w="3610"/>
        </w:tcPr>
        <w:p>
          <w:pPr>
            <w:jc w:val="left"/>
          </w:pPr>
          <w:r>
            <w:rPr>
              <w:rFonts w:ascii="Arial" w:hAnsi="Arial"/>
              <w:sz w:val="17"/>
            </w:rPr>
            <w:t>Restnutzungsdauergutachten Nr. 288892</w:t>
          </w:r>
        </w:p>
      </w:tc>
      <w:tc>
        <w:tcPr>
          <w:tcW w:type="dxa" w:w="3159"/>
        </w:tcPr>
        <w:p>
          <w:pPr>
            <w:jc w:val="center"/>
          </w:pPr>
          <w:r>
            <w:rPr>
              <w:rFonts w:ascii="Arial" w:hAnsi="Arial"/>
              <w:sz w:val="17"/>
            </w:rPr>
            <w:t>Daimlerstraße 4c, 21337 Lüneburg</w:t>
          </w:r>
        </w:p>
      </w:tc>
      <w:tc>
        <w:tcPr>
          <w:tcW w:type="dxa" w:w="2257"/>
        </w:tcPr>
        <w:p>
          <w:pPr>
            <w:jc w:val="right"/>
          </w:pPr>
          <w:r>
            <w:rPr>
              <w:rFonts w:ascii="Arial" w:hAnsi="Arial"/>
              <w:sz w:val="17"/>
            </w:rPr>
            <w:fldChar w:fldCharType="begin"/>
            <w:instrText xml:space="preserve">PAGE</w:instrText>
            <w:fldChar w:fldCharType="separate"/>
          </w:r>
          <w:r>
            <w:rPr>
              <w:rFonts w:ascii="Arial" w:hAnsi="Arial"/>
              <w:sz w:val="17"/>
            </w:rPr>
            <w:t>1</w:t>
            <w:fldChar w:fldCharType="end"/>
          </w:r>
          <w:r>
            <w:rPr>
              <w:rFonts w:ascii="Arial" w:hAnsi="Arial"/>
              <w:sz w:val="17"/>
            </w:rPr>
            <w:t xml:space="preserve"> / </w:t>
          </w:r>
          <w:r>
            <w:rPr>
              <w:rFonts w:ascii="Arial" w:hAnsi="Arial"/>
              <w:sz w:val="17"/>
            </w:rPr>
            <w:fldChar w:fldCharType="begin"/>
            <w:instrText xml:space="preserve">NUMPAGES</w:instrText>
            <w:fldChar w:fldCharType="separate"/>
          </w:r>
          <w:r>
            <w:rPr>
              <w:rFonts w:ascii="Arial" w:hAnsi="Arial"/>
              <w:sz w:val="17"/>
            </w:rPr>
            <w:t>1</w:t>
            <w:fldChar w:fldCharType="end"/>
          </w:r>
        </w:p>
      </w:tc>
    </w:tr>
    <w:tr>
      <w:tc>
        <w:tcPr>
          <w:tcW w:type="dxa" w:w="3610"/>
        </w:tcPr>
        <w:p>
          <w:r/>
        </w:p>
      </w:tc>
      <w:tc>
        <w:tcPr>
          <w:tcW w:type="dxa" w:w="3159"/>
        </w:tcPr>
        <w:p>
          <w:r/>
        </w:p>
      </w:tc>
      <w:tc>
        <w:tcPr>
          <w:tcW w:type="dxa" w:w="2257"/>
        </w:tcPr>
        <w:p>
          <w:pPr>
            <w:jc w:val="right"/>
          </w:pPr>
          <w:r/>
          <w:r>
            <w:rPr>
              <w:rFonts w:ascii="Arial" w:hAnsi="Arial"/>
              <w:sz w:val="17"/>
            </w:rPr>
            <w:t>© Maria Knoop, 03.11.2025</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276"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120" w:line="276" w:lineRule="auto"/>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