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A2137C" w:rsidRPr="00FB15DA" w:rsidRDefault="00A2137C" w:rsidP="00FB15DA">
                            <w:pPr>
                              <w:jc w:val="center"/>
                              <w:rPr>
                                <w:b/>
                                <w:sz w:val="72"/>
                              </w:rPr>
                            </w:pPr>
                            <w:r w:rsidRPr="00FB15DA">
                              <w:rPr>
                                <w:b/>
                                <w:sz w:val="72"/>
                              </w:rPr>
                              <w:t>The Politics of Routing</w:t>
                            </w:r>
                          </w:p>
                          <w:p w14:paraId="7A473456" w14:textId="405D57BB" w:rsidR="00A2137C" w:rsidRPr="00FB15DA" w:rsidRDefault="00A2137C" w:rsidP="00FB15DA">
                            <w:pPr>
                              <w:jc w:val="center"/>
                              <w:rPr>
                                <w:sz w:val="48"/>
                              </w:rPr>
                            </w:pPr>
                            <w:r w:rsidRPr="00FB15DA">
                              <w:rPr>
                                <w:sz w:val="48"/>
                              </w:rPr>
                              <w:t>How Malicious Routing Behaviour Correlates with Freedom</w:t>
                            </w:r>
                          </w:p>
                          <w:p w14:paraId="57FB6F3C" w14:textId="5B78287D" w:rsidR="00A2137C" w:rsidRDefault="00A2137C" w:rsidP="00FB15DA">
                            <w:pPr>
                              <w:jc w:val="center"/>
                              <w:rPr>
                                <w:sz w:val="32"/>
                              </w:rPr>
                            </w:pPr>
                            <w:r>
                              <w:rPr>
                                <w:sz w:val="32"/>
                              </w:rPr>
                              <w:t>Ben Kendall</w:t>
                            </w:r>
                          </w:p>
                          <w:p w14:paraId="2BB63C0C" w14:textId="28997C01" w:rsidR="00A2137C" w:rsidRDefault="00A2137C" w:rsidP="00FB15DA">
                            <w:pPr>
                              <w:jc w:val="center"/>
                              <w:rPr>
                                <w:sz w:val="32"/>
                              </w:rPr>
                            </w:pPr>
                            <w:r>
                              <w:rPr>
                                <w:sz w:val="32"/>
                              </w:rPr>
                              <w:t>BSc Hons Computer Science</w:t>
                            </w:r>
                          </w:p>
                          <w:p w14:paraId="2337004A" w14:textId="276100AC" w:rsidR="00A2137C" w:rsidRPr="00FB15DA" w:rsidRDefault="00A2137C"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A2137C" w:rsidRPr="00FB15DA" w:rsidRDefault="00A2137C" w:rsidP="00FB15DA">
                      <w:pPr>
                        <w:jc w:val="center"/>
                        <w:rPr>
                          <w:b/>
                          <w:sz w:val="72"/>
                        </w:rPr>
                      </w:pPr>
                      <w:r w:rsidRPr="00FB15DA">
                        <w:rPr>
                          <w:b/>
                          <w:sz w:val="72"/>
                        </w:rPr>
                        <w:t>The Politics of Routing</w:t>
                      </w:r>
                    </w:p>
                    <w:p w14:paraId="7A473456" w14:textId="405D57BB" w:rsidR="00A2137C" w:rsidRPr="00FB15DA" w:rsidRDefault="00A2137C" w:rsidP="00FB15DA">
                      <w:pPr>
                        <w:jc w:val="center"/>
                        <w:rPr>
                          <w:sz w:val="48"/>
                        </w:rPr>
                      </w:pPr>
                      <w:r w:rsidRPr="00FB15DA">
                        <w:rPr>
                          <w:sz w:val="48"/>
                        </w:rPr>
                        <w:t>How Malicious Routing Behaviour Correlates with Freedom</w:t>
                      </w:r>
                    </w:p>
                    <w:p w14:paraId="57FB6F3C" w14:textId="5B78287D" w:rsidR="00A2137C" w:rsidRDefault="00A2137C" w:rsidP="00FB15DA">
                      <w:pPr>
                        <w:jc w:val="center"/>
                        <w:rPr>
                          <w:sz w:val="32"/>
                        </w:rPr>
                      </w:pPr>
                      <w:r>
                        <w:rPr>
                          <w:sz w:val="32"/>
                        </w:rPr>
                        <w:t>Ben Kendall</w:t>
                      </w:r>
                    </w:p>
                    <w:p w14:paraId="2BB63C0C" w14:textId="28997C01" w:rsidR="00A2137C" w:rsidRDefault="00A2137C" w:rsidP="00FB15DA">
                      <w:pPr>
                        <w:jc w:val="center"/>
                        <w:rPr>
                          <w:sz w:val="32"/>
                        </w:rPr>
                      </w:pPr>
                      <w:r>
                        <w:rPr>
                          <w:sz w:val="32"/>
                        </w:rPr>
                        <w:t>BSc Hons Computer Science</w:t>
                      </w:r>
                    </w:p>
                    <w:p w14:paraId="2337004A" w14:textId="276100AC" w:rsidR="00A2137C" w:rsidRPr="00FB15DA" w:rsidRDefault="00A2137C"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A2137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A2137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A2137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A2137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A2137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A2137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7867DF36"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Icelandic citizens have experinced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42F60201"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w:t>
      </w:r>
      <w:r>
        <w:t>”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w:t>
      </w:r>
      <w:r w:rsidR="00F573CF">
        <w:t>-0.435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bookmarkStart w:id="80" w:name="_GoBack"/>
      <w:bookmarkEnd w:id="80"/>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4BA81F0B" w14:textId="0BBBB8F3" w:rsidR="007B4F72" w:rsidRDefault="007B4F72" w:rsidP="00DA752E">
      <w:pPr>
        <w:rPr>
          <w:lang w:eastAsia="en-GB"/>
        </w:rPr>
      </w:pPr>
    </w:p>
    <w:p w14:paraId="3BB2EE7C" w14:textId="5A919C9D" w:rsidR="007B4F72" w:rsidRDefault="00F73AA1" w:rsidP="00F73AA1">
      <w:pPr>
        <w:pStyle w:val="ListParagraph"/>
        <w:numPr>
          <w:ilvl w:val="0"/>
          <w:numId w:val="15"/>
        </w:numPr>
        <w:rPr>
          <w:lang w:eastAsia="en-GB"/>
        </w:rPr>
      </w:pPr>
      <w:r>
        <w:rPr>
          <w:lang w:eastAsia="en-GB"/>
        </w:rPr>
        <w:t>This would have to stem from the expectation of freedom from a free population…</w:t>
      </w:r>
      <w:r w:rsidR="009F3FE4">
        <w:rPr>
          <w:lang w:eastAsia="en-GB"/>
        </w:rPr>
        <w:t>and vice versa…</w:t>
      </w:r>
    </w:p>
    <w:p w14:paraId="594BB14B" w14:textId="6A099F12" w:rsidR="00F73AA1" w:rsidRDefault="00F73AA1" w:rsidP="00F73AA1">
      <w:pPr>
        <w:pStyle w:val="ListParagraph"/>
        <w:numPr>
          <w:ilvl w:val="0"/>
          <w:numId w:val="15"/>
        </w:numPr>
        <w:rPr>
          <w:lang w:eastAsia="en-GB"/>
        </w:rPr>
      </w:pPr>
      <w:r>
        <w:rPr>
          <w:lang w:eastAsia="en-GB"/>
        </w:rPr>
        <w:t>However, while news articles complaining about mass surveillance etc… the general population of 1</w:t>
      </w:r>
      <w:r w:rsidRPr="00F73AA1">
        <w:rPr>
          <w:vertAlign w:val="superscript"/>
          <w:lang w:eastAsia="en-GB"/>
        </w:rPr>
        <w:t>st</w:t>
      </w:r>
      <w:r>
        <w:rPr>
          <w:lang w:eastAsia="en-GB"/>
        </w:rPr>
        <w:t xml:space="preserve"> world nations seem to overall not be too interested in the discussion. – many </w:t>
      </w:r>
      <w:proofErr w:type="gramStart"/>
      <w:r>
        <w:rPr>
          <w:lang w:eastAsia="en-GB"/>
        </w:rPr>
        <w:t>feel</w:t>
      </w:r>
      <w:proofErr w:type="gramEnd"/>
      <w:r>
        <w:rPr>
          <w:lang w:eastAsia="en-GB"/>
        </w:rPr>
        <w:t xml:space="preserve"> like it does not affect them. FIND SOURCE FOR THAT.</w:t>
      </w:r>
    </w:p>
    <w:p w14:paraId="0E28591F" w14:textId="7E162F50" w:rsidR="00F73AA1" w:rsidRDefault="00F73AA1" w:rsidP="00F73AA1">
      <w:pPr>
        <w:pStyle w:val="ListParagraph"/>
        <w:numPr>
          <w:ilvl w:val="0"/>
          <w:numId w:val="15"/>
        </w:numPr>
        <w:rPr>
          <w:lang w:eastAsia="en-GB"/>
        </w:rPr>
      </w:pPr>
      <w:r>
        <w:rPr>
          <w:lang w:eastAsia="en-GB"/>
        </w:rPr>
        <w:t>Lots to prove the opposite. UK, USA… etc…</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3846094C" w:rsidR="00AD1D58" w:rsidRDefault="00AD1D58" w:rsidP="002861EC">
      <w:pPr>
        <w:rPr>
          <w:lang w:eastAsia="en-GB"/>
        </w:rPr>
      </w:pPr>
    </w:p>
    <w:p w14:paraId="71DF7A0E" w14:textId="5DEF93F0" w:rsidR="00071109" w:rsidRDefault="00071109" w:rsidP="002861EC">
      <w:pPr>
        <w:rPr>
          <w:lang w:eastAsia="en-GB"/>
        </w:rPr>
      </w:pPr>
      <w:r>
        <w:rPr>
          <w:lang w:eastAsia="en-GB"/>
        </w:rPr>
        <w:t xml:space="preserve">Basically, m8, it depends on the country </w:t>
      </w:r>
      <w:proofErr w:type="spellStart"/>
      <w:r>
        <w:rPr>
          <w:lang w:eastAsia="en-GB"/>
        </w:rPr>
        <w:t>tbh</w:t>
      </w:r>
      <w:proofErr w:type="spellEnd"/>
      <w:r>
        <w:rPr>
          <w:lang w:eastAsia="en-GB"/>
        </w:rPr>
        <w:t>.</w:t>
      </w:r>
    </w:p>
    <w:p w14:paraId="388B8022" w14:textId="458E82CE" w:rsidR="000C52C2" w:rsidRDefault="000C52C2" w:rsidP="002861EC">
      <w:pPr>
        <w:rPr>
          <w:lang w:eastAsia="en-GB"/>
        </w:rPr>
      </w:pPr>
      <w:r>
        <w:rPr>
          <w:lang w:eastAsia="en-GB"/>
        </w:rPr>
        <w:t>Could it be that just where there is internet, there is malicious routing?</w:t>
      </w: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54B4F2F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1CD69ADF"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XKeyscore: NSA tool collects 'nearly everything a user does on the internet'</w:t>
      </w:r>
      <w:r w:rsidR="00EE14BF">
        <w:rPr>
          <w:lang w:eastAsia="en-GB"/>
        </w:rPr>
        <w:t>.</w:t>
      </w:r>
      <w:r w:rsidR="00EE14BF" w:rsidRPr="00EE041E">
        <w:rPr>
          <w:lang w:eastAsia="en-GB"/>
        </w:rPr>
        <w:t xml:space="preserve"> The Guardian</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6EEEADF7" w:rsidR="00E00CA3"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 | Freedom on the Net 2018. 2019. Malawi Country Report</w:t>
      </w:r>
      <w:r w:rsidR="00B37377">
        <w:rPr>
          <w:color w:val="auto"/>
          <w:szCs w:val="28"/>
          <w:lang w:eastAsia="en-GB"/>
        </w:rPr>
        <w:t>.</w:t>
      </w:r>
      <w:r w:rsidRPr="00E00CA3">
        <w:rPr>
          <w:color w:val="auto"/>
          <w:szCs w:val="28"/>
          <w:lang w:eastAsia="en-GB"/>
        </w:rPr>
        <w:t xml:space="preserve">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p w14:paraId="1DD42E7C" w14:textId="70081F7D" w:rsidR="00111626" w:rsidRDefault="00111626" w:rsidP="002861EC">
      <w:pPr>
        <w:rPr>
          <w:color w:val="auto"/>
          <w:szCs w:val="28"/>
          <w:lang w:eastAsia="en-GB"/>
        </w:rPr>
      </w:pPr>
    </w:p>
    <w:p w14:paraId="02ACF374" w14:textId="00B0D838" w:rsidR="00111626" w:rsidRDefault="00111626" w:rsidP="002861EC">
      <w:pPr>
        <w:rPr>
          <w:color w:val="auto"/>
          <w:szCs w:val="28"/>
          <w:lang w:eastAsia="en-GB"/>
        </w:rPr>
      </w:pPr>
      <w:r>
        <w:rPr>
          <w:color w:val="auto"/>
          <w:szCs w:val="28"/>
          <w:lang w:eastAsia="en-GB"/>
        </w:rPr>
        <w:t xml:space="preserve">[34] </w:t>
      </w:r>
      <w:r w:rsidR="008402BA" w:rsidRPr="008402BA">
        <w:rPr>
          <w:color w:val="auto"/>
          <w:szCs w:val="28"/>
          <w:lang w:eastAsia="en-GB"/>
        </w:rPr>
        <w:t>countryeconomy.com. 2019. Human Development Index - HDI 2017</w:t>
      </w:r>
      <w:r w:rsidR="00B37377">
        <w:rPr>
          <w:color w:val="auto"/>
          <w:szCs w:val="28"/>
          <w:lang w:eastAsia="en-GB"/>
        </w:rPr>
        <w:t>.</w:t>
      </w:r>
      <w:r w:rsidR="008402BA" w:rsidRPr="008402BA">
        <w:rPr>
          <w:color w:val="auto"/>
          <w:szCs w:val="28"/>
          <w:lang w:eastAsia="en-GB"/>
        </w:rPr>
        <w:t xml:space="preserve"> countryeconomy.com. Available at: https://countryeconomy.com/hdi. [Accessed 05 March 2019].</w:t>
      </w:r>
    </w:p>
    <w:p w14:paraId="451E8ED0" w14:textId="4059928F" w:rsidR="00111626" w:rsidRDefault="00111626" w:rsidP="002861EC">
      <w:pPr>
        <w:rPr>
          <w:color w:val="auto"/>
          <w:szCs w:val="28"/>
          <w:lang w:eastAsia="en-GB"/>
        </w:rPr>
      </w:pPr>
    </w:p>
    <w:p w14:paraId="47585F5A" w14:textId="70000E50" w:rsidR="00111626" w:rsidRDefault="00111626" w:rsidP="002861EC">
      <w:pPr>
        <w:rPr>
          <w:color w:val="auto"/>
          <w:szCs w:val="28"/>
          <w:lang w:eastAsia="en-GB"/>
        </w:rPr>
      </w:pPr>
      <w:r>
        <w:rPr>
          <w:color w:val="auto"/>
          <w:szCs w:val="28"/>
          <w:lang w:eastAsia="en-GB"/>
        </w:rPr>
        <w:t>[35]</w:t>
      </w:r>
      <w:r w:rsidR="00B37377">
        <w:rPr>
          <w:color w:val="auto"/>
          <w:szCs w:val="28"/>
          <w:lang w:eastAsia="en-GB"/>
        </w:rPr>
        <w:t xml:space="preserve"> </w:t>
      </w:r>
      <w:r w:rsidR="00B37377" w:rsidRPr="00B37377">
        <w:rPr>
          <w:color w:val="auto"/>
          <w:szCs w:val="28"/>
          <w:lang w:eastAsia="en-GB"/>
        </w:rPr>
        <w:t>GDP per capita (current US$) Data. 2019. GDP per capita</w:t>
      </w:r>
      <w:r w:rsidR="00B37377">
        <w:rPr>
          <w:color w:val="auto"/>
          <w:szCs w:val="28"/>
          <w:lang w:eastAsia="en-GB"/>
        </w:rPr>
        <w:t>.</w:t>
      </w:r>
      <w:r w:rsidR="00B37377" w:rsidRPr="00B37377">
        <w:rPr>
          <w:color w:val="auto"/>
          <w:szCs w:val="28"/>
          <w:lang w:eastAsia="en-GB"/>
        </w:rPr>
        <w:t xml:space="preserve"> Available at: https://data.worldbank.org/indicator/NY.GDP.PCAP.CD. [Accessed 05 March 2019].</w:t>
      </w:r>
    </w:p>
    <w:p w14:paraId="4D3200D5" w14:textId="1256C944" w:rsidR="00F44B60" w:rsidRDefault="00F44B60" w:rsidP="002861EC">
      <w:pPr>
        <w:rPr>
          <w:color w:val="auto"/>
          <w:szCs w:val="28"/>
          <w:lang w:eastAsia="en-GB"/>
        </w:rPr>
      </w:pPr>
    </w:p>
    <w:p w14:paraId="26740009" w14:textId="556565E8" w:rsidR="00F44B60" w:rsidRPr="009B031D" w:rsidRDefault="00F44B60" w:rsidP="002861EC">
      <w:pPr>
        <w:rPr>
          <w:color w:val="auto"/>
          <w:szCs w:val="28"/>
          <w:lang w:eastAsia="en-GB"/>
        </w:rPr>
      </w:pPr>
      <w:r>
        <w:rPr>
          <w:color w:val="auto"/>
          <w:szCs w:val="28"/>
          <w:lang w:eastAsia="en-GB"/>
        </w:rPr>
        <w:t xml:space="preserve">[36] </w:t>
      </w:r>
      <w:r w:rsidR="00C3072D">
        <w:t>Heckelman, J.C., 2000. Economic freedom and economic growth: a short-run causal investigation. Journal of applied economics</w:t>
      </w:r>
      <w:r w:rsidR="00C3072D">
        <w:t xml:space="preserve">. Available at: </w:t>
      </w:r>
      <w:r w:rsidR="00C3072D" w:rsidRPr="00C3072D">
        <w:t>https://core.ac.uk/download/pdf/7146349.pdf</w:t>
      </w:r>
      <w:r w:rsidR="00C3072D">
        <w:t xml:space="preserve"> </w:t>
      </w:r>
      <w:r w:rsidR="00C3072D" w:rsidRPr="00B37377">
        <w:rPr>
          <w:color w:val="auto"/>
          <w:szCs w:val="28"/>
          <w:lang w:eastAsia="en-GB"/>
        </w:rPr>
        <w:t>[Accessed 05 March 2019].</w:t>
      </w:r>
    </w:p>
    <w:sectPr w:rsidR="00F44B60" w:rsidRPr="009B031D" w:rsidSect="00696D3C">
      <w:footerReference w:type="default" r:id="rId2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7D091" w14:textId="77777777" w:rsidR="00BE05AF" w:rsidRDefault="00BE05AF" w:rsidP="00FB15DA">
      <w:r>
        <w:separator/>
      </w:r>
    </w:p>
  </w:endnote>
  <w:endnote w:type="continuationSeparator" w:id="0">
    <w:p w14:paraId="4E56E9CD" w14:textId="77777777" w:rsidR="00BE05AF" w:rsidRDefault="00BE05AF"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A2137C" w:rsidRDefault="00A2137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A2137C" w:rsidRDefault="00A21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717C1" w14:textId="77777777" w:rsidR="00BE05AF" w:rsidRDefault="00BE05AF" w:rsidP="00FB15DA">
      <w:r>
        <w:separator/>
      </w:r>
    </w:p>
  </w:footnote>
  <w:footnote w:type="continuationSeparator" w:id="0">
    <w:p w14:paraId="657AE22E" w14:textId="77777777" w:rsidR="00BE05AF" w:rsidRDefault="00BE05AF"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3"/>
  </w:num>
  <w:num w:numId="3">
    <w:abstractNumId w:val="12"/>
  </w:num>
  <w:num w:numId="4">
    <w:abstractNumId w:val="9"/>
  </w:num>
  <w:num w:numId="5">
    <w:abstractNumId w:val="4"/>
  </w:num>
  <w:num w:numId="6">
    <w:abstractNumId w:val="10"/>
  </w:num>
  <w:num w:numId="7">
    <w:abstractNumId w:val="1"/>
  </w:num>
  <w:num w:numId="8">
    <w:abstractNumId w:val="11"/>
  </w:num>
  <w:num w:numId="9">
    <w:abstractNumId w:val="7"/>
  </w:num>
  <w:num w:numId="10">
    <w:abstractNumId w:val="6"/>
  </w:num>
  <w:num w:numId="11">
    <w:abstractNumId w:val="5"/>
  </w:num>
  <w:num w:numId="12">
    <w:abstractNumId w:val="2"/>
  </w:num>
  <w:num w:numId="13">
    <w:abstractNumId w:val="14"/>
  </w:num>
  <w:num w:numId="14">
    <w:abstractNumId w:val="0"/>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7D5A"/>
    <w:rsid w:val="00077F89"/>
    <w:rsid w:val="00080ADF"/>
    <w:rsid w:val="00086941"/>
    <w:rsid w:val="00091A72"/>
    <w:rsid w:val="0009234F"/>
    <w:rsid w:val="00092537"/>
    <w:rsid w:val="0009465F"/>
    <w:rsid w:val="000968B2"/>
    <w:rsid w:val="00096E7F"/>
    <w:rsid w:val="000A418D"/>
    <w:rsid w:val="000A5C05"/>
    <w:rsid w:val="000A6338"/>
    <w:rsid w:val="000A6E46"/>
    <w:rsid w:val="000B3BDB"/>
    <w:rsid w:val="000B7684"/>
    <w:rsid w:val="000C07E5"/>
    <w:rsid w:val="000C11EF"/>
    <w:rsid w:val="000C45DC"/>
    <w:rsid w:val="000C4E36"/>
    <w:rsid w:val="000C52C2"/>
    <w:rsid w:val="000C5479"/>
    <w:rsid w:val="000C5ECA"/>
    <w:rsid w:val="000C7A35"/>
    <w:rsid w:val="000D0B01"/>
    <w:rsid w:val="000E5643"/>
    <w:rsid w:val="000F031E"/>
    <w:rsid w:val="000F5739"/>
    <w:rsid w:val="000F7C9F"/>
    <w:rsid w:val="00100CF8"/>
    <w:rsid w:val="00111626"/>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3BC1"/>
    <w:rsid w:val="002A4585"/>
    <w:rsid w:val="002B052F"/>
    <w:rsid w:val="002B2C64"/>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4049"/>
    <w:rsid w:val="003D0A59"/>
    <w:rsid w:val="003D3C60"/>
    <w:rsid w:val="003D6DF9"/>
    <w:rsid w:val="003E1B1C"/>
    <w:rsid w:val="003E5960"/>
    <w:rsid w:val="003F2391"/>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C05F2"/>
    <w:rsid w:val="004D7AFD"/>
    <w:rsid w:val="004E3D22"/>
    <w:rsid w:val="004E3D5F"/>
    <w:rsid w:val="004E3F9C"/>
    <w:rsid w:val="004E63C3"/>
    <w:rsid w:val="004F79A2"/>
    <w:rsid w:val="00506AFF"/>
    <w:rsid w:val="005070F2"/>
    <w:rsid w:val="00511E51"/>
    <w:rsid w:val="0051218A"/>
    <w:rsid w:val="00515902"/>
    <w:rsid w:val="00516CC0"/>
    <w:rsid w:val="00520A96"/>
    <w:rsid w:val="0052130B"/>
    <w:rsid w:val="00521BF7"/>
    <w:rsid w:val="005253BB"/>
    <w:rsid w:val="005268AC"/>
    <w:rsid w:val="0053595C"/>
    <w:rsid w:val="0053735D"/>
    <w:rsid w:val="00542B10"/>
    <w:rsid w:val="005437ED"/>
    <w:rsid w:val="005511AC"/>
    <w:rsid w:val="0055559A"/>
    <w:rsid w:val="00556A90"/>
    <w:rsid w:val="00566593"/>
    <w:rsid w:val="0056798F"/>
    <w:rsid w:val="005733FD"/>
    <w:rsid w:val="0058030D"/>
    <w:rsid w:val="00583F88"/>
    <w:rsid w:val="005874C4"/>
    <w:rsid w:val="00594501"/>
    <w:rsid w:val="00597180"/>
    <w:rsid w:val="005A14D7"/>
    <w:rsid w:val="005A1B76"/>
    <w:rsid w:val="005A2C99"/>
    <w:rsid w:val="005A7766"/>
    <w:rsid w:val="005B3628"/>
    <w:rsid w:val="005C200E"/>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3C25"/>
    <w:rsid w:val="00623D2F"/>
    <w:rsid w:val="006246F6"/>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3FC"/>
    <w:rsid w:val="00663E51"/>
    <w:rsid w:val="00666EC5"/>
    <w:rsid w:val="00667D9F"/>
    <w:rsid w:val="00676643"/>
    <w:rsid w:val="0067738A"/>
    <w:rsid w:val="0067789E"/>
    <w:rsid w:val="006860A7"/>
    <w:rsid w:val="00686406"/>
    <w:rsid w:val="00686DF6"/>
    <w:rsid w:val="006903BF"/>
    <w:rsid w:val="00690A39"/>
    <w:rsid w:val="00690ED3"/>
    <w:rsid w:val="0069375E"/>
    <w:rsid w:val="00696D3C"/>
    <w:rsid w:val="006A370E"/>
    <w:rsid w:val="006A4107"/>
    <w:rsid w:val="006A66B1"/>
    <w:rsid w:val="006A72D3"/>
    <w:rsid w:val="006B611D"/>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5305"/>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34C3"/>
    <w:rsid w:val="00797AEF"/>
    <w:rsid w:val="007A27AC"/>
    <w:rsid w:val="007B3997"/>
    <w:rsid w:val="007B4F72"/>
    <w:rsid w:val="007B6E96"/>
    <w:rsid w:val="007C18E1"/>
    <w:rsid w:val="007C7985"/>
    <w:rsid w:val="007C7A49"/>
    <w:rsid w:val="007D3F47"/>
    <w:rsid w:val="007D412B"/>
    <w:rsid w:val="007D5469"/>
    <w:rsid w:val="007D6A97"/>
    <w:rsid w:val="007E0250"/>
    <w:rsid w:val="007E4F21"/>
    <w:rsid w:val="007E6686"/>
    <w:rsid w:val="007F10C1"/>
    <w:rsid w:val="007F5DE9"/>
    <w:rsid w:val="007F73AD"/>
    <w:rsid w:val="00802ACF"/>
    <w:rsid w:val="00803A0C"/>
    <w:rsid w:val="00815F50"/>
    <w:rsid w:val="00816123"/>
    <w:rsid w:val="00826534"/>
    <w:rsid w:val="00837022"/>
    <w:rsid w:val="008400B1"/>
    <w:rsid w:val="008402BA"/>
    <w:rsid w:val="008416AE"/>
    <w:rsid w:val="008425DB"/>
    <w:rsid w:val="00846E1A"/>
    <w:rsid w:val="00854131"/>
    <w:rsid w:val="008543C9"/>
    <w:rsid w:val="00866454"/>
    <w:rsid w:val="008713D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8F7696"/>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3C2"/>
    <w:rsid w:val="009804E0"/>
    <w:rsid w:val="00982C7A"/>
    <w:rsid w:val="00985A4B"/>
    <w:rsid w:val="00987DBB"/>
    <w:rsid w:val="0099218E"/>
    <w:rsid w:val="00995E4B"/>
    <w:rsid w:val="009A3D16"/>
    <w:rsid w:val="009A4DE4"/>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907EF"/>
    <w:rsid w:val="00A91500"/>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2449"/>
    <w:rsid w:val="00B43A04"/>
    <w:rsid w:val="00B44230"/>
    <w:rsid w:val="00B4594E"/>
    <w:rsid w:val="00B51130"/>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05AF"/>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3072D"/>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A42E9"/>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09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464D"/>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4C61"/>
    <w:rsid w:val="00DE62F8"/>
    <w:rsid w:val="00DF2639"/>
    <w:rsid w:val="00DF648A"/>
    <w:rsid w:val="00E0049C"/>
    <w:rsid w:val="00E00CA3"/>
    <w:rsid w:val="00E02FF2"/>
    <w:rsid w:val="00E03597"/>
    <w:rsid w:val="00E0567E"/>
    <w:rsid w:val="00E07ED5"/>
    <w:rsid w:val="00E1142F"/>
    <w:rsid w:val="00E11BC2"/>
    <w:rsid w:val="00E22928"/>
    <w:rsid w:val="00E24452"/>
    <w:rsid w:val="00E30289"/>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67E18"/>
    <w:rsid w:val="00E70C37"/>
    <w:rsid w:val="00E72356"/>
    <w:rsid w:val="00E72548"/>
    <w:rsid w:val="00E725EE"/>
    <w:rsid w:val="00E7468E"/>
    <w:rsid w:val="00E77F46"/>
    <w:rsid w:val="00E80F3C"/>
    <w:rsid w:val="00E844E7"/>
    <w:rsid w:val="00E90F3C"/>
    <w:rsid w:val="00E97A33"/>
    <w:rsid w:val="00EB4758"/>
    <w:rsid w:val="00EB73C0"/>
    <w:rsid w:val="00EC1B8D"/>
    <w:rsid w:val="00EC2A69"/>
    <w:rsid w:val="00EC2DF3"/>
    <w:rsid w:val="00ED6DE9"/>
    <w:rsid w:val="00EE041E"/>
    <w:rsid w:val="00EE14BF"/>
    <w:rsid w:val="00EE15F3"/>
    <w:rsid w:val="00EE2E95"/>
    <w:rsid w:val="00EE3807"/>
    <w:rsid w:val="00EE5AAA"/>
    <w:rsid w:val="00EE5FEC"/>
    <w:rsid w:val="00EF1547"/>
    <w:rsid w:val="00EF1620"/>
    <w:rsid w:val="00EF2C32"/>
    <w:rsid w:val="00EF6418"/>
    <w:rsid w:val="00EF770F"/>
    <w:rsid w:val="00F066FE"/>
    <w:rsid w:val="00F06B05"/>
    <w:rsid w:val="00F14E9A"/>
    <w:rsid w:val="00F16EA6"/>
    <w:rsid w:val="00F17623"/>
    <w:rsid w:val="00F24D59"/>
    <w:rsid w:val="00F253DC"/>
    <w:rsid w:val="00F266F2"/>
    <w:rsid w:val="00F35F8E"/>
    <w:rsid w:val="00F4127B"/>
    <w:rsid w:val="00F419A9"/>
    <w:rsid w:val="00F44A73"/>
    <w:rsid w:val="00F44B60"/>
    <w:rsid w:val="00F5581E"/>
    <w:rsid w:val="00F573CF"/>
    <w:rsid w:val="00F61204"/>
    <w:rsid w:val="00F63803"/>
    <w:rsid w:val="00F6481C"/>
    <w:rsid w:val="00F72A85"/>
    <w:rsid w:val="00F73AA1"/>
    <w:rsid w:val="00F851AB"/>
    <w:rsid w:val="00F86FF0"/>
    <w:rsid w:val="00F90633"/>
    <w:rsid w:val="00F91DA2"/>
    <w:rsid w:val="00FA3201"/>
    <w:rsid w:val="00FA54FF"/>
    <w:rsid w:val="00FB15DA"/>
    <w:rsid w:val="00FB267E"/>
    <w:rsid w:val="00FB2690"/>
    <w:rsid w:val="00FB3BC1"/>
    <w:rsid w:val="00FB3D82"/>
    <w:rsid w:val="00FB40B3"/>
    <w:rsid w:val="00FB6DE9"/>
    <w:rsid w:val="00FC19FF"/>
    <w:rsid w:val="00FC1E26"/>
    <w:rsid w:val="00FC2B93"/>
    <w:rsid w:val="00FC625B"/>
    <w:rsid w:val="00FC7237"/>
    <w:rsid w:val="00FC7719"/>
    <w:rsid w:val="00FD1C9F"/>
    <w:rsid w:val="00FD2FA0"/>
    <w:rsid w:val="00FD52B6"/>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15035-B2DE-46BB-AA15-521C451EE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46</Pages>
  <Words>13612</Words>
  <Characters>77595</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519</cp:revision>
  <dcterms:created xsi:type="dcterms:W3CDTF">2018-12-05T12:28:00Z</dcterms:created>
  <dcterms:modified xsi:type="dcterms:W3CDTF">2019-03-08T14:47:00Z</dcterms:modified>
</cp:coreProperties>
</file>