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053B13" w:rsidRPr="00FB15DA" w:rsidRDefault="00053B13" w:rsidP="00FB15DA">
                            <w:pPr>
                              <w:jc w:val="center"/>
                              <w:rPr>
                                <w:b/>
                                <w:sz w:val="72"/>
                              </w:rPr>
                            </w:pPr>
                            <w:r w:rsidRPr="00FB15DA">
                              <w:rPr>
                                <w:b/>
                                <w:sz w:val="72"/>
                              </w:rPr>
                              <w:t>The Politics of Routing</w:t>
                            </w:r>
                          </w:p>
                          <w:p w14:paraId="7A473456" w14:textId="405D57BB" w:rsidR="00053B13" w:rsidRPr="00FB15DA" w:rsidRDefault="00053B13" w:rsidP="00FB15DA">
                            <w:pPr>
                              <w:jc w:val="center"/>
                              <w:rPr>
                                <w:sz w:val="48"/>
                              </w:rPr>
                            </w:pPr>
                            <w:r w:rsidRPr="00FB15DA">
                              <w:rPr>
                                <w:sz w:val="48"/>
                              </w:rPr>
                              <w:t>How Malicious Routing Behaviour Correlates with Freedom</w:t>
                            </w:r>
                          </w:p>
                          <w:p w14:paraId="57FB6F3C" w14:textId="5B78287D" w:rsidR="00053B13" w:rsidRDefault="00053B13" w:rsidP="00FB15DA">
                            <w:pPr>
                              <w:jc w:val="center"/>
                              <w:rPr>
                                <w:sz w:val="32"/>
                              </w:rPr>
                            </w:pPr>
                            <w:r>
                              <w:rPr>
                                <w:sz w:val="32"/>
                              </w:rPr>
                              <w:t>Ben Kendall</w:t>
                            </w:r>
                          </w:p>
                          <w:p w14:paraId="2BB63C0C" w14:textId="28997C01" w:rsidR="00053B13" w:rsidRDefault="00053B13" w:rsidP="00FB15DA">
                            <w:pPr>
                              <w:jc w:val="center"/>
                              <w:rPr>
                                <w:sz w:val="32"/>
                              </w:rPr>
                            </w:pPr>
                            <w:r>
                              <w:rPr>
                                <w:sz w:val="32"/>
                              </w:rPr>
                              <w:t>BSc Hons Computer Science</w:t>
                            </w:r>
                          </w:p>
                          <w:p w14:paraId="2337004A" w14:textId="276100AC" w:rsidR="00053B13" w:rsidRPr="00FB15DA" w:rsidRDefault="00053B13"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053B13" w:rsidRPr="00FB15DA" w:rsidRDefault="00053B13" w:rsidP="00FB15DA">
                      <w:pPr>
                        <w:jc w:val="center"/>
                        <w:rPr>
                          <w:b/>
                          <w:sz w:val="72"/>
                        </w:rPr>
                      </w:pPr>
                      <w:r w:rsidRPr="00FB15DA">
                        <w:rPr>
                          <w:b/>
                          <w:sz w:val="72"/>
                        </w:rPr>
                        <w:t>The Politics of Routing</w:t>
                      </w:r>
                    </w:p>
                    <w:p w14:paraId="7A473456" w14:textId="405D57BB" w:rsidR="00053B13" w:rsidRPr="00FB15DA" w:rsidRDefault="00053B13" w:rsidP="00FB15DA">
                      <w:pPr>
                        <w:jc w:val="center"/>
                        <w:rPr>
                          <w:sz w:val="48"/>
                        </w:rPr>
                      </w:pPr>
                      <w:r w:rsidRPr="00FB15DA">
                        <w:rPr>
                          <w:sz w:val="48"/>
                        </w:rPr>
                        <w:t>How Malicious Routing Behaviour Correlates with Freedom</w:t>
                      </w:r>
                    </w:p>
                    <w:p w14:paraId="57FB6F3C" w14:textId="5B78287D" w:rsidR="00053B13" w:rsidRDefault="00053B13" w:rsidP="00FB15DA">
                      <w:pPr>
                        <w:jc w:val="center"/>
                        <w:rPr>
                          <w:sz w:val="32"/>
                        </w:rPr>
                      </w:pPr>
                      <w:r>
                        <w:rPr>
                          <w:sz w:val="32"/>
                        </w:rPr>
                        <w:t>Ben Kendall</w:t>
                      </w:r>
                    </w:p>
                    <w:p w14:paraId="2BB63C0C" w14:textId="28997C01" w:rsidR="00053B13" w:rsidRDefault="00053B13" w:rsidP="00FB15DA">
                      <w:pPr>
                        <w:jc w:val="center"/>
                        <w:rPr>
                          <w:sz w:val="32"/>
                        </w:rPr>
                      </w:pPr>
                      <w:r>
                        <w:rPr>
                          <w:sz w:val="32"/>
                        </w:rPr>
                        <w:t>BSc Hons Computer Science</w:t>
                      </w:r>
                    </w:p>
                    <w:p w14:paraId="2337004A" w14:textId="276100AC" w:rsidR="00053B13" w:rsidRPr="00FB15DA" w:rsidRDefault="00053B13"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7FCE4EF" w14:textId="1FB5CE93" w:rsidR="007E4F21"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3850549" w:history="1">
        <w:r w:rsidR="007E4F21" w:rsidRPr="00F34B00">
          <w:rPr>
            <w:rStyle w:val="Hyperlink"/>
            <w:rFonts w:eastAsia="Times New Roman"/>
            <w:noProof/>
            <w:lang w:eastAsia="en-GB"/>
          </w:rPr>
          <w:t>Introduction</w:t>
        </w:r>
        <w:r w:rsidR="007E4F21">
          <w:rPr>
            <w:noProof/>
            <w:webHidden/>
          </w:rPr>
          <w:tab/>
        </w:r>
        <w:r w:rsidR="007E4F21">
          <w:rPr>
            <w:noProof/>
            <w:webHidden/>
          </w:rPr>
          <w:fldChar w:fldCharType="begin"/>
        </w:r>
        <w:r w:rsidR="007E4F21">
          <w:rPr>
            <w:noProof/>
            <w:webHidden/>
          </w:rPr>
          <w:instrText xml:space="preserve"> PAGEREF _Toc533850549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E78088" w14:textId="5E416F9B" w:rsidR="007E4F21" w:rsidRDefault="00053B1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0" w:history="1">
        <w:r w:rsidR="007E4F21" w:rsidRPr="00F34B00">
          <w:rPr>
            <w:rStyle w:val="Hyperlink"/>
            <w:noProof/>
            <w:lang w:eastAsia="en-GB"/>
          </w:rPr>
          <w:t>1.1</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Chapter Overview</w:t>
        </w:r>
        <w:r w:rsidR="007E4F21">
          <w:rPr>
            <w:noProof/>
            <w:webHidden/>
          </w:rPr>
          <w:tab/>
        </w:r>
        <w:r w:rsidR="007E4F21">
          <w:rPr>
            <w:noProof/>
            <w:webHidden/>
          </w:rPr>
          <w:fldChar w:fldCharType="begin"/>
        </w:r>
        <w:r w:rsidR="007E4F21">
          <w:rPr>
            <w:noProof/>
            <w:webHidden/>
          </w:rPr>
          <w:instrText xml:space="preserve"> PAGEREF _Toc533850550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3AEE31" w14:textId="2F603571" w:rsidR="007E4F21" w:rsidRDefault="00053B1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1" w:history="1">
        <w:r w:rsidR="007E4F21" w:rsidRPr="00F34B00">
          <w:rPr>
            <w:rStyle w:val="Hyperlink"/>
            <w:noProof/>
            <w:lang w:eastAsia="en-GB"/>
          </w:rPr>
          <w:t>1.2</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Motivation for Research</w:t>
        </w:r>
        <w:r w:rsidR="007E4F21">
          <w:rPr>
            <w:noProof/>
            <w:webHidden/>
          </w:rPr>
          <w:tab/>
        </w:r>
        <w:r w:rsidR="007E4F21">
          <w:rPr>
            <w:noProof/>
            <w:webHidden/>
          </w:rPr>
          <w:fldChar w:fldCharType="begin"/>
        </w:r>
        <w:r w:rsidR="007E4F21">
          <w:rPr>
            <w:noProof/>
            <w:webHidden/>
          </w:rPr>
          <w:instrText xml:space="preserve"> PAGEREF _Toc533850551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1ED0D9B2" w14:textId="57F65DAA" w:rsidR="007E4F21" w:rsidRDefault="00053B1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2" w:history="1">
        <w:r w:rsidR="007E4F21" w:rsidRPr="00F34B00">
          <w:rPr>
            <w:rStyle w:val="Hyperlink"/>
            <w:noProof/>
            <w:lang w:eastAsia="en-GB"/>
          </w:rPr>
          <w:t>1.3</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Aims and Objectives</w:t>
        </w:r>
        <w:r w:rsidR="007E4F21">
          <w:rPr>
            <w:noProof/>
            <w:webHidden/>
          </w:rPr>
          <w:tab/>
        </w:r>
        <w:r w:rsidR="007E4F21">
          <w:rPr>
            <w:noProof/>
            <w:webHidden/>
          </w:rPr>
          <w:fldChar w:fldCharType="begin"/>
        </w:r>
        <w:r w:rsidR="007E4F21">
          <w:rPr>
            <w:noProof/>
            <w:webHidden/>
          </w:rPr>
          <w:instrText xml:space="preserve"> PAGEREF _Toc533850552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4D3C39EF" w14:textId="56226FCB"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3" w:history="1">
        <w:r w:rsidR="007E4F21" w:rsidRPr="00F34B00">
          <w:rPr>
            <w:rStyle w:val="Hyperlink"/>
            <w:noProof/>
            <w:lang w:eastAsia="en-GB"/>
          </w:rPr>
          <w:t>1.4 Report Structure</w:t>
        </w:r>
        <w:r w:rsidR="007E4F21">
          <w:rPr>
            <w:noProof/>
            <w:webHidden/>
          </w:rPr>
          <w:tab/>
        </w:r>
        <w:r w:rsidR="007E4F21">
          <w:rPr>
            <w:noProof/>
            <w:webHidden/>
          </w:rPr>
          <w:fldChar w:fldCharType="begin"/>
        </w:r>
        <w:r w:rsidR="007E4F21">
          <w:rPr>
            <w:noProof/>
            <w:webHidden/>
          </w:rPr>
          <w:instrText xml:space="preserve"> PAGEREF _Toc533850553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1A876F7A" w14:textId="6654832B" w:rsidR="007E4F21" w:rsidRDefault="00053B1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54" w:history="1">
        <w:r w:rsidR="007E4F21" w:rsidRPr="00F34B00">
          <w:rPr>
            <w:rStyle w:val="Hyperlink"/>
            <w:rFonts w:eastAsia="Times New Roman"/>
            <w:noProof/>
            <w:lang w:eastAsia="en-GB"/>
          </w:rPr>
          <w:t>Background Research</w:t>
        </w:r>
        <w:r w:rsidR="007E4F21">
          <w:rPr>
            <w:noProof/>
            <w:webHidden/>
          </w:rPr>
          <w:tab/>
        </w:r>
        <w:r w:rsidR="007E4F21">
          <w:rPr>
            <w:noProof/>
            <w:webHidden/>
          </w:rPr>
          <w:fldChar w:fldCharType="begin"/>
        </w:r>
        <w:r w:rsidR="007E4F21">
          <w:rPr>
            <w:noProof/>
            <w:webHidden/>
          </w:rPr>
          <w:instrText xml:space="preserve"> PAGEREF _Toc533850554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58CC5324" w14:textId="557BE81A"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5" w:history="1">
        <w:r w:rsidR="007E4F21" w:rsidRPr="00F34B00">
          <w:rPr>
            <w:rStyle w:val="Hyperlink"/>
            <w:noProof/>
            <w:lang w:eastAsia="en-GB"/>
          </w:rPr>
          <w:t>2.1 Chapter Overview</w:t>
        </w:r>
        <w:r w:rsidR="007E4F21">
          <w:rPr>
            <w:noProof/>
            <w:webHidden/>
          </w:rPr>
          <w:tab/>
        </w:r>
        <w:r w:rsidR="007E4F21">
          <w:rPr>
            <w:noProof/>
            <w:webHidden/>
          </w:rPr>
          <w:fldChar w:fldCharType="begin"/>
        </w:r>
        <w:r w:rsidR="007E4F21">
          <w:rPr>
            <w:noProof/>
            <w:webHidden/>
          </w:rPr>
          <w:instrText xml:space="preserve"> PAGEREF _Toc533850555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319E7248" w14:textId="2B4FC5ED"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6" w:history="1">
        <w:r w:rsidR="007E4F21" w:rsidRPr="00F34B00">
          <w:rPr>
            <w:rStyle w:val="Hyperlink"/>
            <w:noProof/>
            <w:lang w:eastAsia="en-GB"/>
          </w:rPr>
          <w:t>2.2 The Politics of Routing: Investigating the Relationship between AS connectivity and Internet Freedom</w:t>
        </w:r>
        <w:r w:rsidR="007E4F21">
          <w:rPr>
            <w:noProof/>
            <w:webHidden/>
          </w:rPr>
          <w:tab/>
        </w:r>
        <w:r w:rsidR="007E4F21">
          <w:rPr>
            <w:noProof/>
            <w:webHidden/>
          </w:rPr>
          <w:fldChar w:fldCharType="begin"/>
        </w:r>
        <w:r w:rsidR="007E4F21">
          <w:rPr>
            <w:noProof/>
            <w:webHidden/>
          </w:rPr>
          <w:instrText xml:space="preserve"> PAGEREF _Toc533850556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269304B5" w14:textId="059DE3AF"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7" w:history="1">
        <w:r w:rsidR="007E4F21" w:rsidRPr="00F34B00">
          <w:rPr>
            <w:rStyle w:val="Hyperlink"/>
            <w:noProof/>
            <w:lang w:eastAsia="en-GB"/>
          </w:rPr>
          <w:t>2.3 Nation-State Hegemony in Internet Routing</w:t>
        </w:r>
        <w:r w:rsidR="007E4F21">
          <w:rPr>
            <w:noProof/>
            <w:webHidden/>
          </w:rPr>
          <w:tab/>
        </w:r>
        <w:r w:rsidR="007E4F21">
          <w:rPr>
            <w:noProof/>
            <w:webHidden/>
          </w:rPr>
          <w:fldChar w:fldCharType="begin"/>
        </w:r>
        <w:r w:rsidR="007E4F21">
          <w:rPr>
            <w:noProof/>
            <w:webHidden/>
          </w:rPr>
          <w:instrText xml:space="preserve"> PAGEREF _Toc533850557 \h </w:instrText>
        </w:r>
        <w:r w:rsidR="007E4F21">
          <w:rPr>
            <w:noProof/>
            <w:webHidden/>
          </w:rPr>
        </w:r>
        <w:r w:rsidR="007E4F21">
          <w:rPr>
            <w:noProof/>
            <w:webHidden/>
          </w:rPr>
          <w:fldChar w:fldCharType="separate"/>
        </w:r>
        <w:r w:rsidR="007E4F21">
          <w:rPr>
            <w:noProof/>
            <w:webHidden/>
          </w:rPr>
          <w:t>10</w:t>
        </w:r>
        <w:r w:rsidR="007E4F21">
          <w:rPr>
            <w:noProof/>
            <w:webHidden/>
          </w:rPr>
          <w:fldChar w:fldCharType="end"/>
        </w:r>
      </w:hyperlink>
    </w:p>
    <w:p w14:paraId="71285158" w14:textId="3D1CBF29"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8" w:history="1">
        <w:r w:rsidR="007E4F21" w:rsidRPr="00F34B00">
          <w:rPr>
            <w:rStyle w:val="Hyperlink"/>
            <w:noProof/>
          </w:rPr>
          <w:t>2.4 Quantifying Information Exposure in Internet Routing</w:t>
        </w:r>
        <w:r w:rsidR="007E4F21">
          <w:rPr>
            <w:noProof/>
            <w:webHidden/>
          </w:rPr>
          <w:tab/>
        </w:r>
        <w:r w:rsidR="007E4F21">
          <w:rPr>
            <w:noProof/>
            <w:webHidden/>
          </w:rPr>
          <w:fldChar w:fldCharType="begin"/>
        </w:r>
        <w:r w:rsidR="007E4F21">
          <w:rPr>
            <w:noProof/>
            <w:webHidden/>
          </w:rPr>
          <w:instrText xml:space="preserve"> PAGEREF _Toc533850558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32C582A6" w14:textId="4443424D"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9" w:history="1">
        <w:r w:rsidR="007E4F21" w:rsidRPr="00F34B00">
          <w:rPr>
            <w:rStyle w:val="Hyperlink"/>
            <w:noProof/>
          </w:rPr>
          <w:t>2.5 Schengen Routing: A Compliance Analysis</w:t>
        </w:r>
        <w:r w:rsidR="007E4F21">
          <w:rPr>
            <w:noProof/>
            <w:webHidden/>
          </w:rPr>
          <w:tab/>
        </w:r>
        <w:r w:rsidR="007E4F21">
          <w:rPr>
            <w:noProof/>
            <w:webHidden/>
          </w:rPr>
          <w:fldChar w:fldCharType="begin"/>
        </w:r>
        <w:r w:rsidR="007E4F21">
          <w:rPr>
            <w:noProof/>
            <w:webHidden/>
          </w:rPr>
          <w:instrText xml:space="preserve"> PAGEREF _Toc533850559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5E31E083" w14:textId="6A05CB3E"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0" w:history="1">
        <w:r w:rsidR="007E4F21" w:rsidRPr="00F34B00">
          <w:rPr>
            <w:rStyle w:val="Hyperlink"/>
            <w:noProof/>
          </w:rPr>
          <w:t>2.6 Politically Motivated DDoS</w:t>
        </w:r>
        <w:r w:rsidR="007E4F21">
          <w:rPr>
            <w:noProof/>
            <w:webHidden/>
          </w:rPr>
          <w:tab/>
        </w:r>
        <w:r w:rsidR="007E4F21">
          <w:rPr>
            <w:noProof/>
            <w:webHidden/>
          </w:rPr>
          <w:fldChar w:fldCharType="begin"/>
        </w:r>
        <w:r w:rsidR="007E4F21">
          <w:rPr>
            <w:noProof/>
            <w:webHidden/>
          </w:rPr>
          <w:instrText xml:space="preserve"> PAGEREF _Toc533850560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A7EE2FF" w14:textId="0201C86F"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1" w:history="1">
        <w:r w:rsidR="007E4F21" w:rsidRPr="00F34B00">
          <w:rPr>
            <w:rStyle w:val="Hyperlink"/>
            <w:noProof/>
            <w:lang w:eastAsia="en-GB"/>
          </w:rPr>
          <w:t>2.7 Related Work: Freedom Indexes</w:t>
        </w:r>
        <w:r w:rsidR="007E4F21">
          <w:rPr>
            <w:noProof/>
            <w:webHidden/>
          </w:rPr>
          <w:tab/>
        </w:r>
        <w:r w:rsidR="007E4F21">
          <w:rPr>
            <w:noProof/>
            <w:webHidden/>
          </w:rPr>
          <w:fldChar w:fldCharType="begin"/>
        </w:r>
        <w:r w:rsidR="007E4F21">
          <w:rPr>
            <w:noProof/>
            <w:webHidden/>
          </w:rPr>
          <w:instrText xml:space="preserve"> PAGEREF _Toc533850561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0D72F92" w14:textId="26A5DB2F" w:rsidR="007E4F21" w:rsidRDefault="00053B13">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2" w:history="1">
        <w:r w:rsidR="007E4F21" w:rsidRPr="00F34B00">
          <w:rPr>
            <w:rStyle w:val="Hyperlink"/>
            <w:noProof/>
            <w:lang w:eastAsia="en-GB"/>
          </w:rPr>
          <w:t>2.7.1 Freedom on the Net 2018</w:t>
        </w:r>
        <w:r w:rsidR="007E4F21">
          <w:rPr>
            <w:noProof/>
            <w:webHidden/>
          </w:rPr>
          <w:tab/>
        </w:r>
        <w:r w:rsidR="007E4F21">
          <w:rPr>
            <w:noProof/>
            <w:webHidden/>
          </w:rPr>
          <w:fldChar w:fldCharType="begin"/>
        </w:r>
        <w:r w:rsidR="007E4F21">
          <w:rPr>
            <w:noProof/>
            <w:webHidden/>
          </w:rPr>
          <w:instrText xml:space="preserve"> PAGEREF _Toc533850562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4A48D333" w14:textId="09125229" w:rsidR="007E4F21" w:rsidRDefault="00053B13">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3" w:history="1">
        <w:r w:rsidR="007E4F21" w:rsidRPr="00F34B00">
          <w:rPr>
            <w:rStyle w:val="Hyperlink"/>
            <w:noProof/>
            <w:lang w:eastAsia="en-GB"/>
          </w:rPr>
          <w:t>2.7.2 Freedom of the Press 2017</w:t>
        </w:r>
        <w:r w:rsidR="007E4F21">
          <w:rPr>
            <w:noProof/>
            <w:webHidden/>
          </w:rPr>
          <w:tab/>
        </w:r>
        <w:r w:rsidR="007E4F21">
          <w:rPr>
            <w:noProof/>
            <w:webHidden/>
          </w:rPr>
          <w:fldChar w:fldCharType="begin"/>
        </w:r>
        <w:r w:rsidR="007E4F21">
          <w:rPr>
            <w:noProof/>
            <w:webHidden/>
          </w:rPr>
          <w:instrText xml:space="preserve"> PAGEREF _Toc533850563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66DB193A" w14:textId="5DBAD972" w:rsidR="007E4F21" w:rsidRDefault="00053B13">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4" w:history="1">
        <w:r w:rsidR="007E4F21" w:rsidRPr="00F34B00">
          <w:rPr>
            <w:rStyle w:val="Hyperlink"/>
            <w:noProof/>
            <w:lang w:eastAsia="en-GB"/>
          </w:rPr>
          <w:t>2.7.3 The Human Freedom Index (</w:t>
        </w:r>
        <w:r w:rsidR="007E4F21" w:rsidRPr="00F34B00">
          <w:rPr>
            <w:rStyle w:val="Hyperlink"/>
            <w:i/>
            <w:noProof/>
            <w:lang w:eastAsia="en-GB"/>
          </w:rPr>
          <w:t>updated for 2018</w:t>
        </w:r>
        <w:r w:rsidR="007E4F21" w:rsidRPr="00F34B00">
          <w:rPr>
            <w:rStyle w:val="Hyperlink"/>
            <w:noProof/>
            <w:lang w:eastAsia="en-GB"/>
          </w:rPr>
          <w:t>)</w:t>
        </w:r>
        <w:r w:rsidR="007E4F21">
          <w:rPr>
            <w:noProof/>
            <w:webHidden/>
          </w:rPr>
          <w:tab/>
        </w:r>
        <w:r w:rsidR="007E4F21">
          <w:rPr>
            <w:noProof/>
            <w:webHidden/>
          </w:rPr>
          <w:fldChar w:fldCharType="begin"/>
        </w:r>
        <w:r w:rsidR="007E4F21">
          <w:rPr>
            <w:noProof/>
            <w:webHidden/>
          </w:rPr>
          <w:instrText xml:space="preserve"> PAGEREF _Toc533850564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7E63ADC5" w14:textId="707118F2"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5" w:history="1">
        <w:r w:rsidR="007E4F21" w:rsidRPr="00F34B00">
          <w:rPr>
            <w:rStyle w:val="Hyperlink"/>
            <w:noProof/>
            <w:lang w:eastAsia="en-GB"/>
          </w:rPr>
          <w:t>2.8 Related Work: Data Logs</w:t>
        </w:r>
        <w:r w:rsidR="007E4F21">
          <w:rPr>
            <w:noProof/>
            <w:webHidden/>
          </w:rPr>
          <w:tab/>
        </w:r>
        <w:r w:rsidR="007E4F21">
          <w:rPr>
            <w:noProof/>
            <w:webHidden/>
          </w:rPr>
          <w:fldChar w:fldCharType="begin"/>
        </w:r>
        <w:r w:rsidR="007E4F21">
          <w:rPr>
            <w:noProof/>
            <w:webHidden/>
          </w:rPr>
          <w:instrText xml:space="preserve"> PAGEREF _Toc533850565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510E4764" w14:textId="1C56C138" w:rsidR="007E4F21" w:rsidRDefault="00053B13">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6" w:history="1">
        <w:r w:rsidR="007E4F21" w:rsidRPr="00F34B00">
          <w:rPr>
            <w:rStyle w:val="Hyperlink"/>
            <w:noProof/>
            <w:lang w:eastAsia="en-GB"/>
          </w:rPr>
          <w:t>2.8.1 Bad Packets Report (Ongoing)</w:t>
        </w:r>
        <w:r w:rsidR="007E4F21">
          <w:rPr>
            <w:noProof/>
            <w:webHidden/>
          </w:rPr>
          <w:tab/>
        </w:r>
        <w:r w:rsidR="007E4F21">
          <w:rPr>
            <w:noProof/>
            <w:webHidden/>
          </w:rPr>
          <w:fldChar w:fldCharType="begin"/>
        </w:r>
        <w:r w:rsidR="007E4F21">
          <w:rPr>
            <w:noProof/>
            <w:webHidden/>
          </w:rPr>
          <w:instrText xml:space="preserve"> PAGEREF _Toc533850566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2BD5A5AA" w14:textId="00049BDF" w:rsidR="007E4F21" w:rsidRDefault="00053B13">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7" w:history="1">
        <w:r w:rsidR="007E4F21" w:rsidRPr="00F34B00">
          <w:rPr>
            <w:rStyle w:val="Hyperlink"/>
            <w:noProof/>
            <w:lang w:eastAsia="en-GB"/>
          </w:rPr>
          <w:t>2.8.2 BGPMON (Ongoing)</w:t>
        </w:r>
        <w:r w:rsidR="007E4F21">
          <w:rPr>
            <w:noProof/>
            <w:webHidden/>
          </w:rPr>
          <w:tab/>
        </w:r>
        <w:r w:rsidR="007E4F21">
          <w:rPr>
            <w:noProof/>
            <w:webHidden/>
          </w:rPr>
          <w:fldChar w:fldCharType="begin"/>
        </w:r>
        <w:r w:rsidR="007E4F21">
          <w:rPr>
            <w:noProof/>
            <w:webHidden/>
          </w:rPr>
          <w:instrText xml:space="preserve"> PAGEREF _Toc533850567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3E413889" w14:textId="68D535BD" w:rsidR="007E4F21" w:rsidRDefault="00053B1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68" w:history="1">
        <w:r w:rsidR="007E4F21" w:rsidRPr="00F34B00">
          <w:rPr>
            <w:rStyle w:val="Hyperlink"/>
            <w:noProof/>
            <w:lang w:eastAsia="en-GB"/>
          </w:rPr>
          <w:t>Freedom</w:t>
        </w:r>
        <w:r w:rsidR="007E4F21">
          <w:rPr>
            <w:noProof/>
            <w:webHidden/>
          </w:rPr>
          <w:tab/>
        </w:r>
        <w:r w:rsidR="007E4F21">
          <w:rPr>
            <w:noProof/>
            <w:webHidden/>
          </w:rPr>
          <w:fldChar w:fldCharType="begin"/>
        </w:r>
        <w:r w:rsidR="007E4F21">
          <w:rPr>
            <w:noProof/>
            <w:webHidden/>
          </w:rPr>
          <w:instrText xml:space="preserve"> PAGEREF _Toc533850568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6722A813" w14:textId="43CB094E"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9" w:history="1">
        <w:r w:rsidR="007E4F21" w:rsidRPr="00F34B00">
          <w:rPr>
            <w:rStyle w:val="Hyperlink"/>
            <w:noProof/>
            <w:lang w:eastAsia="en-GB"/>
          </w:rPr>
          <w:t>3.1 Chapter Overview</w:t>
        </w:r>
        <w:r w:rsidR="007E4F21">
          <w:rPr>
            <w:noProof/>
            <w:webHidden/>
          </w:rPr>
          <w:tab/>
        </w:r>
        <w:r w:rsidR="007E4F21">
          <w:rPr>
            <w:noProof/>
            <w:webHidden/>
          </w:rPr>
          <w:fldChar w:fldCharType="begin"/>
        </w:r>
        <w:r w:rsidR="007E4F21">
          <w:rPr>
            <w:noProof/>
            <w:webHidden/>
          </w:rPr>
          <w:instrText xml:space="preserve"> PAGEREF _Toc533850569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3796C59B" w14:textId="18B8E34A"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0" w:history="1">
        <w:r w:rsidR="007E4F21" w:rsidRPr="00F34B00">
          <w:rPr>
            <w:rStyle w:val="Hyperlink"/>
            <w:noProof/>
            <w:lang w:eastAsia="en-GB"/>
          </w:rPr>
          <w:t>3.2 Defining Freedom</w:t>
        </w:r>
        <w:r w:rsidR="007E4F21">
          <w:rPr>
            <w:noProof/>
            <w:webHidden/>
          </w:rPr>
          <w:tab/>
        </w:r>
        <w:r w:rsidR="007E4F21">
          <w:rPr>
            <w:noProof/>
            <w:webHidden/>
          </w:rPr>
          <w:fldChar w:fldCharType="begin"/>
        </w:r>
        <w:r w:rsidR="007E4F21">
          <w:rPr>
            <w:noProof/>
            <w:webHidden/>
          </w:rPr>
          <w:instrText xml:space="preserve"> PAGEREF _Toc533850570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2E27A9F2" w14:textId="72DD0050"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1" w:history="1">
        <w:r w:rsidR="007E4F21" w:rsidRPr="00F34B00">
          <w:rPr>
            <w:rStyle w:val="Hyperlink"/>
            <w:noProof/>
            <w:lang w:eastAsia="en-GB"/>
          </w:rPr>
          <w:t>3.3 Declining Freedom &amp; China</w:t>
        </w:r>
        <w:r w:rsidR="007E4F21">
          <w:rPr>
            <w:noProof/>
            <w:webHidden/>
          </w:rPr>
          <w:tab/>
        </w:r>
        <w:r w:rsidR="007E4F21">
          <w:rPr>
            <w:noProof/>
            <w:webHidden/>
          </w:rPr>
          <w:fldChar w:fldCharType="begin"/>
        </w:r>
        <w:r w:rsidR="007E4F21">
          <w:rPr>
            <w:noProof/>
            <w:webHidden/>
          </w:rPr>
          <w:instrText xml:space="preserve"> PAGEREF _Toc533850571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42AF6C33" w14:textId="75D0F34D" w:rsidR="007E4F21" w:rsidRDefault="00053B13">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2" w:history="1">
        <w:r w:rsidR="007E4F21" w:rsidRPr="00F34B00">
          <w:rPr>
            <w:rStyle w:val="Hyperlink"/>
            <w:noProof/>
            <w:lang w:eastAsia="en-GB"/>
          </w:rPr>
          <w:t>3.3.1 Social Engineering as a means to an end</w:t>
        </w:r>
        <w:r w:rsidR="007E4F21">
          <w:rPr>
            <w:noProof/>
            <w:webHidden/>
          </w:rPr>
          <w:tab/>
        </w:r>
        <w:r w:rsidR="007E4F21">
          <w:rPr>
            <w:noProof/>
            <w:webHidden/>
          </w:rPr>
          <w:fldChar w:fldCharType="begin"/>
        </w:r>
        <w:r w:rsidR="007E4F21">
          <w:rPr>
            <w:noProof/>
            <w:webHidden/>
          </w:rPr>
          <w:instrText xml:space="preserve"> PAGEREF _Toc533850572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5ED6BEB6" w14:textId="5A372695"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3" w:history="1">
        <w:r w:rsidR="007E4F21" w:rsidRPr="00F34B00">
          <w:rPr>
            <w:rStyle w:val="Hyperlink"/>
            <w:noProof/>
            <w:lang w:eastAsia="en-GB"/>
          </w:rPr>
          <w:t>3.4 Freedom Indexes</w:t>
        </w:r>
        <w:r w:rsidR="007E4F21">
          <w:rPr>
            <w:noProof/>
            <w:webHidden/>
          </w:rPr>
          <w:tab/>
        </w:r>
        <w:r w:rsidR="007E4F21">
          <w:rPr>
            <w:noProof/>
            <w:webHidden/>
          </w:rPr>
          <w:fldChar w:fldCharType="begin"/>
        </w:r>
        <w:r w:rsidR="007E4F21">
          <w:rPr>
            <w:noProof/>
            <w:webHidden/>
          </w:rPr>
          <w:instrText xml:space="preserve"> PAGEREF _Toc533850573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6F5F3251" w14:textId="49D5CD27" w:rsidR="007E4F21" w:rsidRDefault="00053B13">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4" w:history="1">
        <w:r w:rsidR="007E4F21" w:rsidRPr="00F34B00">
          <w:rPr>
            <w:rStyle w:val="Hyperlink"/>
            <w:noProof/>
            <w:lang w:eastAsia="en-GB"/>
          </w:rPr>
          <w:t>3.4.1 Freedom on the Net</w:t>
        </w:r>
        <w:r w:rsidR="007E4F21">
          <w:rPr>
            <w:noProof/>
            <w:webHidden/>
          </w:rPr>
          <w:tab/>
        </w:r>
        <w:r w:rsidR="007E4F21">
          <w:rPr>
            <w:noProof/>
            <w:webHidden/>
          </w:rPr>
          <w:fldChar w:fldCharType="begin"/>
        </w:r>
        <w:r w:rsidR="007E4F21">
          <w:rPr>
            <w:noProof/>
            <w:webHidden/>
          </w:rPr>
          <w:instrText xml:space="preserve"> PAGEREF _Toc533850574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21A4457" w14:textId="334CE493" w:rsidR="007E4F21" w:rsidRDefault="00053B13">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5" w:history="1">
        <w:r w:rsidR="007E4F21" w:rsidRPr="00F34B00">
          <w:rPr>
            <w:rStyle w:val="Hyperlink"/>
            <w:noProof/>
            <w:lang w:eastAsia="en-GB"/>
          </w:rPr>
          <w:t>2.7.2 Freedom of the Press</w:t>
        </w:r>
        <w:r w:rsidR="007E4F21">
          <w:rPr>
            <w:noProof/>
            <w:webHidden/>
          </w:rPr>
          <w:tab/>
        </w:r>
        <w:r w:rsidR="007E4F21">
          <w:rPr>
            <w:noProof/>
            <w:webHidden/>
          </w:rPr>
          <w:fldChar w:fldCharType="begin"/>
        </w:r>
        <w:r w:rsidR="007E4F21">
          <w:rPr>
            <w:noProof/>
            <w:webHidden/>
          </w:rPr>
          <w:instrText xml:space="preserve"> PAGEREF _Toc533850575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4BC7B46" w14:textId="1C7781C4" w:rsidR="007E4F21" w:rsidRDefault="00053B13">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6" w:history="1">
        <w:r w:rsidR="007E4F21" w:rsidRPr="00F34B00">
          <w:rPr>
            <w:rStyle w:val="Hyperlink"/>
            <w:noProof/>
            <w:lang w:eastAsia="en-GB"/>
          </w:rPr>
          <w:t>2.7.3 The Human Freedom Index</w:t>
        </w:r>
        <w:r w:rsidR="007E4F21">
          <w:rPr>
            <w:noProof/>
            <w:webHidden/>
          </w:rPr>
          <w:tab/>
        </w:r>
        <w:r w:rsidR="007E4F21">
          <w:rPr>
            <w:noProof/>
            <w:webHidden/>
          </w:rPr>
          <w:fldChar w:fldCharType="begin"/>
        </w:r>
        <w:r w:rsidR="007E4F21">
          <w:rPr>
            <w:noProof/>
            <w:webHidden/>
          </w:rPr>
          <w:instrText xml:space="preserve"> PAGEREF _Toc533850576 \h </w:instrText>
        </w:r>
        <w:r w:rsidR="007E4F21">
          <w:rPr>
            <w:noProof/>
            <w:webHidden/>
          </w:rPr>
        </w:r>
        <w:r w:rsidR="007E4F21">
          <w:rPr>
            <w:noProof/>
            <w:webHidden/>
          </w:rPr>
          <w:fldChar w:fldCharType="separate"/>
        </w:r>
        <w:r w:rsidR="007E4F21">
          <w:rPr>
            <w:noProof/>
            <w:webHidden/>
          </w:rPr>
          <w:t>19</w:t>
        </w:r>
        <w:r w:rsidR="007E4F21">
          <w:rPr>
            <w:noProof/>
            <w:webHidden/>
          </w:rPr>
          <w:fldChar w:fldCharType="end"/>
        </w:r>
      </w:hyperlink>
    </w:p>
    <w:p w14:paraId="3DD1F2B6" w14:textId="528D3FCC" w:rsidR="007E4F21" w:rsidRDefault="00053B1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77" w:history="1">
        <w:r w:rsidR="007E4F21" w:rsidRPr="00F34B00">
          <w:rPr>
            <w:rStyle w:val="Hyperlink"/>
            <w:noProof/>
            <w:lang w:eastAsia="en-GB"/>
          </w:rPr>
          <w:t>Malicious Routing</w:t>
        </w:r>
        <w:r w:rsidR="007E4F21">
          <w:rPr>
            <w:noProof/>
            <w:webHidden/>
          </w:rPr>
          <w:tab/>
        </w:r>
        <w:r w:rsidR="007E4F21">
          <w:rPr>
            <w:noProof/>
            <w:webHidden/>
          </w:rPr>
          <w:fldChar w:fldCharType="begin"/>
        </w:r>
        <w:r w:rsidR="007E4F21">
          <w:rPr>
            <w:noProof/>
            <w:webHidden/>
          </w:rPr>
          <w:instrText xml:space="preserve"> PAGEREF _Toc533850577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59187E" w14:textId="0600BDD3"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8" w:history="1">
        <w:r w:rsidR="007E4F21" w:rsidRPr="00F34B00">
          <w:rPr>
            <w:rStyle w:val="Hyperlink"/>
            <w:noProof/>
            <w:lang w:eastAsia="en-GB"/>
          </w:rPr>
          <w:t>4.1 Chapter Overview</w:t>
        </w:r>
        <w:r w:rsidR="007E4F21">
          <w:rPr>
            <w:noProof/>
            <w:webHidden/>
          </w:rPr>
          <w:tab/>
        </w:r>
        <w:r w:rsidR="007E4F21">
          <w:rPr>
            <w:noProof/>
            <w:webHidden/>
          </w:rPr>
          <w:fldChar w:fldCharType="begin"/>
        </w:r>
        <w:r w:rsidR="007E4F21">
          <w:rPr>
            <w:noProof/>
            <w:webHidden/>
          </w:rPr>
          <w:instrText xml:space="preserve"> PAGEREF _Toc533850578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070D7497" w14:textId="0334A360"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9" w:history="1">
        <w:r w:rsidR="007E4F21" w:rsidRPr="00F34B00">
          <w:rPr>
            <w:rStyle w:val="Hyperlink"/>
            <w:noProof/>
            <w:lang w:eastAsia="en-GB"/>
          </w:rPr>
          <w:t>4.2 What is Malicious Routing</w:t>
        </w:r>
        <w:r w:rsidR="007E4F21">
          <w:rPr>
            <w:noProof/>
            <w:webHidden/>
          </w:rPr>
          <w:tab/>
        </w:r>
        <w:r w:rsidR="007E4F21">
          <w:rPr>
            <w:noProof/>
            <w:webHidden/>
          </w:rPr>
          <w:fldChar w:fldCharType="begin"/>
        </w:r>
        <w:r w:rsidR="007E4F21">
          <w:rPr>
            <w:noProof/>
            <w:webHidden/>
          </w:rPr>
          <w:instrText xml:space="preserve"> PAGEREF _Toc533850579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2A3E7E07" w14:textId="37249BF3"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0" w:history="1">
        <w:r w:rsidR="007E4F21" w:rsidRPr="00F34B00">
          <w:rPr>
            <w:rStyle w:val="Hyperlink"/>
            <w:noProof/>
            <w:lang w:eastAsia="en-GB"/>
          </w:rPr>
          <w:t>4.3 Nations and Autonomous Systems</w:t>
        </w:r>
        <w:r w:rsidR="007E4F21">
          <w:rPr>
            <w:noProof/>
            <w:webHidden/>
          </w:rPr>
          <w:tab/>
        </w:r>
        <w:r w:rsidR="007E4F21">
          <w:rPr>
            <w:noProof/>
            <w:webHidden/>
          </w:rPr>
          <w:fldChar w:fldCharType="begin"/>
        </w:r>
        <w:r w:rsidR="007E4F21">
          <w:rPr>
            <w:noProof/>
            <w:webHidden/>
          </w:rPr>
          <w:instrText xml:space="preserve"> PAGEREF _Toc533850580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759CB9" w14:textId="2C7515E6"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1" w:history="1">
        <w:r w:rsidR="007E4F21" w:rsidRPr="00F34B00">
          <w:rPr>
            <w:rStyle w:val="Hyperlink"/>
            <w:noProof/>
            <w:lang w:eastAsia="en-GB"/>
          </w:rPr>
          <w:t>4.4 Methodology</w:t>
        </w:r>
        <w:r w:rsidR="007E4F21">
          <w:rPr>
            <w:noProof/>
            <w:webHidden/>
          </w:rPr>
          <w:tab/>
        </w:r>
        <w:r w:rsidR="007E4F21">
          <w:rPr>
            <w:noProof/>
            <w:webHidden/>
          </w:rPr>
          <w:fldChar w:fldCharType="begin"/>
        </w:r>
        <w:r w:rsidR="007E4F21">
          <w:rPr>
            <w:noProof/>
            <w:webHidden/>
          </w:rPr>
          <w:instrText xml:space="preserve"> PAGEREF _Toc533850581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4D0A384D" w14:textId="542D607F"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2" w:history="1">
        <w:r w:rsidR="007E4F21" w:rsidRPr="00F34B00">
          <w:rPr>
            <w:rStyle w:val="Hyperlink"/>
            <w:noProof/>
            <w:lang w:eastAsia="en-GB"/>
          </w:rPr>
          <w:t>4.5 Correlations</w:t>
        </w:r>
        <w:r w:rsidR="007E4F21">
          <w:rPr>
            <w:noProof/>
            <w:webHidden/>
          </w:rPr>
          <w:tab/>
        </w:r>
        <w:r w:rsidR="007E4F21">
          <w:rPr>
            <w:noProof/>
            <w:webHidden/>
          </w:rPr>
          <w:fldChar w:fldCharType="begin"/>
        </w:r>
        <w:r w:rsidR="007E4F21">
          <w:rPr>
            <w:noProof/>
            <w:webHidden/>
          </w:rPr>
          <w:instrText xml:space="preserve"> PAGEREF _Toc533850582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1C1ECCAC" w14:textId="00F61236" w:rsidR="007E4F21" w:rsidRDefault="00053B1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3" w:history="1">
        <w:r w:rsidR="007E4F21" w:rsidRPr="00F34B00">
          <w:rPr>
            <w:rStyle w:val="Hyperlink"/>
            <w:rFonts w:eastAsia="Times New Roman"/>
            <w:noProof/>
            <w:lang w:eastAsia="en-GB"/>
          </w:rPr>
          <w:t>Trends and Impacts</w:t>
        </w:r>
        <w:r w:rsidR="007E4F21">
          <w:rPr>
            <w:noProof/>
            <w:webHidden/>
          </w:rPr>
          <w:tab/>
        </w:r>
        <w:r w:rsidR="007E4F21">
          <w:rPr>
            <w:noProof/>
            <w:webHidden/>
          </w:rPr>
          <w:fldChar w:fldCharType="begin"/>
        </w:r>
        <w:r w:rsidR="007E4F21">
          <w:rPr>
            <w:noProof/>
            <w:webHidden/>
          </w:rPr>
          <w:instrText xml:space="preserve"> PAGEREF _Toc533850583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649EAF22" w14:textId="6BB64718"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4" w:history="1">
        <w:r w:rsidR="007E4F21" w:rsidRPr="00F34B00">
          <w:rPr>
            <w:rStyle w:val="Hyperlink"/>
            <w:noProof/>
            <w:lang w:eastAsia="en-GB"/>
          </w:rPr>
          <w:t>5.1 Chapter Overview</w:t>
        </w:r>
        <w:r w:rsidR="007E4F21">
          <w:rPr>
            <w:noProof/>
            <w:webHidden/>
          </w:rPr>
          <w:tab/>
        </w:r>
        <w:r w:rsidR="007E4F21">
          <w:rPr>
            <w:noProof/>
            <w:webHidden/>
          </w:rPr>
          <w:fldChar w:fldCharType="begin"/>
        </w:r>
        <w:r w:rsidR="007E4F21">
          <w:rPr>
            <w:noProof/>
            <w:webHidden/>
          </w:rPr>
          <w:instrText xml:space="preserve"> PAGEREF _Toc533850584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36B1A496" w14:textId="7F623403"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5" w:history="1">
        <w:r w:rsidR="007E4F21" w:rsidRPr="00F34B00">
          <w:rPr>
            <w:rStyle w:val="Hyperlink"/>
            <w:noProof/>
            <w:lang w:eastAsia="en-GB"/>
          </w:rPr>
          <w:t>5.2 Policy</w:t>
        </w:r>
        <w:r w:rsidR="007E4F21">
          <w:rPr>
            <w:noProof/>
            <w:webHidden/>
          </w:rPr>
          <w:tab/>
        </w:r>
        <w:r w:rsidR="007E4F21">
          <w:rPr>
            <w:noProof/>
            <w:webHidden/>
          </w:rPr>
          <w:fldChar w:fldCharType="begin"/>
        </w:r>
        <w:r w:rsidR="007E4F21">
          <w:rPr>
            <w:noProof/>
            <w:webHidden/>
          </w:rPr>
          <w:instrText xml:space="preserve"> PAGEREF _Toc533850585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5803E449" w14:textId="4B497289"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6" w:history="1">
        <w:r w:rsidR="007E4F21" w:rsidRPr="00F34B00">
          <w:rPr>
            <w:rStyle w:val="Hyperlink"/>
            <w:noProof/>
          </w:rPr>
          <w:t>5.3 Case Studies</w:t>
        </w:r>
        <w:r w:rsidR="007E4F21">
          <w:rPr>
            <w:noProof/>
            <w:webHidden/>
          </w:rPr>
          <w:tab/>
        </w:r>
        <w:r w:rsidR="007E4F21">
          <w:rPr>
            <w:noProof/>
            <w:webHidden/>
          </w:rPr>
          <w:fldChar w:fldCharType="begin"/>
        </w:r>
        <w:r w:rsidR="007E4F21">
          <w:rPr>
            <w:noProof/>
            <w:webHidden/>
          </w:rPr>
          <w:instrText xml:space="preserve"> PAGEREF _Toc533850586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28599D89" w14:textId="391CE45B" w:rsidR="007E4F21" w:rsidRDefault="00053B1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7" w:history="1">
        <w:r w:rsidR="007E4F21" w:rsidRPr="00F34B00">
          <w:rPr>
            <w:rStyle w:val="Hyperlink"/>
            <w:rFonts w:eastAsia="Times New Roman"/>
            <w:noProof/>
            <w:lang w:eastAsia="en-GB"/>
          </w:rPr>
          <w:t>Findings</w:t>
        </w:r>
        <w:r w:rsidR="007E4F21">
          <w:rPr>
            <w:noProof/>
            <w:webHidden/>
          </w:rPr>
          <w:tab/>
        </w:r>
        <w:r w:rsidR="007E4F21">
          <w:rPr>
            <w:noProof/>
            <w:webHidden/>
          </w:rPr>
          <w:fldChar w:fldCharType="begin"/>
        </w:r>
        <w:r w:rsidR="007E4F21">
          <w:rPr>
            <w:noProof/>
            <w:webHidden/>
          </w:rPr>
          <w:instrText xml:space="preserve"> PAGEREF _Toc533850587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10FD6285" w14:textId="1030AAE6"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8" w:history="1">
        <w:r w:rsidR="007E4F21" w:rsidRPr="00F34B00">
          <w:rPr>
            <w:rStyle w:val="Hyperlink"/>
            <w:noProof/>
            <w:lang w:eastAsia="en-GB"/>
          </w:rPr>
          <w:t>6.1 Chapter Overview</w:t>
        </w:r>
        <w:r w:rsidR="007E4F21">
          <w:rPr>
            <w:noProof/>
            <w:webHidden/>
          </w:rPr>
          <w:tab/>
        </w:r>
        <w:r w:rsidR="007E4F21">
          <w:rPr>
            <w:noProof/>
            <w:webHidden/>
          </w:rPr>
          <w:fldChar w:fldCharType="begin"/>
        </w:r>
        <w:r w:rsidR="007E4F21">
          <w:rPr>
            <w:noProof/>
            <w:webHidden/>
          </w:rPr>
          <w:instrText xml:space="preserve"> PAGEREF _Toc533850588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63B9424F" w14:textId="1A9F7DA8" w:rsidR="007E4F21" w:rsidRDefault="00053B1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9" w:history="1">
        <w:r w:rsidR="007E4F21" w:rsidRPr="00F34B00">
          <w:rPr>
            <w:rStyle w:val="Hyperlink"/>
            <w:rFonts w:eastAsia="Times New Roman"/>
            <w:noProof/>
            <w:lang w:eastAsia="en-GB"/>
          </w:rPr>
          <w:t>Conclusions</w:t>
        </w:r>
        <w:r w:rsidR="007E4F21">
          <w:rPr>
            <w:noProof/>
            <w:webHidden/>
          </w:rPr>
          <w:tab/>
        </w:r>
        <w:r w:rsidR="007E4F21">
          <w:rPr>
            <w:noProof/>
            <w:webHidden/>
          </w:rPr>
          <w:fldChar w:fldCharType="begin"/>
        </w:r>
        <w:r w:rsidR="007E4F21">
          <w:rPr>
            <w:noProof/>
            <w:webHidden/>
          </w:rPr>
          <w:instrText xml:space="preserve"> PAGEREF _Toc533850589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5531C12A" w14:textId="5C2F2F8D" w:rsidR="007E4F21" w:rsidRDefault="00053B13">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90" w:history="1">
        <w:r w:rsidR="007E4F21" w:rsidRPr="00F34B00">
          <w:rPr>
            <w:rStyle w:val="Hyperlink"/>
            <w:noProof/>
            <w:lang w:eastAsia="en-GB"/>
          </w:rPr>
          <w:t>7.1 Chapter Overview</w:t>
        </w:r>
        <w:r w:rsidR="007E4F21">
          <w:rPr>
            <w:noProof/>
            <w:webHidden/>
          </w:rPr>
          <w:tab/>
        </w:r>
        <w:r w:rsidR="007E4F21">
          <w:rPr>
            <w:noProof/>
            <w:webHidden/>
          </w:rPr>
          <w:fldChar w:fldCharType="begin"/>
        </w:r>
        <w:r w:rsidR="007E4F21">
          <w:rPr>
            <w:noProof/>
            <w:webHidden/>
          </w:rPr>
          <w:instrText xml:space="preserve"> PAGEREF _Toc533850590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70CC5ABF" w14:textId="750D45F9" w:rsidR="007E4F21" w:rsidRDefault="00053B1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91" w:history="1">
        <w:r w:rsidR="007E4F21" w:rsidRPr="00F34B00">
          <w:rPr>
            <w:rStyle w:val="Hyperlink"/>
            <w:noProof/>
            <w:lang w:eastAsia="en-GB"/>
          </w:rPr>
          <w:t>References</w:t>
        </w:r>
        <w:r w:rsidR="007E4F21">
          <w:rPr>
            <w:noProof/>
            <w:webHidden/>
          </w:rPr>
          <w:tab/>
        </w:r>
        <w:r w:rsidR="007E4F21">
          <w:rPr>
            <w:noProof/>
            <w:webHidden/>
          </w:rPr>
          <w:fldChar w:fldCharType="begin"/>
        </w:r>
        <w:r w:rsidR="007E4F21">
          <w:rPr>
            <w:noProof/>
            <w:webHidden/>
          </w:rPr>
          <w:instrText xml:space="preserve"> PAGEREF _Toc533850591 \h </w:instrText>
        </w:r>
        <w:r w:rsidR="007E4F21">
          <w:rPr>
            <w:noProof/>
            <w:webHidden/>
          </w:rPr>
        </w:r>
        <w:r w:rsidR="007E4F21">
          <w:rPr>
            <w:noProof/>
            <w:webHidden/>
          </w:rPr>
          <w:fldChar w:fldCharType="separate"/>
        </w:r>
        <w:r w:rsidR="007E4F21">
          <w:rPr>
            <w:noProof/>
            <w:webHidden/>
          </w:rPr>
          <w:t>24</w:t>
        </w:r>
        <w:r w:rsidR="007E4F21">
          <w:rPr>
            <w:noProof/>
            <w:webHidden/>
          </w:rPr>
          <w:fldChar w:fldCharType="end"/>
        </w:r>
      </w:hyperlink>
    </w:p>
    <w:p w14:paraId="3499C144" w14:textId="5B5A730F"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3850549"/>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3850550"/>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3850551"/>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3850552"/>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3850553"/>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lastRenderedPageBreak/>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3850554"/>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3850555"/>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3850556"/>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3850557"/>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3850558"/>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533850559"/>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3850560"/>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3850561"/>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533850562"/>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533850563"/>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533850564"/>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533850565"/>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533850566"/>
      <w:r>
        <w:rPr>
          <w:lang w:eastAsia="en-GB"/>
        </w:rPr>
        <w:t>2.8.1 Bad Packets Report (Ongoing)</w:t>
      </w:r>
      <w:bookmarkEnd w:id="18"/>
    </w:p>
    <w:p w14:paraId="5DBDF46D" w14:textId="5B8C71D6" w:rsidR="000A418D" w:rsidRPr="000A418D" w:rsidRDefault="00274D47" w:rsidP="000A418D">
      <w:pPr>
        <w:rPr>
          <w:lang w:eastAsia="en-GB"/>
        </w:rPr>
      </w:pPr>
      <w:r>
        <w:rPr>
          <w:lang w:eastAsia="en-GB"/>
        </w:rPr>
        <w:t xml:space="preserve">The Bad Packets Report </w:t>
      </w:r>
      <w:r w:rsidR="00217882">
        <w:rPr>
          <w:lang w:eastAsia="en-GB"/>
        </w:rPr>
        <w:t xml:space="preserve">[18] scans for botnet activity that is based on the original Mirai source code. Mirai’s TCP sequence numbers will equal the value of the target’s IP address. The report records the source nation, IP and AS of Mirai-like packets and publishes them online. </w:t>
      </w:r>
      <w:r w:rsidR="004447FB">
        <w:rPr>
          <w:lang w:eastAsia="en-GB"/>
        </w:rPr>
        <w:t xml:space="preserve">The information here will be a useful feature in determining a nation’s propensity to conduct malicious routing. </w:t>
      </w:r>
    </w:p>
    <w:p w14:paraId="0988E9F2" w14:textId="77777777" w:rsidR="004447FB" w:rsidRDefault="004447FB" w:rsidP="00921C4A">
      <w:pPr>
        <w:rPr>
          <w:lang w:eastAsia="en-GB"/>
        </w:rPr>
      </w:pPr>
    </w:p>
    <w:p w14:paraId="067B39D6" w14:textId="77777777" w:rsidR="004447FB" w:rsidRDefault="004447FB" w:rsidP="004447FB">
      <w:pPr>
        <w:pStyle w:val="Heading3"/>
        <w:rPr>
          <w:lang w:eastAsia="en-GB"/>
        </w:rPr>
      </w:pPr>
      <w:bookmarkStart w:id="19" w:name="_Toc533850567"/>
      <w:r>
        <w:rPr>
          <w:lang w:eastAsia="en-GB"/>
        </w:rPr>
        <w:t>2.8.2 BGPMON (Ongoing)</w:t>
      </w:r>
      <w:bookmarkEnd w:id="19"/>
    </w:p>
    <w:p w14:paraId="01DF526E" w14:textId="77777777"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malicious routing, </w:t>
      </w:r>
      <w:r w:rsidR="00BE4086">
        <w:rPr>
          <w:lang w:eastAsia="en-GB"/>
        </w:rPr>
        <w:lastRenderedPageBreak/>
        <w:t xml:space="preserve">although it must be noted that not all BGP outages stem from malicious intent. </w:t>
      </w:r>
    </w:p>
    <w:p w14:paraId="5181791E" w14:textId="77777777" w:rsidR="00A01654" w:rsidRDefault="00A01654" w:rsidP="004447FB">
      <w:pPr>
        <w:rPr>
          <w:lang w:eastAsia="en-GB"/>
        </w:rPr>
      </w:pPr>
    </w:p>
    <w:p w14:paraId="7AF080C3" w14:textId="668CFEEB" w:rsidR="00A01654" w:rsidRDefault="00A01654" w:rsidP="00A01654">
      <w:pPr>
        <w:pStyle w:val="Heading3"/>
        <w:rPr>
          <w:lang w:eastAsia="en-GB"/>
        </w:rPr>
      </w:pPr>
      <w:r>
        <w:rPr>
          <w:lang w:eastAsia="en-GB"/>
        </w:rPr>
        <w:t xml:space="preserve">2.8.3 </w:t>
      </w:r>
      <w:r w:rsidR="00CA21C1">
        <w:rPr>
          <w:lang w:eastAsia="en-GB"/>
        </w:rPr>
        <w:t>Routing Dependencies (Jan 2019)</w:t>
      </w:r>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4EF147F5" w14:textId="5DBD1FF0" w:rsidR="00EF1547" w:rsidRPr="00EF1547" w:rsidRDefault="00EF1547" w:rsidP="00CA21C1">
      <w:pPr>
        <w:rPr>
          <w:color w:val="auto"/>
          <w:lang w:eastAsia="en-GB"/>
        </w:rPr>
      </w:pPr>
      <w:r>
        <w:rPr>
          <w:lang w:eastAsia="en-GB"/>
        </w:rPr>
        <w:t xml:space="preserve">Whenever data packets cross an international border, there is a chance that they’ll be intercepted </w:t>
      </w:r>
      <w:proofErr w:type="gramStart"/>
      <w:r>
        <w:rPr>
          <w:lang w:eastAsia="en-GB"/>
        </w:rPr>
        <w:t>The</w:t>
      </w:r>
      <w:proofErr w:type="gramEnd"/>
      <w:r>
        <w:rPr>
          <w:lang w:eastAsia="en-GB"/>
        </w:rPr>
        <w:t xml:space="preserve"> specific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p>
    <w:p w14:paraId="5A0FCDF1" w14:textId="77777777" w:rsidR="00887278" w:rsidRDefault="00887278" w:rsidP="00A01654">
      <w:pPr>
        <w:pStyle w:val="Heading3"/>
        <w:rPr>
          <w:lang w:eastAsia="en-GB"/>
        </w:rPr>
      </w:pPr>
    </w:p>
    <w:p w14:paraId="218A1631" w14:textId="58DB7D00" w:rsidR="00A01654" w:rsidRDefault="00A01654" w:rsidP="00A01654">
      <w:pPr>
        <w:pStyle w:val="Heading3"/>
        <w:rPr>
          <w:lang w:eastAsia="en-GB"/>
        </w:rPr>
      </w:pPr>
      <w:r>
        <w:rPr>
          <w:lang w:eastAsia="en-GB"/>
        </w:rPr>
        <w:t>2.8.4 –</w:t>
      </w:r>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0" w:name="_Toc533850568"/>
      <w:r>
        <w:rPr>
          <w:lang w:eastAsia="en-GB"/>
        </w:rPr>
        <w:t>Freedom</w:t>
      </w:r>
      <w:bookmarkEnd w:id="20"/>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1" w:name="_Toc533850569"/>
      <w:r>
        <w:rPr>
          <w:lang w:eastAsia="en-GB"/>
        </w:rPr>
        <w:t>3.1 Chapter Overview</w:t>
      </w:r>
      <w:bookmarkEnd w:id="21"/>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2" w:name="_Toc533850570"/>
      <w:r>
        <w:rPr>
          <w:lang w:eastAsia="en-GB"/>
        </w:rPr>
        <w:t>3.2 Defining Freedom</w:t>
      </w:r>
      <w:bookmarkEnd w:id="22"/>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3" w:name="_Toc533850571"/>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3"/>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4" w:name="_Toc533850572"/>
      <w:r>
        <w:rPr>
          <w:lang w:eastAsia="en-GB"/>
        </w:rPr>
        <w:t xml:space="preserve">3.3.1 </w:t>
      </w:r>
      <w:r w:rsidR="00542B10">
        <w:rPr>
          <w:lang w:eastAsia="en-GB"/>
        </w:rPr>
        <w:t>Social Engineering as a means to an end</w:t>
      </w:r>
      <w:bookmarkEnd w:id="24"/>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5" w:name="_Toc533850573"/>
      <w:r>
        <w:rPr>
          <w:lang w:eastAsia="en-GB"/>
        </w:rPr>
        <w:t>3.4 Freedom Indexes</w:t>
      </w:r>
      <w:bookmarkEnd w:id="25"/>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6" w:name="_Toc533850574"/>
      <w:r>
        <w:rPr>
          <w:lang w:eastAsia="en-GB"/>
        </w:rPr>
        <w:t>3.4.1 Freedom on the Net</w:t>
      </w:r>
      <w:bookmarkEnd w:id="26"/>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0072F7B6" w:rsidR="006E4777" w:rsidRDefault="006E4777" w:rsidP="006E4777">
      <w:pPr>
        <w:pStyle w:val="Heading3"/>
        <w:rPr>
          <w:lang w:eastAsia="en-GB"/>
        </w:rPr>
      </w:pPr>
      <w:bookmarkStart w:id="27" w:name="_Toc533850575"/>
      <w:r>
        <w:rPr>
          <w:lang w:eastAsia="en-GB"/>
        </w:rPr>
        <w:t>2.7.2 Freedom of the Press</w:t>
      </w:r>
      <w:bookmarkEnd w:id="27"/>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654E1B1C" w:rsidR="00AD7ACA" w:rsidRDefault="006E4777" w:rsidP="006E4777">
      <w:pPr>
        <w:pStyle w:val="Heading3"/>
        <w:rPr>
          <w:lang w:eastAsia="en-GB"/>
        </w:rPr>
      </w:pPr>
      <w:bookmarkStart w:id="28" w:name="_Toc533850576"/>
      <w:r>
        <w:rPr>
          <w:lang w:eastAsia="en-GB"/>
        </w:rPr>
        <w:t>2.7.3 The Human Freedom Index</w:t>
      </w:r>
      <w:bookmarkEnd w:id="28"/>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29" w:name="_Toc533850577"/>
      <w:r>
        <w:rPr>
          <w:lang w:eastAsia="en-GB"/>
        </w:rPr>
        <w:t>Malicious Routing</w:t>
      </w:r>
      <w:bookmarkEnd w:id="29"/>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0" w:name="_Toc533850578"/>
      <w:r>
        <w:rPr>
          <w:lang w:eastAsia="en-GB"/>
        </w:rPr>
        <w:t>4.1 Chapter Overview</w:t>
      </w:r>
      <w:bookmarkEnd w:id="30"/>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318091DD" w:rsidR="002861EC" w:rsidRDefault="004445A4" w:rsidP="004445A4">
      <w:pPr>
        <w:pStyle w:val="Heading2"/>
        <w:rPr>
          <w:lang w:eastAsia="en-GB"/>
        </w:rPr>
      </w:pPr>
      <w:bookmarkStart w:id="31" w:name="_Toc533850579"/>
      <w:r>
        <w:rPr>
          <w:lang w:eastAsia="en-GB"/>
        </w:rPr>
        <w:t>4.2 What is Malicious Routing</w:t>
      </w:r>
      <w:bookmarkEnd w:id="31"/>
    </w:p>
    <w:p w14:paraId="736D7462" w14:textId="20B7E74E" w:rsidR="00010732" w:rsidRDefault="006159E8" w:rsidP="00010732">
      <w:pPr>
        <w:pStyle w:val="ListParagraph"/>
        <w:numPr>
          <w:ilvl w:val="0"/>
          <w:numId w:val="8"/>
        </w:numPr>
        <w:rPr>
          <w:color w:val="FF0000"/>
          <w:lang w:eastAsia="en-GB"/>
        </w:rPr>
      </w:pPr>
      <w:r w:rsidRPr="00C42225">
        <w:rPr>
          <w:color w:val="FF0000"/>
          <w:lang w:eastAsia="en-GB"/>
        </w:rPr>
        <w:t>Offensive cyber / Monitoring / Censorship</w:t>
      </w:r>
    </w:p>
    <w:p w14:paraId="4A315A20" w14:textId="23C1C130" w:rsidR="00E364A0" w:rsidRPr="00C42225" w:rsidRDefault="00E364A0" w:rsidP="00010732">
      <w:pPr>
        <w:pStyle w:val="ListParagraph"/>
        <w:numPr>
          <w:ilvl w:val="0"/>
          <w:numId w:val="8"/>
        </w:numPr>
        <w:rPr>
          <w:color w:val="FF0000"/>
          <w:lang w:eastAsia="en-GB"/>
        </w:rPr>
      </w:pPr>
      <w:r>
        <w:rPr>
          <w:color w:val="FF0000"/>
          <w:lang w:eastAsia="en-GB"/>
        </w:rPr>
        <w:t xml:space="preserve">Will analyse the combined offensive/defensive to look at the exposure to malicious routing from the perspective of a citizen in a given nation. </w:t>
      </w:r>
    </w:p>
    <w:p w14:paraId="06346A82" w14:textId="53F2D6A2"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p>
    <w:p w14:paraId="2620F432" w14:textId="5944F8DB" w:rsidR="00635BB8" w:rsidRDefault="00635BB8" w:rsidP="00CA21C1">
      <w:pPr>
        <w:rPr>
          <w:lang w:eastAsia="en-GB"/>
        </w:rPr>
      </w:pPr>
    </w:p>
    <w:p w14:paraId="460BC977" w14:textId="109270A4" w:rsidR="00635BB8" w:rsidRDefault="00635BB8" w:rsidP="00CA21C1">
      <w:pPr>
        <w:rPr>
          <w:lang w:eastAsia="en-GB"/>
        </w:rPr>
      </w:pPr>
      <w:r>
        <w:rPr>
          <w:lang w:eastAsia="en-GB"/>
        </w:rPr>
        <w:t xml:space="preserve">To answer this, the external forces acting </w:t>
      </w:r>
      <w:r w:rsidR="00492E42">
        <w:rPr>
          <w:lang w:eastAsia="en-GB"/>
        </w:rPr>
        <w:t xml:space="preserve">upon the </w:t>
      </w:r>
      <w:r w:rsidR="00392B04">
        <w:rPr>
          <w:lang w:eastAsia="en-GB"/>
        </w:rPr>
        <w:t xml:space="preserve">nation and by extension the ASes and citizens as well as the policies and actions of the nation itself will be considered. For the citizen’s home nation </w:t>
      </w:r>
      <w:r w:rsidR="00053B13">
        <w:rPr>
          <w:lang w:eastAsia="en-GB"/>
        </w:rPr>
        <w:t>(…)</w:t>
      </w:r>
    </w:p>
    <w:p w14:paraId="37CEC8AA" w14:textId="77777777" w:rsidR="00010732" w:rsidRDefault="00010732" w:rsidP="004445A4">
      <w:pPr>
        <w:rPr>
          <w:lang w:eastAsia="en-GB"/>
        </w:rPr>
      </w:pPr>
    </w:p>
    <w:p w14:paraId="5C457460" w14:textId="399BDB20" w:rsidR="004445A4" w:rsidRDefault="004445A4" w:rsidP="004445A4">
      <w:pPr>
        <w:pStyle w:val="Heading2"/>
        <w:rPr>
          <w:lang w:eastAsia="en-GB"/>
        </w:rPr>
      </w:pPr>
      <w:bookmarkStart w:id="32" w:name="_Toc533850580"/>
      <w:r>
        <w:rPr>
          <w:lang w:eastAsia="en-GB"/>
        </w:rPr>
        <w:t>4.3 Nations and Autonomous Systems</w:t>
      </w:r>
      <w:bookmarkEnd w:id="32"/>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lastRenderedPageBreak/>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legislation</w:t>
      </w:r>
      <w:r>
        <w:rPr>
          <w:lang w:eastAsia="en-GB"/>
        </w:rPr>
        <w:t xml:space="preserve">, </w:t>
      </w:r>
      <w:r w:rsidR="008849E8">
        <w:rPr>
          <w:lang w:eastAsia="en-GB"/>
        </w:rPr>
        <w:t xml:space="preserve">policies, </w:t>
      </w:r>
      <w:r>
        <w:rPr>
          <w:lang w:eastAsia="en-GB"/>
        </w:rPr>
        <w:t xml:space="preserve">ideology and </w:t>
      </w:r>
      <w:r>
        <w:rPr>
          <w:lang w:eastAsia="en-GB"/>
        </w:rPr>
        <w:t>levels of freedom</w:t>
      </w:r>
      <w:r w:rsidR="008849E8">
        <w:rPr>
          <w:lang w:eastAsia="en-GB"/>
        </w:rPr>
        <w:t xml:space="preserve"> dramatically simplify the process of </w:t>
      </w:r>
      <w:r w:rsidR="008849E8">
        <w:rPr>
          <w:lang w:eastAsia="en-GB"/>
        </w:rPr>
        <w:t xml:space="preserve">analysis and </w:t>
      </w:r>
      <w:r w:rsidR="008849E8">
        <w:rPr>
          <w:lang w:eastAsia="en-GB"/>
        </w:rPr>
        <w:t xml:space="preserve">finding </w:t>
      </w:r>
      <w:r w:rsidR="008849E8">
        <w:rPr>
          <w:lang w:eastAsia="en-GB"/>
        </w:rPr>
        <w:t>correlations</w:t>
      </w:r>
      <w:r w:rsidR="008849E8">
        <w:rPr>
          <w:lang w:eastAsia="en-GB"/>
        </w:rPr>
        <w:t xml:space="preserve">. It is important to note however, that this simplification process will come with a minor loss to precision of the exact groups being affected by malicious routing. </w:t>
      </w:r>
      <w:bookmarkStart w:id="33" w:name="_GoBack"/>
      <w:bookmarkEnd w:id="33"/>
    </w:p>
    <w:p w14:paraId="4C677632" w14:textId="77777777" w:rsidR="008849E8" w:rsidRDefault="008849E8" w:rsidP="004445A4">
      <w:pPr>
        <w:rPr>
          <w:lang w:eastAsia="en-GB"/>
        </w:rPr>
      </w:pPr>
    </w:p>
    <w:p w14:paraId="5237E1CD" w14:textId="3CA76493" w:rsidR="004445A4" w:rsidRDefault="004445A4" w:rsidP="004445A4">
      <w:pPr>
        <w:pStyle w:val="Heading2"/>
        <w:rPr>
          <w:lang w:eastAsia="en-GB"/>
        </w:rPr>
      </w:pPr>
      <w:bookmarkStart w:id="34" w:name="_Toc533850581"/>
      <w:r>
        <w:rPr>
          <w:lang w:eastAsia="en-GB"/>
        </w:rPr>
        <w:t xml:space="preserve">4.4 </w:t>
      </w:r>
      <w:r w:rsidR="00A140D2">
        <w:rPr>
          <w:lang w:eastAsia="en-GB"/>
        </w:rPr>
        <w:t>Methodology</w:t>
      </w:r>
      <w:bookmarkEnd w:id="34"/>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35" w:name="_Toc533850582"/>
      <w:r>
        <w:rPr>
          <w:lang w:eastAsia="en-GB"/>
        </w:rPr>
        <w:t>4.5 Correlations</w:t>
      </w:r>
      <w:bookmarkEnd w:id="35"/>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36" w:name="_Toc533850583"/>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36"/>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37" w:name="_Toc533850584"/>
      <w:r>
        <w:rPr>
          <w:lang w:eastAsia="en-GB"/>
        </w:rPr>
        <w:t>5.1 Chapter Overview</w:t>
      </w:r>
      <w:bookmarkEnd w:id="37"/>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38" w:name="_Toc533850585"/>
      <w:r>
        <w:rPr>
          <w:lang w:eastAsia="en-GB"/>
        </w:rPr>
        <w:t>5.2 Policy</w:t>
      </w:r>
      <w:bookmarkEnd w:id="38"/>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39" w:name="_Toc533850586"/>
      <w:r>
        <w:t>5.</w:t>
      </w:r>
      <w:r w:rsidR="00DE086A">
        <w:t>3</w:t>
      </w:r>
      <w:r>
        <w:t xml:space="preserve"> Case Studies</w:t>
      </w:r>
      <w:bookmarkEnd w:id="39"/>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0" w:name="_Toc533850587"/>
      <w:r>
        <w:rPr>
          <w:rFonts w:eastAsia="Times New Roman"/>
          <w:lang w:eastAsia="en-GB"/>
        </w:rPr>
        <w:t>Findings</w:t>
      </w:r>
      <w:bookmarkEnd w:id="40"/>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1" w:name="_Toc533850588"/>
      <w:r>
        <w:rPr>
          <w:lang w:eastAsia="en-GB"/>
        </w:rPr>
        <w:t>6</w:t>
      </w:r>
      <w:r w:rsidR="002861EC">
        <w:rPr>
          <w:lang w:eastAsia="en-GB"/>
        </w:rPr>
        <w:t>.1 Chapter Overview</w:t>
      </w:r>
      <w:bookmarkEnd w:id="41"/>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2" w:name="_Toc533850589"/>
      <w:r>
        <w:rPr>
          <w:rFonts w:eastAsia="Times New Roman"/>
          <w:lang w:eastAsia="en-GB"/>
        </w:rPr>
        <w:t>Conclusions</w:t>
      </w:r>
      <w:bookmarkEnd w:id="4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3" w:name="_Toc533850590"/>
      <w:r>
        <w:rPr>
          <w:lang w:eastAsia="en-GB"/>
        </w:rPr>
        <w:t>7</w:t>
      </w:r>
      <w:r w:rsidR="002861EC">
        <w:rPr>
          <w:lang w:eastAsia="en-GB"/>
        </w:rPr>
        <w:t>.1 Chapter Overview</w:t>
      </w:r>
      <w:bookmarkEnd w:id="43"/>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4" w:name="_Toc533850591"/>
      <w:r>
        <w:rPr>
          <w:lang w:eastAsia="en-GB"/>
        </w:rPr>
        <w:lastRenderedPageBreak/>
        <w:t>References</w:t>
      </w:r>
      <w:bookmarkEnd w:id="44"/>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17907265" w:rsidR="00686406" w:rsidRPr="009B031D"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sectPr w:rsidR="00686406"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7B5AA" w14:textId="77777777" w:rsidR="002F6152" w:rsidRDefault="002F6152" w:rsidP="00FB15DA">
      <w:r>
        <w:separator/>
      </w:r>
    </w:p>
  </w:endnote>
  <w:endnote w:type="continuationSeparator" w:id="0">
    <w:p w14:paraId="3623809D" w14:textId="77777777" w:rsidR="002F6152" w:rsidRDefault="002F6152"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053B13" w:rsidRDefault="00053B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053B13" w:rsidRDefault="00053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ACE6C" w14:textId="77777777" w:rsidR="002F6152" w:rsidRDefault="002F6152" w:rsidP="00FB15DA">
      <w:r>
        <w:separator/>
      </w:r>
    </w:p>
  </w:footnote>
  <w:footnote w:type="continuationSeparator" w:id="0">
    <w:p w14:paraId="6FB1C675" w14:textId="77777777" w:rsidR="002F6152" w:rsidRDefault="002F6152"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732"/>
    <w:rsid w:val="00010CE3"/>
    <w:rsid w:val="00013019"/>
    <w:rsid w:val="000441CF"/>
    <w:rsid w:val="00053B13"/>
    <w:rsid w:val="00056DDF"/>
    <w:rsid w:val="000620D9"/>
    <w:rsid w:val="000646A3"/>
    <w:rsid w:val="00086941"/>
    <w:rsid w:val="00091A72"/>
    <w:rsid w:val="0009234F"/>
    <w:rsid w:val="0009465F"/>
    <w:rsid w:val="000A418D"/>
    <w:rsid w:val="000A6E46"/>
    <w:rsid w:val="000B3BDB"/>
    <w:rsid w:val="000C07E5"/>
    <w:rsid w:val="000C11EF"/>
    <w:rsid w:val="000C45DC"/>
    <w:rsid w:val="000C7A35"/>
    <w:rsid w:val="000D0B01"/>
    <w:rsid w:val="000F031E"/>
    <w:rsid w:val="001166EA"/>
    <w:rsid w:val="00121777"/>
    <w:rsid w:val="00122739"/>
    <w:rsid w:val="001307CD"/>
    <w:rsid w:val="001670A2"/>
    <w:rsid w:val="0018678F"/>
    <w:rsid w:val="001A74CE"/>
    <w:rsid w:val="001B2551"/>
    <w:rsid w:val="001C6527"/>
    <w:rsid w:val="001D6985"/>
    <w:rsid w:val="001F5BA1"/>
    <w:rsid w:val="001F6EBE"/>
    <w:rsid w:val="00211AFF"/>
    <w:rsid w:val="00215900"/>
    <w:rsid w:val="00217882"/>
    <w:rsid w:val="002215B4"/>
    <w:rsid w:val="00235318"/>
    <w:rsid w:val="0023618E"/>
    <w:rsid w:val="00244486"/>
    <w:rsid w:val="0025414F"/>
    <w:rsid w:val="002738D9"/>
    <w:rsid w:val="00274D47"/>
    <w:rsid w:val="002861EC"/>
    <w:rsid w:val="00292329"/>
    <w:rsid w:val="00293461"/>
    <w:rsid w:val="0029577E"/>
    <w:rsid w:val="00295BB5"/>
    <w:rsid w:val="002B052F"/>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5D8A"/>
    <w:rsid w:val="00391DBF"/>
    <w:rsid w:val="00392B04"/>
    <w:rsid w:val="00394670"/>
    <w:rsid w:val="003A335D"/>
    <w:rsid w:val="003B3CEC"/>
    <w:rsid w:val="003B45A9"/>
    <w:rsid w:val="003E1B1C"/>
    <w:rsid w:val="003F4140"/>
    <w:rsid w:val="004067C7"/>
    <w:rsid w:val="00413F9C"/>
    <w:rsid w:val="00420921"/>
    <w:rsid w:val="00421856"/>
    <w:rsid w:val="00440A73"/>
    <w:rsid w:val="004445A4"/>
    <w:rsid w:val="004447FB"/>
    <w:rsid w:val="004540D4"/>
    <w:rsid w:val="004614DE"/>
    <w:rsid w:val="004627BF"/>
    <w:rsid w:val="004766D7"/>
    <w:rsid w:val="00477D1E"/>
    <w:rsid w:val="004820D1"/>
    <w:rsid w:val="00492A21"/>
    <w:rsid w:val="00492E42"/>
    <w:rsid w:val="004A5C9B"/>
    <w:rsid w:val="004B41B6"/>
    <w:rsid w:val="004C05F2"/>
    <w:rsid w:val="004D7AFD"/>
    <w:rsid w:val="004E3F9C"/>
    <w:rsid w:val="004F79A2"/>
    <w:rsid w:val="0052130B"/>
    <w:rsid w:val="0053595C"/>
    <w:rsid w:val="00542B10"/>
    <w:rsid w:val="005437ED"/>
    <w:rsid w:val="00556A90"/>
    <w:rsid w:val="005A7766"/>
    <w:rsid w:val="005B3628"/>
    <w:rsid w:val="005C200E"/>
    <w:rsid w:val="0060567C"/>
    <w:rsid w:val="00613D9E"/>
    <w:rsid w:val="006159E8"/>
    <w:rsid w:val="00616B9C"/>
    <w:rsid w:val="00623D2F"/>
    <w:rsid w:val="00634979"/>
    <w:rsid w:val="00635485"/>
    <w:rsid w:val="00635BB8"/>
    <w:rsid w:val="00635FE2"/>
    <w:rsid w:val="006428C1"/>
    <w:rsid w:val="00644E73"/>
    <w:rsid w:val="00657A36"/>
    <w:rsid w:val="00662665"/>
    <w:rsid w:val="0066321F"/>
    <w:rsid w:val="00663E51"/>
    <w:rsid w:val="00666EC5"/>
    <w:rsid w:val="00676643"/>
    <w:rsid w:val="0067738A"/>
    <w:rsid w:val="00686406"/>
    <w:rsid w:val="00690A39"/>
    <w:rsid w:val="0069375E"/>
    <w:rsid w:val="00696D3C"/>
    <w:rsid w:val="006A370E"/>
    <w:rsid w:val="006A4107"/>
    <w:rsid w:val="006A66B1"/>
    <w:rsid w:val="006A72D3"/>
    <w:rsid w:val="006C60F3"/>
    <w:rsid w:val="006D2C63"/>
    <w:rsid w:val="006D5613"/>
    <w:rsid w:val="006E0192"/>
    <w:rsid w:val="006E07D3"/>
    <w:rsid w:val="006E4777"/>
    <w:rsid w:val="006E7362"/>
    <w:rsid w:val="007002ED"/>
    <w:rsid w:val="00701DCF"/>
    <w:rsid w:val="00704A71"/>
    <w:rsid w:val="00705F61"/>
    <w:rsid w:val="00716A29"/>
    <w:rsid w:val="007322CF"/>
    <w:rsid w:val="00733D9A"/>
    <w:rsid w:val="007779F6"/>
    <w:rsid w:val="007843DC"/>
    <w:rsid w:val="00797AEF"/>
    <w:rsid w:val="007A27AC"/>
    <w:rsid w:val="007C18E1"/>
    <w:rsid w:val="007D5469"/>
    <w:rsid w:val="007E4F21"/>
    <w:rsid w:val="007F73AD"/>
    <w:rsid w:val="00826534"/>
    <w:rsid w:val="008416AE"/>
    <w:rsid w:val="00866454"/>
    <w:rsid w:val="008713D7"/>
    <w:rsid w:val="00871A59"/>
    <w:rsid w:val="00875704"/>
    <w:rsid w:val="008760D6"/>
    <w:rsid w:val="00880AB8"/>
    <w:rsid w:val="008849E8"/>
    <w:rsid w:val="00887278"/>
    <w:rsid w:val="00894A0E"/>
    <w:rsid w:val="008A0429"/>
    <w:rsid w:val="008A5322"/>
    <w:rsid w:val="008B100A"/>
    <w:rsid w:val="008D71F9"/>
    <w:rsid w:val="008E57BA"/>
    <w:rsid w:val="008E6DBF"/>
    <w:rsid w:val="009101A3"/>
    <w:rsid w:val="00914EB5"/>
    <w:rsid w:val="00921C4A"/>
    <w:rsid w:val="009279E6"/>
    <w:rsid w:val="009370E4"/>
    <w:rsid w:val="00941F1C"/>
    <w:rsid w:val="00995E4B"/>
    <w:rsid w:val="009B031D"/>
    <w:rsid w:val="009C0647"/>
    <w:rsid w:val="009D193A"/>
    <w:rsid w:val="009E208B"/>
    <w:rsid w:val="009E3251"/>
    <w:rsid w:val="00A01654"/>
    <w:rsid w:val="00A1091D"/>
    <w:rsid w:val="00A11EEA"/>
    <w:rsid w:val="00A12D43"/>
    <w:rsid w:val="00A140D2"/>
    <w:rsid w:val="00A1422C"/>
    <w:rsid w:val="00A24DEB"/>
    <w:rsid w:val="00A31CC4"/>
    <w:rsid w:val="00A34F21"/>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E247B"/>
    <w:rsid w:val="00AE738E"/>
    <w:rsid w:val="00AF2632"/>
    <w:rsid w:val="00AF5DD2"/>
    <w:rsid w:val="00B11E76"/>
    <w:rsid w:val="00B138F3"/>
    <w:rsid w:val="00B35B15"/>
    <w:rsid w:val="00B369CC"/>
    <w:rsid w:val="00B42449"/>
    <w:rsid w:val="00B56089"/>
    <w:rsid w:val="00B66956"/>
    <w:rsid w:val="00B732EC"/>
    <w:rsid w:val="00B76227"/>
    <w:rsid w:val="00B869B4"/>
    <w:rsid w:val="00BA642F"/>
    <w:rsid w:val="00BB46A3"/>
    <w:rsid w:val="00BB52EC"/>
    <w:rsid w:val="00BD20F9"/>
    <w:rsid w:val="00BD57EA"/>
    <w:rsid w:val="00BE2E36"/>
    <w:rsid w:val="00BE4086"/>
    <w:rsid w:val="00BF0E15"/>
    <w:rsid w:val="00C022F0"/>
    <w:rsid w:val="00C0613F"/>
    <w:rsid w:val="00C231B6"/>
    <w:rsid w:val="00C42225"/>
    <w:rsid w:val="00C5304B"/>
    <w:rsid w:val="00C55E20"/>
    <w:rsid w:val="00C65271"/>
    <w:rsid w:val="00C701A0"/>
    <w:rsid w:val="00C720F8"/>
    <w:rsid w:val="00C80335"/>
    <w:rsid w:val="00C86D45"/>
    <w:rsid w:val="00C90D23"/>
    <w:rsid w:val="00C95526"/>
    <w:rsid w:val="00CA21C1"/>
    <w:rsid w:val="00CB2206"/>
    <w:rsid w:val="00CC0A47"/>
    <w:rsid w:val="00CD3532"/>
    <w:rsid w:val="00CD3FAE"/>
    <w:rsid w:val="00CD5266"/>
    <w:rsid w:val="00CF223A"/>
    <w:rsid w:val="00CF5993"/>
    <w:rsid w:val="00D04B62"/>
    <w:rsid w:val="00D13D03"/>
    <w:rsid w:val="00D15E94"/>
    <w:rsid w:val="00D204D1"/>
    <w:rsid w:val="00D524F1"/>
    <w:rsid w:val="00D6687D"/>
    <w:rsid w:val="00D72C4B"/>
    <w:rsid w:val="00D756FC"/>
    <w:rsid w:val="00D853F6"/>
    <w:rsid w:val="00DA157D"/>
    <w:rsid w:val="00DA7E85"/>
    <w:rsid w:val="00DB597F"/>
    <w:rsid w:val="00DC0CCA"/>
    <w:rsid w:val="00DC5A8E"/>
    <w:rsid w:val="00DD641F"/>
    <w:rsid w:val="00DD7ACC"/>
    <w:rsid w:val="00DE086A"/>
    <w:rsid w:val="00DE13CB"/>
    <w:rsid w:val="00DE1BEB"/>
    <w:rsid w:val="00DE62F8"/>
    <w:rsid w:val="00DF2639"/>
    <w:rsid w:val="00E02FF2"/>
    <w:rsid w:val="00E11BC2"/>
    <w:rsid w:val="00E22928"/>
    <w:rsid w:val="00E364A0"/>
    <w:rsid w:val="00E37E8B"/>
    <w:rsid w:val="00E62C10"/>
    <w:rsid w:val="00E640ED"/>
    <w:rsid w:val="00E644FE"/>
    <w:rsid w:val="00E662EA"/>
    <w:rsid w:val="00E6704A"/>
    <w:rsid w:val="00E70C37"/>
    <w:rsid w:val="00E725EE"/>
    <w:rsid w:val="00E7468E"/>
    <w:rsid w:val="00E77F46"/>
    <w:rsid w:val="00E80F3C"/>
    <w:rsid w:val="00E97A33"/>
    <w:rsid w:val="00EB4758"/>
    <w:rsid w:val="00EC2A69"/>
    <w:rsid w:val="00EE041E"/>
    <w:rsid w:val="00EE14BF"/>
    <w:rsid w:val="00EE3807"/>
    <w:rsid w:val="00EF1547"/>
    <w:rsid w:val="00EF1620"/>
    <w:rsid w:val="00EF6418"/>
    <w:rsid w:val="00F06B05"/>
    <w:rsid w:val="00F14E9A"/>
    <w:rsid w:val="00F17623"/>
    <w:rsid w:val="00F4127B"/>
    <w:rsid w:val="00F63803"/>
    <w:rsid w:val="00F91DA2"/>
    <w:rsid w:val="00FA3201"/>
    <w:rsid w:val="00FB15DA"/>
    <w:rsid w:val="00FB267E"/>
    <w:rsid w:val="00FB3D82"/>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DBC4-24B5-4D6D-8D66-00C3AE9EB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29</Pages>
  <Words>6208</Words>
  <Characters>35389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183</cp:revision>
  <dcterms:created xsi:type="dcterms:W3CDTF">2018-12-05T12:28:00Z</dcterms:created>
  <dcterms:modified xsi:type="dcterms:W3CDTF">2019-01-26T15:34:00Z</dcterms:modified>
</cp:coreProperties>
</file>