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защитный вывод,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простые подделки — манипуляции с настоящим контентом без сложного синтеза —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InternalHeading"/>
      </w:pPr>
      <w:r>
        <w:t>Что защитного даёт гонконгский кейс</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Для читателя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имперсонацию доверенных лиц. Практический вывод для читателя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Независимая проверка часто начинается с простого действия: рассказать о происходящем другому человеку или выйти на официальный канал.</w:t>
      </w:r>
    </w:p>
    <w:p>
      <w:r>
        <w:t xml:space="preserve">Поэтому сочетание </w:t>
      </w:r>
      <w:r>
        <w:rPr>
          <w:b/>
          <w:i w:val="0"/>
        </w:rPr>
        <w:t>срочности, секретности и запрета на внешнюю проверку</w:t>
      </w:r>
      <w:r>
        <w:t xml:space="preserve"> нужно воспринимать как отдельный сигнал риска.</w:t>
      </w:r>
    </w:p>
    <w:p>
      <w:pPr>
        <w:pStyle w:val="InternalHeading"/>
      </w:pPr>
      <w:r>
        <w:t>Закрытая комната без стен</w:t>
      </w:r>
    </w:p>
    <w:p>
      <w:r>
        <w:t>Человек может физически находиться среди семьи или коллег и при этом принимать решение, опираясь только на один разговор. Защитная задача — вернуть в ситуацию второй независимый источник.</w:t>
      </w:r>
    </w:p>
    <w:p>
      <w:r>
        <w:t xml:space="preserve">Если вам объясняют, почему нельзя советоваться, перезванивать, пользоваться официальным приложением или обращаться к другому сотруднику, не нужно оценивать правдоподобность каждого объяснения. Достаточно применить заранее установленное правило: </w:t>
      </w:r>
      <w:r>
        <w:rPr>
          <w:b/>
          <w:i w:val="0"/>
        </w:rPr>
        <w:t>высокорисковое действие без независимой проверки не выполняется</w:t>
      </w:r>
      <w:r>
        <w:t>.</w:t>
      </w:r>
    </w:p>
    <w:p>
      <w:r>
        <w:t>Это правило особенно полезно потому, что оно не требует доказать мошенничество. Оно просто возвращает контроль из разговора в процедуру.</w:t>
      </w:r>
    </w:p>
    <w:p>
      <w:pPr>
        <w:pStyle w:val="InternalHeading"/>
      </w:pPr>
      <w:r>
        <w:t>Секретность умеет маскироваться под добродетель</w:t>
      </w:r>
    </w:p>
    <w:p>
      <w:r>
        <w:t>Просьба сохранить тайну не обязательно выглядит подозрительно: она может быть объяснена заботой, конфиденциальностью или служебной необходимостью. Поэтому оценивать нужно не красивое объяснение, а последствия.</w:t>
      </w:r>
    </w:p>
    <w:p>
      <w:r>
        <w:t>Если секретность сопровождается необычным высокорисковым действием и одновременно исключает независимую проверку, остановитесь и вернитесь к официальному или заранее известному каналу.</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многофакторная аутентификация,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Защитный 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имперсонацию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Защитный вывод из них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Защитный 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Эта модель описывает не ход мошенничества, а действия защищающегося человека.</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этой модели: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При компрометации аккаунта нужно считать риск более широким, чем один конкретный диалог.</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 мошенничество с компрометацией или имитацией деловой переписки — не появилась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по защите от компрометации деловой электронной почты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таким атакам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перестаёт работать именно в момент, когда распоряжение выглядит особенно авторитетным. Поэтому исключений «для руководителя» у контрольной процедуры быть не должно.</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придумывается уже во время кризиса, её правила неизбежно зависят от текущего разговора. Поэтому высокорисковые проверки нужно определить заранее.</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ИТ-служба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рекомендаций по цифровой идентичности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InternalHeading"/>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установления личности</w:t>
      </w:r>
      <w:r>
        <w:t>: проверки заявленной идентичности и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поддельные медиа и атаки с внедрением цифрового медиапотока.</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серьёзное удалённое установление личности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InternalHeading"/>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аутентификация</w:t>
      </w:r>
      <w:r>
        <w:t>.</w:t>
      </w:r>
    </w:p>
    <w:p>
      <w:r>
        <w:t>Пароль, аппаратный ключ, ключ доступа,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InternalHeading"/>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Поэтому спор «взломали или не взломали» не всегда отвечает на главный защитный вопрос. Даже настоящий, корректно аутентифицированный пользователь может совершить вредное действие, если принимает решение в ложном контексте.</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InternalHeading"/>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авторизация</w:t>
      </w:r>
      <w:r>
        <w:t xml:space="preserve"> — проверка полномочий.</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авторизация — базовое понятие информационной безопасности, а не ещё один «уровень надёжности аутентификации».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InternalHeading"/>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подтверждение намерения аутентифицироваться</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Но она не всегда определяет, правильно ли пользователь понимает контекст и последствия операции.</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InternalHeading"/>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переданный постороннему код перестаёт быть независимым подтверждением: технический механизм может получить правильные цифры в неправильном контексте.</w:t>
      </w:r>
    </w:p>
    <w:p>
      <w:r>
        <w:t>Поэтому NIST различает обычные механизмы одноразовых паролей и устойчивую к фишингу аутентификацию.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ключи доступа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InternalHeading"/>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Механизмы проверки живого присутствия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атакой на личность</w:t>
      </w:r>
      <w:r>
        <w:t xml:space="preserve"> и </w:t>
      </w:r>
      <w:r>
        <w:rPr>
          <w:b/>
          <w:i w:val="0"/>
        </w:rPr>
        <w:t>атакой на решение</w:t>
      </w:r>
      <w:r>
        <w:t>.</w:t>
      </w:r>
    </w:p>
    <w:p>
      <w:r>
        <w:t>В одном случае системе нужно защититься от подмены личности. В другом — человеку нужно защитить собственное решение от ложного контекста.</w:t>
      </w:r>
    </w:p>
    <w:p>
      <w:r>
        <w:t>Дипфейк может быть связан с обоими рисками, но защитные механизмы различаются.</w:t>
      </w:r>
    </w:p>
    <w:p>
      <w:pPr>
        <w:pStyle w:val="InternalHeading"/>
      </w:pPr>
      <w:r>
        <w:t>Проверка живого присутствия — не экзамен, который нужно проводить родственнику</w:t>
      </w:r>
    </w:p>
    <w:p>
      <w:r>
        <w:t>Профессиональные требования к удалённому установлению личности иногда включают случайные проверочные действия с участием человека: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поддельные медиа в процедуре с участием оператора.</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проверки живого присутствия.</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InternalHeading"/>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InternalHeading"/>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InternalHeading"/>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«синтетический материал».</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Метка может отсутствовать или потеряться при обработке. А главное — само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происхождение цифрового материала</w:t>
      </w:r>
      <w:r>
        <w:t>.</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Коалиция по происхождению и подлинности контента (C2PA)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запись Content Credentials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Система происхождения может показать: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Content Credentials не являются сертификатом правды</w:t>
      </w:r>
    </w:p>
    <w:p>
      <w:r>
        <w:t>Это, пожалуй, главное, что нужно понимать о происхождении цифрового материала.</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экспертному 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на дату фактологического среза, 14 августа 2026 года, ещё не вступил в силу. Его основные положения начинают действовать с 1 сентября 2026 года, а статьи 8–10, включая требования к маркировке информационных материалов, созданных с применением больших фундаментальных моделей искусственного интеллекта, — с 1 марта 2027 года. Поэтому в этой книге они не описываются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ясна: рано или поздно возникает конкретное действие с деньгами, доступом или данными, перед которым можно поставить обязательную проверку.</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подтверждения происхождения так важна и одновременно так ограничена.</w:t>
      </w:r>
    </w:p>
    <w:p>
      <w:pPr>
        <w:pStyle w:val="InternalHeading"/>
      </w:pPr>
      <w:r>
        <w:t>Что даёт происхождение</w:t>
      </w:r>
    </w:p>
    <w:p>
      <w:r>
        <w:t>C2PA описывает происхождение цифрового материала как историю цифрового актива и его взаимодействий с участниками и другими активами. Content Credentials позволяют хранить криптографически проверяемые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данные о происхождении «хорошими» или «плохими», а дать возможность проверять, что соответствующие утверждения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запись Content Credentials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Подлинность не равна истинности.</w:t>
      </w:r>
    </w:p>
    <w:p>
      <w:r>
        <w:t>Это не слабость технологии подтверждения происхождения.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данных о происхождении,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экспертной 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выявления дипфейков в реальных условиях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выражение «детектор дипфейков»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генерального директора»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подтверждения происхождения контента.</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дипфейках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проверяемого происхождения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Парадокс названия книги</w:t>
      </w:r>
    </w:p>
    <w:p>
      <w:r>
        <w:t>Фраза, вынесенная в название,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w:t>
      </w:r>
      <w:r>
        <w:t xml:space="preserve"> — система ошибочно считает настоящий материал поддельным.</w:t>
      </w:r>
    </w:p>
    <w:p>
      <w:r>
        <w:rPr>
          <w:b/>
          <w:i w:val="0"/>
        </w:rPr>
        <w:t>Ложноотрицательный результат</w:t>
      </w:r>
      <w:r>
        <w:t xml:space="preserve"> — система ошибочно пропускает поддельный материал как настоящий.</w:t>
      </w:r>
    </w:p>
    <w:p>
      <w:r>
        <w:rPr>
          <w:b/>
          <w:i w:val="0"/>
        </w:rPr>
        <w:t>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цифровой идентичности и материалы о рисках синтетического контента.</w:t>
      </w:r>
    </w:p>
    <w:p>
      <w:r>
        <w:rPr>
          <w:b/>
          <w:i w:val="0"/>
        </w:rPr>
        <w:t>FBI / IC3</w:t>
      </w:r>
      <w:r>
        <w:t xml:space="preserve"> — официальные предупреждения о компрометации деловой электронной почты и цифровой имперсонации.</w:t>
      </w:r>
    </w:p>
    <w:p>
      <w:r>
        <w:rPr>
          <w:b/>
          <w:i w:val="0"/>
        </w:rPr>
        <w:t>FTC</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InternalHeading"/>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конкурса Voice Cloning Challenge и публикации о предотвращении вреда от клонирования голоса с помощью ИИ.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Government of Hong Kong, FBI и INTERPOL</w:t>
      </w:r>
      <w:r>
        <w:t xml:space="preserve"> — те же первичные материалы, перечисленные выше и ниже. Они используются не для создания «инструкции атаки», а для подтверждения принципиально важного факта: реальная имперсонация может складываться из нескольких каналов и технологий — обычного письма, видеоконференции, мессенджера, синтетического голоса или видео и последующих сообщений.</w:t>
      </w:r>
    </w:p>
    <w:p>
      <w:r>
        <w:t xml:space="preserve">Предложенная в книге последовательность «вход → подтверждение легенды → перенос → изоляция → действие» является </w:t>
      </w:r>
      <w:r>
        <w:rPr>
          <w:b/>
          <w:i w:val="0"/>
        </w:rPr>
        <w:t>авторской аналитической моделью</w:t>
      </w:r>
      <w:r>
        <w:t>, а не официальной классификацией FBI, INTERPOL или полиции Гонконга.</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FTC.</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виртуальную встречу, статическое изображение, синтетическое аудио и последующую коммуникацию; конкретные тактики изготовления в книге не описываются.</w:t>
      </w:r>
    </w:p>
    <w:p>
      <w:r>
        <w:rPr>
          <w:b/>
          <w:i w:val="0"/>
        </w:rPr>
        <w:t>NIST SP 800-63-4.</w:t>
      </w:r>
      <w:r>
        <w:t xml:space="preserve"> Общий риск-ориентированный принцип выбора требуемого уровня уверенности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 xml:space="preserve">Книга </w:t>
      </w:r>
      <w:r>
        <w:rPr>
          <w:b/>
          <w:i w:val="0"/>
        </w:rPr>
        <w:t>не</w:t>
      </w:r>
      <w:r>
        <w:t xml:space="preserve"> выдаёт NIST за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книги: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трактуется в книге как доказательство подделки; наличие валидных Content Credentials не трактуется как доказательство истинности каждого утверждения в материале.</w:t>
      </w:r>
    </w:p>
    <w:p>
      <w:pPr>
        <w:pStyle w:val="InternalHeading"/>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случаев с дипфейками.</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В агитационных материалах введено специальное регулирование использования изображения и воспроизведения голоса, включая материалы, созданные с применением информационных технологий. Это узкий режим избирательной агитации и не создаёт универсального гражданско-правового «права на голос». https://www.consultant.ru/document/cons_doc_LAW_533418/</w:t>
      </w:r>
    </w:p>
    <w:p>
      <w:r>
        <w:rPr>
          <w:b/>
          <w:i w:val="0"/>
        </w:rPr>
        <w:t>Федеральный закон от 26.07.2026 № 243-ФЗ «О поддержке развития технологий искусственного интеллекта в Российской Федерации».</w:t>
      </w:r>
      <w:r>
        <w:t xml:space="preserve"> На дату фактологического среза 14 августа 2026 года закон подписан и опубликован, но ещё не вступил в силу. Основные положения вступают в силу 1 сентября 2026 года; статьи 8–10, включая требования к маркировке информационных материалов, созданных с применением больших фундаментальных моделей искусственного интеллекта, — 1 марта 2027 года. https://www.consultant.ru/document/cons_doc_LAW_540336/</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InternalHeading"/>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«дивиденда лжеца».</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предварительно зарегистрированных опросных экспериментов с более чем 15 000 взрослыми американцами. В книге сохранено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Читателю, которому нужны рекомендации после даты фактологического среза, следует проверять раздел Банка России «Противодействие мошенническим практикам», актуальные материалы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