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простые подделки — манипуляции с настоящим контентом без сложного синтеза —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финансовый директор?»</w:t>
      </w:r>
    </w:p>
    <w:p>
      <w:r>
        <w:t>Как только вопрос заменяется на «как выполнить распоряжение финансового директора?», основная работа имперсонации сделана.</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дипфейки в видео и аудио, синтетические изображения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InternalHeading"/>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синтетического голоса и перехода на новые платформы. Система доверия ломается не одним ударом, а последовательностью маленьких подтверждений.</w:t>
      </w:r>
    </w:p>
    <w:p>
      <w:pPr>
        <w:pStyle w:val="InternalHeading"/>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InternalHeading"/>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InternalHeading"/>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InternalHeading"/>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InternalHeading"/>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InternalHeading"/>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InternalHeading"/>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InternalHeading"/>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InternalHeading"/>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InternalHeading"/>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InternalHeading"/>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InternalHeading"/>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InternalHeading"/>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InternalHeading"/>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InternalHeading"/>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InternalHeading"/>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таким атакам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рекомендаций по цифровой идентичности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установления личности</w:t>
      </w:r>
      <w:r>
        <w:t>: проверки заявленной идентичности и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поддельные медиа и атаки с внедрением цифрового медиапотока.</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серьёзное удалённое установление личности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аутентификация</w:t>
      </w:r>
      <w:r>
        <w:t>.</w:t>
      </w:r>
    </w:p>
    <w:p>
      <w:r>
        <w:t>Пароль, аппаратный ключ, ключ доступа,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авторизация</w:t>
      </w:r>
      <w:r>
        <w:t xml:space="preserve"> — проверка полномочий.</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авторизация — базовое понятие информационной безопасности, а не ещё один «уровень надёжности аутентификации».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подтверждение намерения аутентифицироваться</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механизмы одноразовых паролей и устойчивую к фишингу аутентификацию.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ключи доступа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Механизмы проверки живого присутствия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атакой на личность</w:t>
      </w:r>
      <w:r>
        <w:t xml:space="preserve"> и </w:t>
      </w:r>
      <w:r>
        <w:rPr>
          <w:b/>
          <w:i w:val="0"/>
        </w:rPr>
        <w:t>атакой на решение</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Дипфейк способен участвовать в обеих, но защитные механизмы будут разными.</w:t>
      </w:r>
    </w:p>
    <w:p>
      <w:pPr>
        <w:pStyle w:val="InternalHeading"/>
      </w:pPr>
      <w:r>
        <w:t>Проверка живого присутствия — не экзамен, который нужно проводить родственнику</w:t>
      </w:r>
    </w:p>
    <w:p>
      <w:r>
        <w:t>Профессиональные требования к удалённому установлению личности иногда включают случайные проверочные действия с участием человека: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поддельные медиа в процедуре с участием оператора.</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проверки живого присутствия.</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(C2PA)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запись Content Credentials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Content Credentials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на дату фактологического среза, 14 августа 2026 года, ещё не вступил в силу. Его основные положения начинают действовать с 1 сентября 2026 года, а статьи 8–10, включая требования к маркировке информационных материалов, созданных с применением больших фундаментальных моделей искусственного интеллекта, — с 1 марта 2027 года. Поэтому в этой книге они не описываются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Content Credentials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запись Content Credentials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проверяемого происхождения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Фраза, вынесенная в название,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FBI / IC3</w:t>
      </w:r>
      <w:r>
        <w:t xml:space="preserve"> — официальные предупреждения о компрометации деловой электронной почты и цифровой имперсонации.</w:t>
      </w:r>
    </w:p>
    <w:p>
      <w:r>
        <w:rPr>
          <w:b/>
          <w:i w:val="0"/>
        </w:rPr>
        <w:t>FTC</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конкурса Voice Cloning Challenge и публикации о предотвращении вреда от клонирования голоса с помощью ИИ.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виртуальную встречу, статическое изображение, синтетическое аудио и последующую коммуникацию; конкретные тактики изготовления в книге не описываются.</w:t>
      </w:r>
    </w:p>
    <w:p>
      <w:r>
        <w:rPr>
          <w:b/>
          <w:i w:val="0"/>
        </w:rPr>
        <w:t>NIST SP 800-63-4.</w:t>
      </w:r>
      <w:r>
        <w:t xml:space="preserve"> Общий риск-ориентированный принцип выбора требуемого уровня уверенности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книги: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случаев с дипфейками.</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В агитационных материалах введено специальное регулирование использования изображения и воспроизведения голоса, включая материалы, созданные с применением информационных технологий. Это узкий режим избирательной агитации и не создаёт универсального гражданско-правового «права на голос». https://www.consultant.ru/document/cons_doc_LAW_533418/</w:t>
      </w:r>
    </w:p>
    <w:p>
      <w:r>
        <w:rPr>
          <w:b/>
          <w:i w:val="0"/>
        </w:rPr>
        <w:t>Федеральный закон от 26.07.2026 № 243-ФЗ «О поддержке развития технологий искусственного интеллекта в Российской Федерации».</w:t>
      </w:r>
      <w:r>
        <w:t xml:space="preserve"> На дату фактологического среза 14 августа 2026 года закон подписан и опубликован, но ещё не вступил в силу. Основные положения вступают в силу 1 сентября 2026 года; статьи 8–10, включая требования к маркировке информационных материалов, созданных с применением больших фундаментальных моделей искусственного интеллекта, — 1 марта 2027 года. https://www.consultant.ru/document/cons_doc_LAW_540336/</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«дивиденда лжеца».</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предварительно зарегистрированных опросных экспериментов с более чем 15 000 взрослыми американцами. В книге сохранено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раздел Банка России «Противодействие мошенническим практикам», актуальные материалы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