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0"/>
        <w:jc w:val="center"/>
        <w:rPr>
          <w:rFonts w:ascii="DejaVu Sans Mono" w:hAnsi="DejaVu Sans Mono"/>
          <w:b/>
          <w:bCs/>
          <w:sz w:val="28"/>
          <w:szCs w:val="28"/>
          <w:u w:val="single"/>
        </w:rPr>
      </w:pPr>
      <w:r>
        <w:rPr>
          <w:rFonts w:ascii="DejaVu Sans Mono" w:hAnsi="DejaVu Sans Mono"/>
          <w:b/>
          <w:bCs/>
          <w:sz w:val="28"/>
          <w:szCs w:val="28"/>
          <w:u w:val="single"/>
        </w:rPr>
        <w:t xml:space="preserve">Die </w:t>
      </w:r>
      <w:r>
        <w:rPr>
          <w:rFonts w:ascii="DejaVu Sans Mono" w:hAnsi="DejaVu Sans Mono"/>
          <w:b/>
          <w:bCs/>
          <w:sz w:val="28"/>
          <w:szCs w:val="28"/>
          <w:u w:val="single"/>
        </w:rPr>
        <w:t xml:space="preserve">Ausbildung</w:t>
      </w:r>
      <w:r>
        <w:rPr>
          <w:rFonts w:ascii="DejaVu Sans Mono" w:hAnsi="DejaVu Sans Mono"/>
          <w:b/>
          <w:bCs/>
          <w:sz w:val="28"/>
          <w:szCs w:val="28"/>
          <w:u w:val="single"/>
        </w:rPr>
        <w:t xml:space="preserve"> des Schwimm</w:t>
      </w:r>
      <w:r>
        <w:rPr>
          <w:rFonts w:ascii="DejaVu Sans Mono" w:hAnsi="DejaVu Sans Mono"/>
          <w:b/>
          <w:bCs/>
          <w:sz w:val="28"/>
          <w:szCs w:val="28"/>
          <w:u w:val="single"/>
        </w:rPr>
        <w:t xml:space="preserve">en</w:t>
      </w:r>
      <w:r>
        <w:rPr>
          <w:rFonts w:ascii="DejaVu Sans Mono" w:hAnsi="DejaVu Sans Mono"/>
          <w:b/>
          <w:bCs/>
          <w:sz w:val="28"/>
          <w:szCs w:val="28"/>
          <w:u w:val="single"/>
        </w:rPr>
        <w:t xml:space="preserve">s </w:t>
      </w:r>
      <w:r>
        <w:rPr>
          <w:rFonts w:ascii="DejaVu Sans Mono" w:hAnsi="DejaVu Sans Mono"/>
          <w:b/>
          <w:bCs/>
          <w:sz w:val="28"/>
          <w:szCs w:val="28"/>
          <w:u w:val="single"/>
        </w:rPr>
        <w:t xml:space="preserve">und Rettungsschwimmens</w:t>
      </w:r>
      <w:r/>
    </w:p>
    <w:p>
      <w:pPr>
        <w:pStyle w:val="810"/>
        <w:jc w:val="center"/>
        <w:rPr>
          <w:rFonts w:ascii="DejaVu Sans Mono" w:hAnsi="DejaVu Sans Mono"/>
          <w:b/>
          <w:bCs/>
          <w:i/>
          <w:iCs/>
          <w:sz w:val="16"/>
          <w:szCs w:val="16"/>
          <w:highlight w:val="none"/>
          <w:u w:val="none"/>
        </w:rPr>
      </w:pPr>
      <w:r>
        <w:rPr>
          <w:rFonts w:ascii="DejaVu Sans Mono" w:hAnsi="DejaVu Sans Mono"/>
          <w:b/>
          <w:bCs/>
          <w:i/>
          <w:iCs/>
          <w:sz w:val="16"/>
          <w:szCs w:val="16"/>
          <w:u w:val="none"/>
        </w:rPr>
        <w:t xml:space="preserve">20. 06. 2022</w:t>
      </w:r>
      <w:r/>
    </w:p>
    <w:p>
      <w:pPr>
        <w:jc w:val="center"/>
        <w:rPr>
          <w:rFonts w:ascii="DejaVu Sans Mono" w:hAnsi="DejaVu Sans Mono"/>
          <w:b/>
          <w:i/>
          <w:sz w:val="16"/>
          <w:szCs w:val="16"/>
          <w:u w:val="none"/>
        </w:rPr>
      </w:pPr>
      <w:r>
        <w:rPr>
          <w:rFonts w:ascii="DejaVu Sans Mono" w:hAnsi="DejaVu Sans Mono"/>
          <w:b/>
          <w:bCs/>
          <w:i/>
          <w:iCs/>
          <w:sz w:val="16"/>
          <w:szCs w:val="16"/>
          <w:highlight w:val="none"/>
          <w:u w:val="none"/>
        </w:rPr>
        <w:t xml:space="preserve">niko-w-h.github.io</w:t>
      </w:r>
      <w:r>
        <w:rPr>
          <w:rFonts w:ascii="DejaVu Sans Mono" w:hAnsi="DejaVu Sans Mono"/>
          <w:b/>
          <w:bCs/>
          <w:i/>
          <w:iCs/>
          <w:sz w:val="16"/>
          <w:szCs w:val="16"/>
          <w:highlight w:val="none"/>
          <w:u w:val="none"/>
        </w:rPr>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 - Diese Präsentation wird mit einer Slideshow unterstützt.</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Siehe die Datei namens:</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u w:val="none"/>
        </w:rPr>
        <w:t xml:space="preserve">`</w:t>
      </w:r>
      <w:r>
        <w:rPr>
          <w:rFonts w:ascii="DejaVu Sans Mono" w:hAnsi="DejaVu Sans Mono"/>
          <w:b w:val="0"/>
          <w:bCs w:val="0"/>
          <w:i w:val="0"/>
          <w:iCs w:val="0"/>
          <w:sz w:val="16"/>
          <w:szCs w:val="16"/>
          <w:u w:val="none"/>
        </w:rPr>
        <w:t xml:space="preserve">arbeit-schwimmunterricht-zensiert.</w:t>
      </w:r>
      <w:r>
        <w:rPr>
          <w:rFonts w:ascii="DejaVu Sans Mono" w:hAnsi="DejaVu Sans Mono"/>
          <w:b w:val="0"/>
          <w:bCs w:val="0"/>
          <w:i w:val="0"/>
          <w:iCs w:val="0"/>
          <w:sz w:val="16"/>
          <w:szCs w:val="16"/>
          <w:u w:val="none"/>
        </w:rPr>
        <w:t xml:space="preserve">pptx`</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highlight w:val="none"/>
          <w:u w:val="none"/>
        </w:rPr>
      </w:pPr>
      <w:r>
        <w:rPr>
          <w:rFonts w:ascii="DejaVu Sans Mono" w:hAnsi="DejaVu Sans Mono"/>
          <w:b w:val="0"/>
          <w:bCs w:val="0"/>
          <w:i w:val="0"/>
          <w:iCs w:val="0"/>
          <w:sz w:val="16"/>
          <w:szCs w:val="16"/>
          <w:u w:val="none"/>
        </w:rPr>
        <w:t xml:space="preserve">im gleichen Verzeichnis.</w:t>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highlight w:val="none"/>
          <w:u w:val="none"/>
        </w:rPr>
      </w:r>
      <w:r>
        <w:rPr>
          <w:rFonts w:ascii="DejaVu Sans Mono" w:hAnsi="DejaVu Sans Mono"/>
          <w:b w:val="0"/>
          <w:bCs w:val="0"/>
          <w:i w:val="0"/>
          <w:iCs w:val="0"/>
          <w:sz w:val="16"/>
          <w:szCs w:val="16"/>
          <w:highlight w:val="none"/>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Die Quellen werden mit Klammern nach einer Textstelle angezeigt. </w:t>
      </w:r>
      <w:r>
        <w:rPr>
          <w:rFonts w:ascii="DejaVu Sans Mono" w:hAnsi="DejaVu Sans Mono"/>
          <w:b w:val="0"/>
          <w:bCs w:val="0"/>
          <w:i/>
          <w:iCs/>
          <w:sz w:val="16"/>
          <w:szCs w:val="16"/>
          <w:u w:val="none"/>
        </w:rPr>
        <w:t xml:space="preserve">[ex1]</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Ich habe meine Quellen mit mehreren verschiedenen Seiten überprüft, habe jedoch</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nur die jeweils nützlichste Ressource im Quellenverzeichnis verlinkt.</w:t>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Präsentation</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In Deutschland ertranken 301 Menschen </w:t>
      </w:r>
      <w:r>
        <w:rPr>
          <w:rFonts w:ascii="DejaVu Sans Mono" w:hAnsi="DejaVu Sans Mono"/>
          <w:b w:val="0"/>
          <w:bCs w:val="0"/>
          <w:i w:val="0"/>
          <w:iCs w:val="0"/>
          <w:sz w:val="20"/>
          <w:szCs w:val="20"/>
          <w:u w:val="none"/>
        </w:rPr>
        <w:t xml:space="preserve">allein im letzten Jahr</w:t>
      </w:r>
      <w:r>
        <w:rPr>
          <w:rFonts w:ascii="DejaVu Sans Mono" w:hAnsi="DejaVu Sans Mono"/>
          <w:b w:val="0"/>
          <w:bCs w:val="0"/>
          <w:i w:val="0"/>
          <w:iCs w:val="0"/>
          <w:sz w:val="20"/>
          <w:szCs w:val="20"/>
          <w:u w:val="none"/>
        </w:rPr>
        <w:t xml:space="preserve">.In unserem Land Brandenburg starben 23 Deutsche am Ertrinken, in Bayern ganze 60.</w:t>
      </w:r>
      <w:r>
        <w:rPr>
          <w:rFonts w:ascii="DejaVu Sans Mono" w:hAnsi="DejaVu Sans Mono"/>
          <w:b w:val="0"/>
          <w:bCs w:val="0"/>
          <w:i/>
          <w:iCs/>
          <w:sz w:val="14"/>
          <w:szCs w:val="14"/>
          <w:u w:val="none"/>
        </w:rPr>
        <w:t xml:space="preserve">[i1]</w:t>
      </w:r>
      <w:r>
        <w:rPr>
          <w:rFonts w:ascii="DejaVu Sans Mono" w:hAnsi="DejaVu Sans Mono"/>
          <w:b w:val="0"/>
          <w:bCs w:val="0"/>
          <w:i/>
          <w:iCs/>
          <w:sz w:val="20"/>
          <w:szCs w:val="20"/>
          <w:u w:val="none"/>
        </w:rPr>
        <w:t xml:space="preserve"> </w:t>
      </w:r>
      <w:r>
        <w:rPr>
          <w:rFonts w:ascii="DejaVu Sans Mono" w:hAnsi="DejaVu Sans Mono"/>
          <w:b w:val="0"/>
          <w:bCs w:val="0"/>
          <w:i w:val="0"/>
          <w:iCs w:val="0"/>
          <w:sz w:val="20"/>
          <w:szCs w:val="20"/>
          <w:u w:val="none"/>
        </w:rPr>
        <w:t xml:space="preserve">Dies sind natürlich nur die Todesfälle, es gibt noch viele Verletzte und Tote durch andere Unfälle im Wasser. </w:t>
      </w:r>
      <w:r>
        <w:rPr>
          <w:rFonts w:ascii="DejaVu Sans Mono" w:hAnsi="DejaVu Sans Mono"/>
          <w:b w:val="0"/>
          <w:bCs w:val="0"/>
          <w:i w:val="0"/>
          <w:iCs w:val="0"/>
          <w:sz w:val="20"/>
          <w:szCs w:val="20"/>
          <w:u w:val="none"/>
        </w:rPr>
        <w:t xml:space="preserve">Viele der Toten sind Nichtschwimmer.</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Schwimmen ist ein guter Sport, viele sagen es sei die beste und gesündeste Sportart. Verschiedene Techniken des Schwimmens können verschiedene Vorteile haben, beispielsweise eine gute Entwicklung der Beinmuskulatur vor allem beim Brustschwimmen.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2</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t xml:space="preserve"> Bei Knochenbrüchen, bei Herz- und Gefäßkrankheiten und anderen Einschränkungen wird das Schwimmen oft von Ärzten als Therapie empfohlen.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3</w:t>
      </w:r>
      <w:r>
        <w:rPr>
          <w:rFonts w:ascii="DejaVu Sans Mono" w:hAnsi="DejaVu Sans Mono"/>
          <w:b w:val="0"/>
          <w:bCs w:val="0"/>
          <w:i/>
          <w:iCs/>
          <w:sz w:val="14"/>
          <w:szCs w:val="14"/>
          <w:u w:val="none"/>
        </w:rPr>
        <w:t xml:space="preserve">]</w:t>
      </w:r>
      <w:r/>
    </w:p>
    <w:p>
      <w:pPr>
        <w:pStyle w:val="810"/>
        <w:jc w:val="both"/>
        <w:rPr>
          <w:rFonts w:ascii="DejaVu Sans Mono" w:hAnsi="DejaVu Sans Mono"/>
          <w:b w:val="0"/>
          <w:bCs w:val="0"/>
          <w:i/>
          <w:iCs/>
          <w:sz w:val="14"/>
          <w:szCs w:val="14"/>
          <w:u w:val="none"/>
        </w:rPr>
      </w:pPr>
      <w:r>
        <w:rPr>
          <w:rFonts w:ascii="DejaVu Sans Mono" w:hAnsi="DejaVu Sans Mono"/>
          <w:b w:val="0"/>
          <w:bCs w:val="0"/>
          <w:i/>
          <w:iCs/>
          <w:sz w:val="14"/>
          <w:szCs w:val="14"/>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Das Baden mit leerem Magen kann zu Unterzuckerung führen. Trotz der Warnung des DLRGs aber, zeigen Studien, daß das Schwimmen mit vollem Magen nicht gefährlich ist.</w:t>
      </w:r>
      <w:r>
        <w:rPr>
          <w:rFonts w:ascii="DejaVu Sans Mono" w:hAnsi="DejaVu Sans Mono"/>
          <w:b w:val="0"/>
          <w:bCs w:val="0"/>
          <w:i/>
          <w:iCs/>
          <w:sz w:val="14"/>
          <w:szCs w:val="14"/>
          <w:u w:val="none"/>
        </w:rPr>
        <w:t xml:space="preserve">[i4]</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5</w:t>
      </w:r>
      <w:r>
        <w:rPr>
          <w:rFonts w:ascii="DejaVu Sans Mono" w:hAnsi="DejaVu Sans Mono"/>
          <w:b w:val="0"/>
          <w:bCs w:val="0"/>
          <w:i/>
          <w:iCs/>
          <w:sz w:val="14"/>
          <w:szCs w:val="14"/>
          <w:u w:val="none"/>
        </w:rPr>
        <w:t xml:space="preserve">]</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Quellen</w:t>
      </w:r>
      <w:r/>
    </w:p>
    <w:p>
      <w:pPr>
        <w:pStyle w:val="810"/>
        <w:jc w:val="center"/>
        <w:rPr>
          <w:rFonts w:ascii="DejaVu Sans Mono" w:hAnsi="DejaVu Sans Mono"/>
          <w:b w:val="0"/>
          <w:bCs w:val="0"/>
          <w:i w:val="0"/>
          <w:iCs w:val="0"/>
          <w:sz w:val="22"/>
          <w:szCs w:val="22"/>
          <w:u w:val="single"/>
        </w:rPr>
      </w:pPr>
      <w:r>
        <w:rPr>
          <w:rFonts w:ascii="DejaVu Sans Mono" w:hAnsi="DejaVu Sans Mono"/>
          <w:b w:val="0"/>
          <w:bCs w:val="0"/>
          <w:i w:val="0"/>
          <w:iCs w:val="0"/>
          <w:sz w:val="22"/>
          <w:szCs w:val="22"/>
          <w:u w:val="single"/>
        </w:rPr>
        <w:t xml:space="preserve">i 1-</w:t>
      </w:r>
      <w:r>
        <w:rPr>
          <w:rFonts w:ascii="DejaVu Sans Mono" w:hAnsi="DejaVu Sans Mono"/>
          <w:b w:val="0"/>
          <w:bCs w:val="0"/>
          <w:i w:val="0"/>
          <w:iCs w:val="0"/>
          <w:sz w:val="22"/>
          <w:szCs w:val="22"/>
          <w:u w:val="single"/>
        </w:rPr>
        <w:t xml:space="preserve">5</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[i1] – Todesfälle durch das Ertrinken in Deutschland</w:t>
      </w:r>
      <w:r/>
    </w:p>
    <w:p>
      <w:pPr>
        <w:pStyle w:val="810"/>
        <w:jc w:val="both"/>
        <w:rPr>
          <w:rFonts w:ascii="DejaVu Sans Mono" w:hAnsi="DejaVu Sans Mono"/>
          <w:b w:val="0"/>
          <w:bCs w:val="0"/>
          <w:i w:val="0"/>
          <w:iCs w:val="0"/>
          <w:sz w:val="22"/>
          <w:szCs w:val="22"/>
          <w:u w:val="none"/>
        </w:rPr>
      </w:pPr>
      <w:r/>
      <w:hyperlink r:id="rId8" w:tooltip="https://www.dlrg.de/informieren/die-dlrg/presse/statistik-ertrink" w:history="1">
        <w:r>
          <w:rPr>
            <w:rStyle w:val="811"/>
            <w:rFonts w:ascii="DejaVu Sans Mono" w:hAnsi="DejaVu Sans Mono"/>
            <w:b w:val="0"/>
            <w:bCs w:val="0"/>
            <w:i w:val="0"/>
            <w:iCs w:val="0"/>
            <w:sz w:val="20"/>
            <w:szCs w:val="20"/>
            <w:u w:val="none"/>
          </w:rPr>
          <w:t xml:space="preserve">https://www.dlrg.de/informieren/die-dlrg/presse/statistik-ertrink</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2"/>
          <w:szCs w:val="22"/>
          <w:u w:val="none"/>
        </w:rPr>
      </w:pPr>
      <w:r>
        <w:rPr>
          <w:rFonts w:ascii="DejaVu Sans Mono" w:hAnsi="DejaVu Sans Mono"/>
          <w:b w:val="0"/>
          <w:bCs w:val="0"/>
          <w:i w:val="0"/>
          <w:iCs w:val="0"/>
          <w:sz w:val="20"/>
          <w:szCs w:val="20"/>
          <w:u w:val="none"/>
        </w:rPr>
        <w:t xml:space="preserve">[i2] – Vorteile des Sc</w:t>
      </w:r>
      <w:r>
        <w:rPr>
          <w:rFonts w:ascii="DejaVu Sans Mono" w:hAnsi="DejaVu Sans Mono"/>
          <w:b w:val="0"/>
          <w:bCs w:val="0"/>
          <w:i w:val="0"/>
          <w:iCs w:val="0"/>
          <w:sz w:val="20"/>
          <w:szCs w:val="20"/>
          <w:u w:val="none"/>
        </w:rPr>
        <w:t xml:space="preserve">hwimmens</w:t>
      </w:r>
      <w:r/>
    </w:p>
    <w:p>
      <w:pPr>
        <w:pStyle w:val="810"/>
        <w:jc w:val="both"/>
        <w:rPr>
          <w:rFonts w:ascii="DejaVu Sans Mono" w:hAnsi="DejaVu Sans Mono"/>
          <w:b w:val="0"/>
          <w:bCs w:val="0"/>
          <w:i w:val="0"/>
          <w:iCs w:val="0"/>
          <w:sz w:val="22"/>
          <w:szCs w:val="22"/>
          <w:u w:val="none"/>
        </w:rPr>
      </w:pPr>
      <w:r/>
      <w:hyperlink r:id="rId9" w:tooltip="https://www.apomio.de/blog/artikel/orthopadie-kraul-rucken-brustschwimmen" w:history="1">
        <w:r>
          <w:rPr>
            <w:rStyle w:val="811"/>
            <w:rFonts w:ascii="DejaVu Sans Mono" w:hAnsi="DejaVu Sans Mono"/>
            <w:b w:val="0"/>
            <w:bCs w:val="0"/>
            <w:i w:val="0"/>
            <w:iCs w:val="0"/>
            <w:sz w:val="20"/>
            <w:szCs w:val="20"/>
            <w:u w:val="none"/>
          </w:rPr>
          <w:t xml:space="preserve">https://www.apomio.de/blog/artikel/orthopadie-kraul-rucken-brustschwimmen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[i3] – Gesundheit durch Schwimmens</w:t>
      </w:r>
      <w:r/>
    </w:p>
    <w:p>
      <w:pPr>
        <w:pStyle w:val="810"/>
        <w:jc w:val="both"/>
        <w:rPr>
          <w:rFonts w:ascii="DejaVu Sans Mono" w:hAnsi="DejaVu Sans Mono"/>
          <w:b w:val="0"/>
          <w:bCs w:val="0"/>
          <w:i w:val="0"/>
          <w:iCs w:val="0"/>
          <w:sz w:val="22"/>
          <w:szCs w:val="22"/>
          <w:u w:val="none"/>
        </w:rPr>
      </w:pPr>
      <w:r/>
      <w:hyperlink r:id="rId10" w:tooltip="http://www.ab-ins-nass.de/schwimmen-ist-gesund.htm" w:history="1">
        <w:r>
          <w:rPr>
            <w:rStyle w:val="811"/>
            <w:rFonts w:ascii="DejaVu Sans Mono" w:hAnsi="DejaVu Sans Mono"/>
            <w:b w:val="0"/>
            <w:bCs w:val="0"/>
            <w:i w:val="0"/>
            <w:iCs w:val="0"/>
            <w:sz w:val="20"/>
            <w:szCs w:val="20"/>
            <w:u w:val="none"/>
          </w:rPr>
          <w:t xml:space="preserve">http://www.ab-ins-nass.de/schwimmen-ist-gesund.htm</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[i4] – Baderegeln</w:t>
      </w:r>
      <w:r/>
    </w:p>
    <w:p>
      <w:pPr>
        <w:pStyle w:val="810"/>
        <w:jc w:val="both"/>
        <w:rPr>
          <w:rFonts w:ascii="DejaVu Sans Mono" w:hAnsi="DejaVu Sans Mono"/>
          <w:b w:val="0"/>
          <w:bCs w:val="0"/>
          <w:i w:val="0"/>
          <w:iCs w:val="0"/>
          <w:sz w:val="22"/>
          <w:szCs w:val="22"/>
          <w:u w:val="none"/>
        </w:rPr>
      </w:pPr>
      <w:r/>
      <w:hyperlink r:id="rId11" w:tooltip="https://www.dlrg.de/informieren/freizeit-im-wasser/baderegeln/" w:history="1">
        <w:r>
          <w:rPr>
            <w:rStyle w:val="811"/>
            <w:rFonts w:ascii="DejaVu Sans Mono" w:hAnsi="DejaVu Sans Mono"/>
            <w:b w:val="0"/>
            <w:bCs w:val="0"/>
            <w:i w:val="0"/>
            <w:iCs w:val="0"/>
            <w:sz w:val="20"/>
            <w:szCs w:val="20"/>
            <w:u w:val="none"/>
          </w:rPr>
          <w:t xml:space="preserve">https://www.dlrg.de/informieren/freizeit-im-wasser/baderegeln/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[i5] – &lt;ENGLISCH&gt; Studie – Ist das Schwimmen mit vollem Magen gefährlich?</w:t>
      </w:r>
      <w:r/>
    </w:p>
    <w:p>
      <w:pPr>
        <w:pStyle w:val="810"/>
        <w:jc w:val="both"/>
        <w:rPr>
          <w:rFonts w:ascii="DejaVu Sans Mono" w:hAnsi="DejaVu Sans Mono"/>
          <w:b w:val="0"/>
          <w:bCs w:val="0"/>
          <w:i w:val="0"/>
          <w:iCs w:val="0"/>
          <w:sz w:val="22"/>
          <w:szCs w:val="22"/>
          <w:u w:val="none"/>
        </w:rPr>
      </w:pPr>
      <w:r/>
      <w:hyperlink r:id="rId12" w:tooltip="https://www.tandfonline.com/doi/abs/10.1080/00221473.1961.10622080?journalCode=ujrd18&amp;" w:history="1">
        <w:r>
          <w:rPr>
            <w:rStyle w:val="811"/>
            <w:rFonts w:ascii="DejaVu Sans Mono" w:hAnsi="DejaVu Sans Mono"/>
            <w:b w:val="0"/>
            <w:bCs w:val="0"/>
            <w:i w:val="0"/>
            <w:iCs w:val="0"/>
            <w:sz w:val="20"/>
            <w:szCs w:val="20"/>
            <w:u w:val="none"/>
          </w:rPr>
          <w:t xml:space="preserve">https://www.tandfonline.com/doi/abs/10.1080/00221473.1961.10622080?journalCode=ujrd18&amp;</w:t>
        </w:r>
      </w:hyperlink>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r>
      <w:r/>
    </w:p>
    <w:p>
      <w:pPr>
        <w:pStyle w:val="810"/>
        <w:jc w:val="center"/>
        <w:rPr>
          <w:rFonts w:ascii="DejaVu Sans Mono" w:hAnsi="DejaVu Sans Mono"/>
          <w:b w:val="0"/>
          <w:bCs w:val="0"/>
          <w:i w:val="0"/>
          <w:iCs w:val="0"/>
          <w:sz w:val="20"/>
          <w:szCs w:val="20"/>
          <w:u w:val="single"/>
        </w:rPr>
      </w:pPr>
      <w:r>
        <w:rPr>
          <w:rFonts w:ascii="DejaVu Sans Mono" w:hAnsi="DejaVu Sans Mono"/>
          <w:b w:val="0"/>
          <w:bCs w:val="0"/>
          <w:i w:val="0"/>
          <w:iCs w:val="0"/>
          <w:sz w:val="20"/>
          <w:szCs w:val="20"/>
          <w:u w:val="single"/>
        </w:rPr>
        <w:t xml:space="preserve">b 1-2</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[b1] – Todesfälle durch das Ertrinken in Deutschland – Grafik</w:t>
      </w:r>
      <w:r/>
    </w:p>
    <w:p>
      <w:pPr>
        <w:pStyle w:val="810"/>
        <w:jc w:val="both"/>
        <w:rPr>
          <w:rFonts w:ascii="DejaVu Sans Mono" w:hAnsi="DejaVu Sans Mono"/>
          <w:b w:val="0"/>
          <w:bCs w:val="0"/>
          <w:i w:val="0"/>
          <w:iCs w:val="0"/>
          <w:sz w:val="22"/>
          <w:szCs w:val="22"/>
          <w:u w:val="none"/>
        </w:rPr>
      </w:pPr>
      <w:r/>
      <w:hyperlink r:id="rId13" w:tooltip="https://www.dlrg.de/informieren/die-dlrg/presse/statistik-ertrinken/" w:history="1">
        <w:r>
          <w:rPr>
            <w:rStyle w:val="811"/>
            <w:rFonts w:ascii="DejaVu Sans Mono" w:hAnsi="DejaVu Sans Mono"/>
            <w:b w:val="0"/>
            <w:bCs w:val="0"/>
            <w:i w:val="0"/>
            <w:iCs w:val="0"/>
            <w:sz w:val="20"/>
            <w:szCs w:val="20"/>
            <w:u w:val="none"/>
          </w:rPr>
          <w:t xml:space="preserve">https://www.dlrg.de/informieren/die-dlrg/presse/statistik-ertrinken/</w:t>
        </w:r>
      </w:hyperlink>
      <w:r/>
      <w:r/>
    </w:p>
    <w:p>
      <w:pPr>
        <w:pStyle w:val="810"/>
        <w:jc w:val="center"/>
        <w:rPr>
          <w:rFonts w:ascii="DejaVu Sans Mono" w:hAnsi="DejaVu Sans Mono"/>
        </w:rPr>
      </w:pPr>
      <w:r>
        <w:rPr>
          <w:rFonts w:ascii="DejaVu Sans Mono" w:hAnsi="DejaVu Sans Mono"/>
        </w:rPr>
      </w:r>
      <w:r/>
    </w:p>
    <w:p>
      <w:pPr>
        <w:pStyle w:val="810"/>
        <w:jc w:val="both"/>
        <w:rPr>
          <w:rFonts w:ascii="DejaVu Sans Mono" w:hAnsi="DejaVu Sans Mono"/>
        </w:rPr>
      </w:pPr>
      <w:r>
        <w:rPr>
          <w:rFonts w:ascii="DejaVu Sans Mono" w:hAnsi="DejaVu Sans Mono"/>
          <w:b w:val="0"/>
          <w:bCs w:val="0"/>
          <w:i w:val="0"/>
          <w:iCs w:val="0"/>
          <w:sz w:val="20"/>
          <w:szCs w:val="20"/>
          <w:u w:val="none"/>
        </w:rPr>
        <w:t xml:space="preserve">[b2] – Artikel – Pferd in Deutschland ertrunken</w:t>
      </w:r>
      <w:r/>
    </w:p>
    <w:p>
      <w:pPr>
        <w:pStyle w:val="810"/>
        <w:jc w:val="both"/>
        <w:rPr>
          <w:rFonts w:ascii="DejaVu Sans Mono" w:hAnsi="DejaVu Sans Mono"/>
        </w:rPr>
      </w:pPr>
      <w:r/>
      <w:hyperlink r:id="rId14" w:tooltip="https://www.news.de/panorama/855855403/badeunfaelle-2020-news-ticker-viele-badetote-in-seen-und-fluessen-unfall-statistik-deutschland-besonders-viele-todesopfer-im-august/1/" w:history="1">
        <w:r>
          <w:rPr>
            <w:rStyle w:val="811"/>
            <w:rFonts w:ascii="DejaVu Sans Mono" w:hAnsi="DejaVu Sans Mono"/>
            <w:b w:val="0"/>
            <w:bCs w:val="0"/>
            <w:i w:val="0"/>
            <w:iCs w:val="0"/>
            <w:sz w:val="20"/>
            <w:szCs w:val="20"/>
            <w:u w:val="none"/>
          </w:rPr>
          <w:t xml:space="preserve">https://www.news.de/panorama/855855403/badeunfaelle-2020-news-ticker-viele-badetote-in-seen-und-fluessen-unfall-statistik-deutschland-besonders-viele-todesopfer-im-august/1/</w:t>
        </w:r>
      </w:hyperlink>
      <w:r>
        <w:rPr>
          <w:rFonts w:ascii="DejaVu Sans Mono" w:hAnsi="DejaVu Sans Mono"/>
          <w:b w:val="0"/>
          <w:bCs w:val="0"/>
          <w:i w:val="0"/>
          <w:iCs w:val="0"/>
          <w:sz w:val="22"/>
          <w:szCs w:val="22"/>
          <w:u w:val="none"/>
        </w:r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Microsoft YaHei">
    <w:panose1 w:val="020F0502020204030204"/>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de-DE"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0"/>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0"/>
    <w:next w:val="810"/>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0"/>
    <w:next w:val="810"/>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0"/>
    <w:next w:val="810"/>
    <w:link w:val="659"/>
    <w:uiPriority w:val="29"/>
    <w:qFormat/>
    <w:pPr>
      <w:ind w:left="720" w:right="720"/>
    </w:pPr>
    <w:rPr>
      <w:i/>
    </w:rPr>
  </w:style>
  <w:style w:type="character" w:styleId="659">
    <w:name w:val="Quote Char"/>
    <w:link w:val="658"/>
    <w:uiPriority w:val="29"/>
    <w:rPr>
      <w:i/>
    </w:rPr>
  </w:style>
  <w:style w:type="paragraph" w:styleId="660">
    <w:name w:val="Intense Quote"/>
    <w:basedOn w:val="810"/>
    <w:next w:val="810"/>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0"/>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0"/>
    <w:link w:val="666"/>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character" w:styleId="666">
    <w:name w:val="Caption Char"/>
    <w:basedOn w:val="815"/>
    <w:link w:val="664"/>
    <w:uiPriority w:val="99"/>
  </w:style>
  <w:style w:type="table" w:styleId="66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pPr>
      <w:widowControl/>
    </w:pPr>
    <w:rPr>
      <w:rFonts w:ascii="Liberation Serif" w:hAnsi="Liberation Serif" w:cs="Arial" w:eastAsia="NSimSun"/>
      <w:color w:val="auto"/>
      <w:sz w:val="24"/>
      <w:szCs w:val="24"/>
      <w:lang w:val="de-DE" w:bidi="hi-IN" w:eastAsia="zh-CN"/>
    </w:rPr>
  </w:style>
  <w:style w:type="character" w:styleId="811">
    <w:name w:val="Hyperlink"/>
    <w:rPr>
      <w:color w:val="000080"/>
      <w:u w:val="single"/>
    </w:rPr>
  </w:style>
  <w:style w:type="paragraph" w:styleId="812">
    <w:name w:val="Heading"/>
    <w:basedOn w:val="810"/>
    <w:next w:val="813"/>
    <w:qFormat/>
    <w:pPr>
      <w:keepNext/>
      <w:spacing w:before="240" w:after="120"/>
    </w:pPr>
    <w:rPr>
      <w:rFonts w:ascii="Liberation Sans" w:hAnsi="Liberation Sans" w:cs="Arial" w:eastAsia="Microsoft YaHei"/>
      <w:sz w:val="28"/>
      <w:szCs w:val="28"/>
    </w:rPr>
  </w:style>
  <w:style w:type="paragraph" w:styleId="813">
    <w:name w:val="Body Text"/>
    <w:basedOn w:val="810"/>
    <w:pPr>
      <w:spacing w:before="0" w:after="140" w:line="276" w:lineRule="auto"/>
    </w:pPr>
  </w:style>
  <w:style w:type="paragraph" w:styleId="814">
    <w:name w:val="List"/>
    <w:basedOn w:val="813"/>
    <w:rPr>
      <w:rFonts w:cs="Arial"/>
    </w:rPr>
  </w:style>
  <w:style w:type="paragraph" w:styleId="815">
    <w:name w:val="Caption"/>
    <w:basedOn w:val="810"/>
    <w:qFormat/>
    <w:pPr>
      <w:spacing w:before="120" w:after="120"/>
      <w:suppressLineNumbers/>
    </w:pPr>
    <w:rPr>
      <w:rFonts w:cs="Arial"/>
      <w:i/>
      <w:iCs/>
      <w:sz w:val="24"/>
      <w:szCs w:val="24"/>
    </w:rPr>
  </w:style>
  <w:style w:type="paragraph" w:styleId="816">
    <w:name w:val="Index"/>
    <w:basedOn w:val="810"/>
    <w:qFormat/>
    <w:pPr>
      <w:suppressLineNumbers/>
    </w:pPr>
    <w:rPr>
      <w:rFonts w:cs="Arial"/>
    </w:rPr>
  </w:style>
  <w:style w:type="character" w:styleId="817" w:default="1">
    <w:name w:val="Default Paragraph Font"/>
    <w:uiPriority w:val="1"/>
    <w:semiHidden/>
    <w:unhideWhenUsed/>
  </w:style>
  <w:style w:type="numbering" w:styleId="818" w:default="1">
    <w:name w:val="No List"/>
    <w:uiPriority w:val="99"/>
    <w:semiHidden/>
    <w:unhideWhenUsed/>
  </w:style>
  <w:style w:type="table" w:styleId="81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dlrg.de/informieren/die-dlrg/presse/statistik-ertrink" TargetMode="External"/><Relationship Id="rId9" Type="http://schemas.openxmlformats.org/officeDocument/2006/relationships/hyperlink" Target="https://www.apomio.de/blog/artikel/orthopadie-kraul-rucken-brustschwimmen" TargetMode="External"/><Relationship Id="rId10" Type="http://schemas.openxmlformats.org/officeDocument/2006/relationships/hyperlink" Target="http://www.ab-ins-nass.de/schwimmen-ist-gesund.htm" TargetMode="External"/><Relationship Id="rId11" Type="http://schemas.openxmlformats.org/officeDocument/2006/relationships/hyperlink" Target="https://www.dlrg.de/informieren/freizeit-im-wasser/baderegeln/" TargetMode="External"/><Relationship Id="rId12" Type="http://schemas.openxmlformats.org/officeDocument/2006/relationships/hyperlink" Target="https://www.tandfonline.com/doi/abs/10.1080/00221473.1961.10622080?journalCode=ujrd18&amp;" TargetMode="External"/><Relationship Id="rId13" Type="http://schemas.openxmlformats.org/officeDocument/2006/relationships/hyperlink" Target="https://www.dlrg.de/informieren/die-dlrg/presse/statistik-ertrinken/" TargetMode="External"/><Relationship Id="rId14" Type="http://schemas.openxmlformats.org/officeDocument/2006/relationships/hyperlink" Target="https://www.news.de/panorama/855855403/badeunfaelle-2020-news-ticker-viele-badetote-in-seen-und-fluessen-unfall-statistik-deutschland-besonders-viele-todesopfer-im-augus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 - Schwimmunterricht</dc:title>
  <dc:subject>Schwimmunterricht</dc:subject>
  <dc:creator>Niko W. H.</dc:creator>
  <dc:description>niko-w-h.github.io</dc:description>
  <dc:language>en-US</dc:language>
  <cp:revision>4</cp:revision>
  <dcterms:created xsi:type="dcterms:W3CDTF">2022-06-09T08:08:05Z</dcterms:created>
  <dcterms:modified xsi:type="dcterms:W3CDTF">2022-06-10T19:07:42Z</dcterms:modified>
</cp:coreProperties>
</file>