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2700" cy="2463800"/>
            <wp:effectExtent b="0" l="0" r="0" t="0"/>
            <wp:docPr descr="agh_nzw_s_pl_1w_wbr_rgb_150ppi" id="10" name="image7.jpg"/>
            <a:graphic>
              <a:graphicData uri="http://schemas.openxmlformats.org/drawingml/2006/picture">
                <pic:pic>
                  <pic:nvPicPr>
                    <pic:cNvPr descr="agh_nzw_s_pl_1w_wbr_rgb_150ppi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WYDZIAŁ INFORMATYKI ELEKTRONIKI I TELEKOMUNIKACJI 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0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Dokumentacja projektu: 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i w:val="1"/>
          <w:sz w:val="50"/>
          <w:szCs w:val="50"/>
        </w:rPr>
      </w:pPr>
      <w:r w:rsidDel="00000000" w:rsidR="00000000" w:rsidRPr="00000000">
        <w:rPr>
          <w:i w:val="1"/>
          <w:sz w:val="54"/>
          <w:szCs w:val="54"/>
          <w:rtl w:val="0"/>
        </w:rPr>
        <w:t xml:space="preserve">Sterownik lamp RGB wysokiej mocy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Autor:                    Nikodem Szafran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Przedmiot:            Projektowanie Urządzeń Elektronicznych</w:t>
      </w:r>
    </w:p>
    <w:p w:rsidR="00000000" w:rsidDel="00000000" w:rsidP="00000000" w:rsidRDefault="00000000" w:rsidRPr="00000000" w14:paraId="0000000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Prowadzący:         dr. hab. inż. Cezary Worek</w:t>
      </w:r>
    </w:p>
    <w:p w:rsidR="00000000" w:rsidDel="00000000" w:rsidP="00000000" w:rsidRDefault="00000000" w:rsidRPr="00000000" w14:paraId="0000000E">
      <w:pPr>
        <w:spacing w:before="200" w:line="276" w:lineRule="auto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Spis treści: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1,2,Heading 2,2,Heading 3,3,Heading 4,4,Heading 5,5,Heading 6,6,"</w:instrText>
            <w:fldChar w:fldCharType="separate"/>
          </w:r>
          <w:hyperlink w:anchor="_52javsfmzgr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52javsfmzgr3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Nazwa i wstępny zarys projektu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54fzk1i33605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54fzk1i33605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Omówienie założeń projektowych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5arxdeon6xg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5arxdeon6xg3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Opis funkcji i zasady działania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hh074dhtj4d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h074dhtj4d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h074dhtj4dd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Schemat blokowy z uzasadnieniem doboru komputerów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sahn4e5209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sahn4e5209a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Schemat ideowy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1l4eoa3wc3u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l4eoa3wc3uz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Ewentualne obliczenia i symulacje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is12o0pk8bs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is12o0pk8bsq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PCB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vajteqg5kgz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vajteqg5kgzt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BOM z wyceną pojedynczej płytki oraz dużego wolumenu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200" w:line="276" w:lineRule="auto"/>
            <w:ind w:left="360" w:firstLine="0"/>
            <w:rPr>
              <w:color w:val="000000"/>
              <w:u w:val="none"/>
            </w:rPr>
          </w:pPr>
          <w:hyperlink w:anchor="_3uzcvq55ove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3uzcvq55ovez">
            <w:r w:rsidDel="00000000" w:rsidR="00000000" w:rsidRPr="00000000">
              <w:rPr>
                <w:rFonts w:ascii="Lexend" w:cs="Lexend" w:eastAsia="Lexend" w:hAnsi="Lexend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 Bibliografia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spacing w:before="200"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20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spacing w:after="200" w:before="200" w:line="276" w:lineRule="auto"/>
        <w:rPr/>
      </w:pPr>
      <w:bookmarkStart w:colFirst="0" w:colLast="0" w:name="_52javsfmzgr3" w:id="0"/>
      <w:bookmarkEnd w:id="0"/>
      <w:r w:rsidDel="00000000" w:rsidR="00000000" w:rsidRPr="00000000">
        <w:rPr>
          <w:rtl w:val="0"/>
        </w:rPr>
        <w:t xml:space="preserve"> Nazwa i wstępny zarys projektu</w:t>
      </w:r>
    </w:p>
    <w:p w:rsidR="00000000" w:rsidDel="00000000" w:rsidP="00000000" w:rsidRDefault="00000000" w:rsidRPr="00000000" w14:paraId="00000022">
      <w:p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Nazwa: </w:t>
      </w:r>
      <w:r w:rsidDel="00000000" w:rsidR="00000000" w:rsidRPr="00000000">
        <w:rPr>
          <w:rtl w:val="0"/>
        </w:rPr>
        <w:t xml:space="preserve">Sterownik lamp RGB wysokiej mocy</w:t>
      </w:r>
    </w:p>
    <w:p w:rsidR="00000000" w:rsidDel="00000000" w:rsidP="00000000" w:rsidRDefault="00000000" w:rsidRPr="00000000" w14:paraId="00000023">
      <w:p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Wstępny zarys projektu: </w:t>
      </w:r>
      <w:r w:rsidDel="00000000" w:rsidR="00000000" w:rsidRPr="00000000">
        <w:rPr>
          <w:rtl w:val="0"/>
        </w:rPr>
        <w:br w:type="textWrapping"/>
        <w:tab/>
        <w:t xml:space="preserve">Układ sterujący jasnością i kolorami lamp RGB do 20 W za pomocą PWM, z trybem automatycznego włączania przy określonym natężeniu światła.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spacing w:after="200" w:before="200" w:line="276" w:lineRule="auto"/>
        <w:rPr/>
      </w:pPr>
      <w:bookmarkStart w:colFirst="0" w:colLast="0" w:name="_54fzk1i33605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Omówienie założeń projektowych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200" w:before="20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Sterowanie jasnością i kolorami lamp RGB przy maksymalnym obciążeniu 20 W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20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Modyfikacja parametrów (jasności, kolorów, natężenia światła wymaganego do samodzielnego włączania) software’owo poprzez mikrokontroler z wykorzystaniem sterowania dotykowego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20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Trzy tryby pracy: włączony, wyłączony, samodzielny (sterowany przez natężenie światła padające na fotorezystor)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20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Wyświetlanie informacji zrealizowane za pomocą wyświetlacza typu E-PAPER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20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Ograniczenie realizacji tylko do układu mikrokontrolera i sterowania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5arxdeon6xg3" w:id="2"/>
      <w:bookmarkEnd w:id="2"/>
      <w:r w:rsidDel="00000000" w:rsidR="00000000" w:rsidRPr="00000000">
        <w:rPr>
          <w:rtl w:val="0"/>
        </w:rPr>
        <w:t xml:space="preserve"> Opis funkcji i zasady działania</w:t>
      </w:r>
    </w:p>
    <w:p w:rsidR="00000000" w:rsidDel="00000000" w:rsidP="00000000" w:rsidRDefault="00000000" w:rsidRPr="00000000" w14:paraId="0000002C">
      <w:pPr>
        <w:spacing w:before="200" w:line="276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Opis funkcjonalny: </w:t>
      </w:r>
    </w:p>
    <w:p w:rsidR="00000000" w:rsidDel="00000000" w:rsidP="00000000" w:rsidRDefault="00000000" w:rsidRPr="00000000" w14:paraId="0000002D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Sterownik RGB zaprojektowany jest jako układ umożliwiający sterowanie trzema kanałami lamp RGB o mocy do 20 W, z możliwością dostosowania jasności oraz koloru światła. Układ korzysta z mikrokontrolera STM32F051K6T6, który integruje wszystkie funkcje sterujące. </w:t>
      </w:r>
    </w:p>
    <w:p w:rsidR="00000000" w:rsidDel="00000000" w:rsidP="00000000" w:rsidRDefault="00000000" w:rsidRPr="00000000" w14:paraId="0000002E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Użytkownik ma możliwość konfiguracji trybów pracy i parametrów za pomocą pojemnościowego interfejsu dotykowego (slider i przycisk). </w:t>
      </w:r>
    </w:p>
    <w:p w:rsidR="00000000" w:rsidDel="00000000" w:rsidP="00000000" w:rsidRDefault="00000000" w:rsidRPr="00000000" w14:paraId="0000002F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Informacje o stanie i parametrach pracy wyświetlane są na wyświetlaczu e-papierowym (Waveshare 2.66"). </w:t>
      </w:r>
    </w:p>
    <w:p w:rsidR="00000000" w:rsidDel="00000000" w:rsidP="00000000" w:rsidRDefault="00000000" w:rsidRPr="00000000" w14:paraId="00000030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System dodatkowo posiada tryb automatycznego włączania lampy w zależności od natężenia światła mierzonego przez fotorezystor (PGM5659D).</w:t>
        <w:br w:type="textWrapping"/>
      </w:r>
    </w:p>
    <w:p w:rsidR="00000000" w:rsidDel="00000000" w:rsidP="00000000" w:rsidRDefault="00000000" w:rsidRPr="00000000" w14:paraId="00000031">
      <w:pPr>
        <w:spacing w:before="200" w:line="276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Zasada działania: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Mikrokontroler – serce układu, centralna jednostka sterująca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Odczytuje wartości z fotorezystora za pomocą wbudowanego przetwornika ADC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Generuje sygnały PWM dla każdego z kanałów RGB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Komunikacja z wyświetlaczem E-PAPER za pomocą interfejsu SPI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Obsługa interfejsu dotykowego dzięki modułowi TSC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Programowa realizacja przełączania parametrów za pomocą pojedynczego kliknięcia przycisku dotykowego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before="200" w:line="276" w:lineRule="auto"/>
        <w:ind w:left="2160" w:hanging="360"/>
      </w:pPr>
      <w:r w:rsidDel="00000000" w:rsidR="00000000" w:rsidRPr="00000000">
        <w:rPr>
          <w:rtl w:val="0"/>
        </w:rPr>
        <w:t xml:space="preserve">Programowa realizacja modulacji parametrów dzięki odczytowi wartości na sliderze dotykowym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Programowa zmiana trybu pracy za pomocą szybkiego 3-kliku przycisku, a wyłączenia za pomocą 5-kliku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Tryby pracy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Tryb włączony (ON)</w:t>
      </w:r>
    </w:p>
    <w:p w:rsidR="00000000" w:rsidDel="00000000" w:rsidP="00000000" w:rsidRDefault="00000000" w:rsidRPr="00000000" w14:paraId="0000003C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Lampa świeci zgodnie z ustawionym kolorem i jasnością. Parametry można regulować za pomocą slidera dotykowego.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Tryb wyłączony (OFF)</w:t>
      </w:r>
    </w:p>
    <w:p w:rsidR="00000000" w:rsidDel="00000000" w:rsidP="00000000" w:rsidRDefault="00000000" w:rsidRPr="00000000" w14:paraId="0000003E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Lampa pozostaje wyłączona niezależnie od światła zewnętrznego.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Tryb automatyczny (AUTO)</w:t>
      </w:r>
    </w:p>
    <w:p w:rsidR="00000000" w:rsidDel="00000000" w:rsidP="00000000" w:rsidRDefault="00000000" w:rsidRPr="00000000" w14:paraId="00000040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Mikrokontroler cyklicznie odczytuje wartość z fotorezystora. Jeżeli poziom światła spadnie poniżej ustalonego progu i sytuacja ta utrzyma się przez kilka sekund, lampa się włącza. Gdy natężenie światła znowu wzrośnie – lampa się wyłącza.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Obsługa dotykowa</w:t>
      </w:r>
    </w:p>
    <w:p w:rsidR="00000000" w:rsidDel="00000000" w:rsidP="00000000" w:rsidRDefault="00000000" w:rsidRPr="00000000" w14:paraId="00000042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Slider pojemnościowy służy do płynnej zmiany wartości parametrów potrzebnych do sterowania lampą: jasności, koloru, minimalnego natężenia dla trybu AUTO.</w:t>
      </w:r>
    </w:p>
    <w:p w:rsidR="00000000" w:rsidDel="00000000" w:rsidP="00000000" w:rsidRDefault="00000000" w:rsidRPr="00000000" w14:paraId="00000043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Pojemnościowy przycisk dotykowy: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Pojedynczy klik - przejście do kolejnego parametru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Szybki potrójny klik - zmiana trybu pracy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Szybki pięciokrotny klik - wyłączenie sterownika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Wyświetlacz typu E-PAPER</w:t>
      </w:r>
    </w:p>
    <w:p w:rsidR="00000000" w:rsidDel="00000000" w:rsidP="00000000" w:rsidRDefault="00000000" w:rsidRPr="00000000" w14:paraId="00000048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Wyświetla wszystkie informacje potrzebne dla użytkownika, takie jak: tryb pracy, poziom jasności i kolor RGB, próg aktywacji trybu AUTO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Zasilanie układu</w:t>
      </w:r>
    </w:p>
    <w:p w:rsidR="00000000" w:rsidDel="00000000" w:rsidP="00000000" w:rsidRDefault="00000000" w:rsidRPr="00000000" w14:paraId="0000004A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Układ jest zasilany z zewnętrznego źródła, w założeniu akumulatora lub zasilacza, który dostarcza napięcie wejściowe w zakresie od 2.7 do 4 V. </w:t>
      </w:r>
    </w:p>
    <w:p w:rsidR="00000000" w:rsidDel="00000000" w:rsidP="00000000" w:rsidRDefault="00000000" w:rsidRPr="00000000" w14:paraId="0000004B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Następnie przekształcamy je za pomocą odpowiednich przetwornic: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buck-boost na 3.3V do zasilania mikrokontrolera, wyświetlacza oraz potencjalnie ST-Linka koniecznego przy programowaniu mikrokontrolera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boost na 5V, wytrzymująca obciążenie prądowe 1.5A, zasilająca drivery kanałów LED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Sterowanie lampami RGB</w:t>
      </w:r>
    </w:p>
    <w:p w:rsidR="00000000" w:rsidDel="00000000" w:rsidP="00000000" w:rsidRDefault="00000000" w:rsidRPr="00000000" w14:paraId="0000004F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Trzy kanały PWM z mikrokontrolera sterują wejściami driverów LED, które dają na wyjściu stałe napięcie, zmieniając jedynie wartość prądu, który dostarczają do konkretnego kanału lampy RGB</w:t>
      </w:r>
    </w:p>
    <w:p w:rsidR="00000000" w:rsidDel="00000000" w:rsidP="00000000" w:rsidRDefault="00000000" w:rsidRPr="00000000" w14:paraId="00000050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hh074dhtj4dd" w:id="3"/>
      <w:bookmarkEnd w:id="3"/>
      <w:r w:rsidDel="00000000" w:rsidR="00000000" w:rsidRPr="00000000">
        <w:rPr>
          <w:rtl w:val="0"/>
        </w:rPr>
        <w:t xml:space="preserve">Schemat blokowy z uzasadnieniem doboru komputerów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Zdecydowano się na następujące komponenty (opis tylko ważniejszych):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Mikrokontroler - STM32F051K6T6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niska cena (&lt;15 zł) i szeroka dostępność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12 bitowy ADC</w:t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wbudowany TSC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obsługiwany protokół SPI</w:t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dwa timery obsługujące po 4 kanały PWM</w:t>
      </w:r>
    </w:p>
    <w:p w:rsidR="00000000" w:rsidDel="00000000" w:rsidP="00000000" w:rsidRDefault="00000000" w:rsidRPr="00000000" w14:paraId="0000005A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Dokumentacja: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STM32F051K6T6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Wyświetlacz e-paper - Waveshare 18401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wysoka rozdzielczość 296x152 px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jeden z niewielu dostępnych w magazynach w czasie realizacji projektu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komunikacja po protokole SPI</w:t>
      </w:r>
    </w:p>
    <w:p w:rsidR="00000000" w:rsidDel="00000000" w:rsidP="00000000" w:rsidRDefault="00000000" w:rsidRPr="00000000" w14:paraId="0000005F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Dokumentacja: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Waveshare 18401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3.3 V - buck boost TPS63001DRCT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stabilne napięcie wyjściowe w zakresie napięcia wejściowego od 1.8 do 5.5 V</w:t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wytrzymuje obciążenie do 1.2 A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dobra sprawność energetyczna - minimum 80 % w zakresie Vin</w:t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niewielki prąd spoczynkowy, max. 50 uA</w:t>
      </w:r>
    </w:p>
    <w:p w:rsidR="00000000" w:rsidDel="00000000" w:rsidP="00000000" w:rsidRDefault="00000000" w:rsidRPr="00000000" w14:paraId="00000065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Dokumentacja: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TPS63001DRCT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5 V - boost TLV61070ADBVR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generowanie napięcia wyjściowego do 5.5 V, przy napięciu wejściowym od 0.5 do 5.5 V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sprawność energetyczna w zakresie naszego układu od 90 do 95%</w:t>
      </w:r>
    </w:p>
    <w:p w:rsidR="00000000" w:rsidDel="00000000" w:rsidP="00000000" w:rsidRDefault="00000000" w:rsidRPr="00000000" w14:paraId="00000069">
      <w:pPr>
        <w:numPr>
          <w:ilvl w:val="2"/>
          <w:numId w:val="2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przy generacji 5.5 V na wyjściu jest w stanie wytrzymać obciążenie 1.5 A</w:t>
      </w:r>
    </w:p>
    <w:p w:rsidR="00000000" w:rsidDel="00000000" w:rsidP="00000000" w:rsidRDefault="00000000" w:rsidRPr="00000000" w14:paraId="0000006A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Dokumentacja: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TLV61070ADBVR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Driver LED TPS92201ADRVR</w:t>
      </w:r>
    </w:p>
    <w:p w:rsidR="00000000" w:rsidDel="00000000" w:rsidP="00000000" w:rsidRDefault="00000000" w:rsidRPr="00000000" w14:paraId="0000006C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wytrzymuje napięcie wejściowe 5.5 V</w:t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zapewnia stałe prądy do 1.5 A na wyjściu</w:t>
      </w:r>
    </w:p>
    <w:p w:rsidR="00000000" w:rsidDel="00000000" w:rsidP="00000000" w:rsidRDefault="00000000" w:rsidRPr="00000000" w14:paraId="0000006E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regulacja prądu na wyjściu za pomocą PWM-a</w:t>
      </w:r>
    </w:p>
    <w:p w:rsidR="00000000" w:rsidDel="00000000" w:rsidP="00000000" w:rsidRDefault="00000000" w:rsidRPr="00000000" w14:paraId="0000006F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efektywność energetyczna sięga do 95%</w:t>
      </w:r>
    </w:p>
    <w:p w:rsidR="00000000" w:rsidDel="00000000" w:rsidP="00000000" w:rsidRDefault="00000000" w:rsidRPr="00000000" w14:paraId="00000070">
      <w:pPr>
        <w:numPr>
          <w:ilvl w:val="2"/>
          <w:numId w:val="2"/>
        </w:numPr>
        <w:spacing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bardzo mały prąd spoczynkowy - 1 uA</w:t>
      </w:r>
    </w:p>
    <w:p w:rsidR="00000000" w:rsidDel="00000000" w:rsidP="00000000" w:rsidRDefault="00000000" w:rsidRPr="00000000" w14:paraId="00000071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Dokumentacja: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TPS92201ADRVR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sahn4e5209a" w:id="4"/>
      <w:bookmarkEnd w:id="4"/>
      <w:r w:rsidDel="00000000" w:rsidR="00000000" w:rsidRPr="00000000">
        <w:rPr>
          <w:rtl w:val="0"/>
        </w:rPr>
        <w:t xml:space="preserve"> Schemat ideowy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before="200" w:line="276" w:lineRule="auto"/>
        <w:ind w:left="1440" w:hanging="360"/>
      </w:pPr>
      <w:r w:rsidDel="00000000" w:rsidR="00000000" w:rsidRPr="00000000">
        <w:rPr>
          <w:rtl w:val="0"/>
        </w:rPr>
        <w:t xml:space="preserve">Schemat zasilania</w:t>
      </w:r>
    </w:p>
    <w:p w:rsidR="00000000" w:rsidDel="00000000" w:rsidP="00000000" w:rsidRDefault="00000000" w:rsidRPr="00000000" w14:paraId="00000075">
      <w:pPr>
        <w:spacing w:before="200"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Schemat sterowania i interfejsów</w:t>
      </w:r>
    </w:p>
    <w:p w:rsidR="00000000" w:rsidDel="00000000" w:rsidP="00000000" w:rsidRDefault="00000000" w:rsidRPr="00000000" w14:paraId="0000007F">
      <w:pPr>
        <w:spacing w:before="200"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after="200" w:before="200" w:line="276" w:lineRule="auto"/>
        <w:ind w:firstLine="720"/>
        <w:rPr/>
      </w:pPr>
      <w:bookmarkStart w:colFirst="0" w:colLast="0" w:name="_swscov4a7kt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1l4eoa3wc3uz" w:id="6"/>
      <w:bookmarkEnd w:id="6"/>
      <w:r w:rsidDel="00000000" w:rsidR="00000000" w:rsidRPr="00000000">
        <w:rPr>
          <w:rtl w:val="0"/>
        </w:rPr>
        <w:t xml:space="preserve"> Ewentualne obliczenia i symulacje</w:t>
      </w:r>
    </w:p>
    <w:p w:rsidR="00000000" w:rsidDel="00000000" w:rsidP="00000000" w:rsidRDefault="00000000" w:rsidRPr="00000000" w14:paraId="00000082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Wszystkie opisane poniżej obliczenia i symulacje można znaleźć w repozytorium, w nazwanych analogicznie repozytoriach.</w:t>
      </w:r>
    </w:p>
    <w:p w:rsidR="00000000" w:rsidDel="00000000" w:rsidP="00000000" w:rsidRDefault="00000000" w:rsidRPr="00000000" w14:paraId="00000083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Przez to, że układ miał obsługiwać do 20 W mocy, konieczne było dokładne dobranie elementów, pod kątem obciążenia jakie wytrzymają. Założono, że każdy pojedynczy kanał powinien wytrzymać 6.5 W obciążenia.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LED Driver TPS92201ADRVR</w:t>
      </w:r>
    </w:p>
    <w:p w:rsidR="00000000" w:rsidDel="00000000" w:rsidP="00000000" w:rsidRDefault="00000000" w:rsidRPr="00000000" w14:paraId="00000085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Nasz układ generuje na wyjściu prąd, którego wartość maksymalna zależy od rezystora w pętli sprzężenia zwrotnego (np. R1 na schemacie dla kanału RED).</w:t>
      </w:r>
    </w:p>
    <w:p w:rsidR="00000000" w:rsidDel="00000000" w:rsidP="00000000" w:rsidRDefault="00000000" w:rsidRPr="00000000" w14:paraId="00000086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Zakładając zasilanie 5 V, konieczne było, żeby był w stanie dać na wyjście prąd aż do 1.3 A, po obliczeniach wartość rezystora ustawiono na 75 mΩ, co według obliczeń pozwalało uzyskać prąd maksymalny 1.33 A.</w:t>
      </w:r>
    </w:p>
    <w:p w:rsidR="00000000" w:rsidDel="00000000" w:rsidP="00000000" w:rsidRDefault="00000000" w:rsidRPr="00000000" w14:paraId="00000087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Następnie wyliczono jakie napięcie zasilania trzeba będzie dostarczyć do komponentu, by napięcie utrzymywało się na poziomie 5 V. Wyliczona wartość wynosiła 5.5 V.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boost 5 V TLV61070ADBVR</w:t>
      </w:r>
    </w:p>
    <w:p w:rsidR="00000000" w:rsidDel="00000000" w:rsidP="00000000" w:rsidRDefault="00000000" w:rsidRPr="00000000" w14:paraId="00000089">
      <w:pPr>
        <w:spacing w:before="200" w:line="276" w:lineRule="auto"/>
        <w:ind w:left="0" w:firstLine="0"/>
        <w:rPr/>
      </w:pPr>
      <w:r w:rsidDel="00000000" w:rsidR="00000000" w:rsidRPr="00000000">
        <w:rPr>
          <w:rtl w:val="0"/>
        </w:rPr>
        <w:t xml:space="preserve">Zgodnie z poprzednimi wyliczeniami, przetwornica musiała dostarczać stabilne 5.5 V, konieczne było więc rezystorów do pętli sprzężenia zwrotnego. Po obliczeniu i przesymulowaniu konfiguracji R1 = 820k, R2 = 82k oraz R1 = 787k, R2 = 82, wybrano pierwszą gdyż przetwornica generowała wtedy 5.5 V (a w symulacjach nawet troszkę powyżej tej wartości) na wyjściu.</w:t>
        <w:br w:type="textWrapping"/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2"/>
        </w:numPr>
        <w:spacing w:before="200" w:line="276" w:lineRule="auto"/>
        <w:rPr>
          <w:u w:val="none"/>
        </w:rPr>
      </w:pPr>
      <w:bookmarkStart w:colFirst="0" w:colLast="0" w:name="_is12o0pk8bsq" w:id="7"/>
      <w:bookmarkEnd w:id="7"/>
      <w:r w:rsidDel="00000000" w:rsidR="00000000" w:rsidRPr="00000000">
        <w:rPr>
          <w:rtl w:val="0"/>
        </w:rPr>
        <w:t xml:space="preserve"> PCB</w:t>
      </w:r>
    </w:p>
    <w:p w:rsidR="00000000" w:rsidDel="00000000" w:rsidP="00000000" w:rsidRDefault="00000000" w:rsidRPr="00000000" w14:paraId="0000008B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Jako, że projekt w założeniach nie miał być produktem na rynek przemysłowy, postanowiono w nim na komfort w korzystaniu dla użytkownika, czyli przyjazne i intuicyjne rozmieszczenie elementów oraz zapewnieniu jak najlepszej funkcjonalności interfejsu dotykowego (poprzez umieszczenie ich jak najbliżej mikrokontrolera). Dodatkowo starano się prowadzić jak najkrótsze ścieżki zasilające, by zminimalizować utraty mocy.</w:t>
      </w:r>
    </w:p>
    <w:p w:rsidR="00000000" w:rsidDel="00000000" w:rsidP="00000000" w:rsidRDefault="00000000" w:rsidRPr="00000000" w14:paraId="0000008C">
      <w:pPr>
        <w:spacing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Najważniejsze informacje: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spacing w:before="200" w:line="276" w:lineRule="auto"/>
        <w:ind w:left="1440" w:hanging="360"/>
      </w:pPr>
      <w:r w:rsidDel="00000000" w:rsidR="00000000" w:rsidRPr="00000000">
        <w:rPr>
          <w:rtl w:val="0"/>
        </w:rPr>
        <w:t xml:space="preserve">Wymiary: 80.1 x 103.1 mm (z potencjałem na zmniejszenie bez dużego nakładu pracy)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spacing w:after="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Czterowarstwowa</w:t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Top Layer - sygnałowa</w:t>
      </w:r>
    </w:p>
    <w:p w:rsidR="00000000" w:rsidDel="00000000" w:rsidP="00000000" w:rsidRDefault="00000000" w:rsidRPr="00000000" w14:paraId="00000090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GND Layer - masa</w:t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POWER Layer - rozprowadzenie zasilania</w:t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Bottom Layer - sygnałowa, tu znajduje się też interfejsy dla użytkownika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Projektowana według zasad producenta JLCPCB</w:t>
      </w:r>
    </w:p>
    <w:p w:rsidR="00000000" w:rsidDel="00000000" w:rsidP="00000000" w:rsidRDefault="00000000" w:rsidRPr="00000000" w14:paraId="00000094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Widok płytki w 3D:</w:t>
      </w:r>
    </w:p>
    <w:p w:rsidR="00000000" w:rsidDel="00000000" w:rsidP="00000000" w:rsidRDefault="00000000" w:rsidRPr="00000000" w14:paraId="00000096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00" w:line="276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Górna część płytki w 3D</w:t>
      </w:r>
    </w:p>
    <w:p w:rsidR="00000000" w:rsidDel="00000000" w:rsidP="00000000" w:rsidRDefault="00000000" w:rsidRPr="00000000" w14:paraId="00000098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200" w:line="276" w:lineRule="auto"/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Dolna część płytki w 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Rzuty warstw płytki:</w:t>
      </w:r>
    </w:p>
    <w:p w:rsidR="00000000" w:rsidDel="00000000" w:rsidP="00000000" w:rsidRDefault="00000000" w:rsidRPr="00000000" w14:paraId="000000A5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00" w:line="276" w:lineRule="auto"/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Rzut warstwy Top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00" w:line="276" w:lineRule="auto"/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Rzut warstwy GND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200" w:line="276" w:lineRule="auto"/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Rzut warstwy POWER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00" w:line="276" w:lineRule="auto"/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Rzut warstwy Bottom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00" w:line="276" w:lineRule="auto"/>
        <w:ind w:firstLine="720"/>
        <w:rPr/>
      </w:pPr>
      <w:r w:rsidDel="00000000" w:rsidR="00000000" w:rsidRPr="00000000">
        <w:rPr>
          <w:rtl w:val="0"/>
        </w:rPr>
        <w:t xml:space="preserve">Wszystkie pokazane tu rzuty można znaleźć w repozytorium, w folderze “PCB”</w:t>
        <w:br w:type="textWrapping"/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vajteqg5kgzt" w:id="8"/>
      <w:bookmarkEnd w:id="8"/>
      <w:r w:rsidDel="00000000" w:rsidR="00000000" w:rsidRPr="00000000">
        <w:rPr>
          <w:rtl w:val="0"/>
        </w:rPr>
        <w:t xml:space="preserve">  BOM z wyceną pojedynczej płytki oraz dużego wolumenu </w:t>
      </w:r>
    </w:p>
    <w:p w:rsidR="00000000" w:rsidDel="00000000" w:rsidP="00000000" w:rsidRDefault="00000000" w:rsidRPr="00000000" w14:paraId="000000B2">
      <w:pPr>
        <w:spacing w:before="200" w:line="276" w:lineRule="auto"/>
        <w:ind w:firstLine="720"/>
        <w:rPr/>
      </w:pPr>
      <w:r w:rsidDel="00000000" w:rsidR="00000000" w:rsidRPr="00000000">
        <w:rPr>
          <w:rtl w:val="0"/>
        </w:rPr>
        <w:t xml:space="preserve">Przez obecne rozmiary płytki (tj. 80.1 x 103.1 mm) zalicza się ona do nie-defaultowej fabrykacji przez JLCPCB. Z tego powodu dochodzi “Engineering fees” i opłata ta podnosi cenę płytki o 90 zł (przewyższa to koszt wykonania płytki sześciokrotnie).</w:t>
      </w:r>
    </w:p>
    <w:p w:rsidR="00000000" w:rsidDel="00000000" w:rsidP="00000000" w:rsidRDefault="00000000" w:rsidRPr="00000000" w14:paraId="000000B3">
      <w:pPr>
        <w:spacing w:before="200" w:line="276" w:lineRule="auto"/>
        <w:rPr/>
      </w:pPr>
      <w:r w:rsidDel="00000000" w:rsidR="00000000" w:rsidRPr="00000000">
        <w:rPr>
          <w:rtl w:val="0"/>
        </w:rPr>
        <w:tab/>
        <w:t xml:space="preserve">Zgodnie z informacjami umieszczonymi na stronie JLCPCB nie dokłada tej opłaty, kiedy płytki są mniejsze niż 102 x 102 mm.</w:t>
      </w:r>
    </w:p>
    <w:p w:rsidR="00000000" w:rsidDel="00000000" w:rsidP="00000000" w:rsidRDefault="00000000" w:rsidRPr="00000000" w14:paraId="000000B4">
      <w:pPr>
        <w:spacing w:before="200" w:line="276" w:lineRule="auto"/>
        <w:rPr/>
      </w:pPr>
      <w:r w:rsidDel="00000000" w:rsidR="00000000" w:rsidRPr="00000000">
        <w:rPr>
          <w:rtl w:val="0"/>
        </w:rPr>
        <w:tab/>
        <w:t xml:space="preserve">Zrealizowany layout z łatwością można zmniejszyć, aby płytka nie miała tej opłaty, zatem końcowe wartości nie uwzględniają kosztu “Engineering fees” w wyliczeniach.</w:t>
      </w:r>
    </w:p>
    <w:p w:rsidR="00000000" w:rsidDel="00000000" w:rsidP="00000000" w:rsidRDefault="00000000" w:rsidRPr="00000000" w14:paraId="000000B5">
      <w:pPr>
        <w:spacing w:before="200" w:line="276" w:lineRule="auto"/>
        <w:rPr/>
      </w:pPr>
      <w:r w:rsidDel="00000000" w:rsidR="00000000" w:rsidRPr="00000000">
        <w:rPr>
          <w:rtl w:val="0"/>
        </w:rPr>
        <w:tab/>
        <w:t xml:space="preserve">W wyliczeniach uwzględniono jedynie koszt wytworzenia płytki (bez montażu, testowania itd.)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spacing w:before="200" w:line="276" w:lineRule="auto"/>
        <w:ind w:left="1440" w:hanging="360"/>
      </w:pPr>
      <w:r w:rsidDel="00000000" w:rsidR="00000000" w:rsidRPr="00000000">
        <w:rPr>
          <w:rtl w:val="0"/>
        </w:rPr>
        <w:t xml:space="preserve">Wycena pojedynczej płytki</w:t>
      </w:r>
    </w:p>
    <w:p w:rsidR="00000000" w:rsidDel="00000000" w:rsidP="00000000" w:rsidRDefault="00000000" w:rsidRPr="00000000" w14:paraId="000000B7">
      <w:pPr>
        <w:numPr>
          <w:ilvl w:val="2"/>
          <w:numId w:val="2"/>
        </w:numPr>
        <w:spacing w:after="0"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komponentów: 151,28 zł</w:t>
      </w:r>
    </w:p>
    <w:p w:rsidR="00000000" w:rsidDel="00000000" w:rsidP="00000000" w:rsidRDefault="00000000" w:rsidRPr="00000000" w14:paraId="000000B8">
      <w:pPr>
        <w:numPr>
          <w:ilvl w:val="2"/>
          <w:numId w:val="2"/>
        </w:numPr>
        <w:spacing w:after="0"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płytki: 3,14 zł</w:t>
      </w:r>
    </w:p>
    <w:p w:rsidR="00000000" w:rsidDel="00000000" w:rsidP="00000000" w:rsidRDefault="00000000" w:rsidRPr="00000000" w14:paraId="000000B9">
      <w:pPr>
        <w:numPr>
          <w:ilvl w:val="2"/>
          <w:numId w:val="2"/>
        </w:numPr>
        <w:spacing w:after="0"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sumaryczny: 154,42 zł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0" w:before="200" w:line="276" w:lineRule="auto"/>
        <w:ind w:left="1440" w:hanging="360"/>
      </w:pPr>
      <w:r w:rsidDel="00000000" w:rsidR="00000000" w:rsidRPr="00000000">
        <w:rPr>
          <w:rtl w:val="0"/>
        </w:rPr>
        <w:t xml:space="preserve">Wycena dużego wolumenu (tu 1000 sztuk)</w:t>
      </w:r>
    </w:p>
    <w:p w:rsidR="00000000" w:rsidDel="00000000" w:rsidP="00000000" w:rsidRDefault="00000000" w:rsidRPr="00000000" w14:paraId="000000BB">
      <w:pPr>
        <w:numPr>
          <w:ilvl w:val="2"/>
          <w:numId w:val="2"/>
        </w:numPr>
        <w:spacing w:after="0"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komponentów: 99,30 zł</w:t>
      </w:r>
    </w:p>
    <w:p w:rsidR="00000000" w:rsidDel="00000000" w:rsidP="00000000" w:rsidRDefault="00000000" w:rsidRPr="00000000" w14:paraId="000000BC">
      <w:pPr>
        <w:numPr>
          <w:ilvl w:val="2"/>
          <w:numId w:val="2"/>
        </w:numPr>
        <w:spacing w:after="0"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płytki: 2,11 zł</w:t>
      </w:r>
    </w:p>
    <w:p w:rsidR="00000000" w:rsidDel="00000000" w:rsidP="00000000" w:rsidRDefault="00000000" w:rsidRPr="00000000" w14:paraId="000000BD">
      <w:pPr>
        <w:numPr>
          <w:ilvl w:val="2"/>
          <w:numId w:val="2"/>
        </w:numPr>
        <w:spacing w:before="200" w:line="276" w:lineRule="auto"/>
        <w:ind w:left="2160" w:hanging="36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Koszt sumaryczny: 101,42 zł</w:t>
        <w:br w:type="textWrapping"/>
      </w:r>
    </w:p>
    <w:p w:rsidR="00000000" w:rsidDel="00000000" w:rsidP="00000000" w:rsidRDefault="00000000" w:rsidRPr="00000000" w14:paraId="000000BE">
      <w:pPr>
        <w:spacing w:after="200"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Tabelka z wyliczeniami znajduje się w repozytorium, w folderze “PCB”.</w:t>
      </w:r>
    </w:p>
    <w:p w:rsidR="00000000" w:rsidDel="00000000" w:rsidP="00000000" w:rsidRDefault="00000000" w:rsidRPr="00000000" w14:paraId="000000BF">
      <w:pPr>
        <w:pStyle w:val="Heading1"/>
        <w:numPr>
          <w:ilvl w:val="0"/>
          <w:numId w:val="2"/>
        </w:numPr>
        <w:spacing w:after="200" w:before="200" w:line="276" w:lineRule="auto"/>
        <w:rPr>
          <w:u w:val="none"/>
        </w:rPr>
      </w:pPr>
      <w:bookmarkStart w:colFirst="0" w:colLast="0" w:name="_3uzcvq55ovez" w:id="9"/>
      <w:bookmarkEnd w:id="9"/>
      <w:r w:rsidDel="00000000" w:rsidR="00000000" w:rsidRPr="00000000">
        <w:rPr>
          <w:rtl w:val="0"/>
        </w:rPr>
        <w:t xml:space="preserve"> Bibliografia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spacing w:after="0" w:before="200" w:line="276" w:lineRule="auto"/>
        <w:ind w:left="1440" w:hanging="360"/>
      </w:pPr>
      <w:r w:rsidDel="00000000" w:rsidR="00000000" w:rsidRPr="00000000">
        <w:rPr>
          <w:rtl w:val="0"/>
        </w:rPr>
        <w:t xml:space="preserve">Linki do dokumentacje ważniejszych komponentów podane w punkcie 4. dokumentacji projektu</w:t>
      </w:r>
    </w:p>
    <w:p w:rsidR="00000000" w:rsidDel="00000000" w:rsidP="00000000" w:rsidRDefault="00000000" w:rsidRPr="00000000" w14:paraId="000000C1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buck-boost 3.3 V TPS63001DRCT - przykładowa aplikacja oraz layout</w:t>
      </w:r>
    </w:p>
    <w:p w:rsidR="00000000" w:rsidDel="00000000" w:rsidP="00000000" w:rsidRDefault="00000000" w:rsidRPr="00000000" w14:paraId="000000C2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Przetwornica boost 5 V TLV61070ADBVR - przykładowa aplikacja oraz layout</w:t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Driver LED TPS92201ADRVR - przykładowa aplikacja oraz layout</w:t>
      </w:r>
    </w:p>
    <w:p w:rsidR="00000000" w:rsidDel="00000000" w:rsidP="00000000" w:rsidRDefault="00000000" w:rsidRPr="00000000" w14:paraId="000000C4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Wyświetlacz e-papierowy Waveshare 18401 - przykładowa aplikacja oraz wymiary do zrealizowania footprintu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spacing w:after="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Touch Sensor Controller</w:t>
      </w:r>
    </w:p>
    <w:p w:rsidR="00000000" w:rsidDel="00000000" w:rsidP="00000000" w:rsidRDefault="00000000" w:rsidRPr="00000000" w14:paraId="000000C6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Link1 </w:t>
        </w:r>
      </w:hyperlink>
      <w:r w:rsidDel="00000000" w:rsidR="00000000" w:rsidRPr="00000000">
        <w:rPr>
          <w:rtl w:val="0"/>
        </w:rPr>
        <w:t xml:space="preserve">- dokumentacja opisująca działanie TSC na stronie 7 i 8. Wykorzystano m.in. przykładową aplikacja na schemacie (strona 17) oraz porady dotyczące layoutu na PCB (strona 18)</w:t>
      </w:r>
    </w:p>
    <w:p w:rsidR="00000000" w:rsidDel="00000000" w:rsidP="00000000" w:rsidRDefault="00000000" w:rsidRPr="00000000" w14:paraId="000000C7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Link2</w:t>
        </w:r>
      </w:hyperlink>
      <w:r w:rsidDel="00000000" w:rsidR="00000000" w:rsidRPr="00000000">
        <w:rPr>
          <w:rtl w:val="0"/>
        </w:rPr>
        <w:t xml:space="preserve"> - załączanie gotowych bibliotek zawierające symbole oraz footprinty interfejsów dotykowych</w:t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spacing w:after="0"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Fotorezystor wraz z ADC</w:t>
      </w:r>
    </w:p>
    <w:p w:rsidR="00000000" w:rsidDel="00000000" w:rsidP="00000000" w:rsidRDefault="00000000" w:rsidRPr="00000000" w14:paraId="000000C9">
      <w:pPr>
        <w:numPr>
          <w:ilvl w:val="2"/>
          <w:numId w:val="2"/>
        </w:numPr>
        <w:spacing w:after="0" w:before="200" w:line="276" w:lineRule="auto"/>
        <w:ind w:left="216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Link1</w:t>
        </w:r>
      </w:hyperlink>
      <w:r w:rsidDel="00000000" w:rsidR="00000000" w:rsidRPr="00000000">
        <w:rPr>
          <w:rtl w:val="0"/>
        </w:rPr>
        <w:t xml:space="preserve"> - skorzystano z przykładowej aplikacji dla ADC ze strony 79, rysunku 26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spacing w:before="200"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Materiały z wykładów oraz repozytorium profesora Cezarego Worka, głównego prowadzącego przedmiotu PUE</w:t>
      </w: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i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Lexend" w:cs="Lexend" w:eastAsia="Lexend" w:hAnsi="Lexend"/>
        <w:b w:val="0"/>
        <w:i w:val="1"/>
        <w:sz w:val="28"/>
        <w:szCs w:val="28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exend" w:cs="Lexend" w:eastAsia="Lexend" w:hAnsi="Lexend"/>
        <w:sz w:val="28"/>
        <w:szCs w:val="28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www.altium.com/documentation/altium-designer/designing-with-touch-controls?srsltid=AfmBOorkh53dH4zVsbhSyCZVh9boomqhBQNSVbj5R8PQX9KuK3I6n8G0#sensor-implementation" TargetMode="External"/><Relationship Id="rId21" Type="http://schemas.openxmlformats.org/officeDocument/2006/relationships/hyperlink" Target="https://www.st.com/resource/en/product_training/STM32L4_Peripheral_Touchsense.pdf" TargetMode="External"/><Relationship Id="rId24" Type="http://schemas.openxmlformats.org/officeDocument/2006/relationships/footer" Target="footer1.xml"/><Relationship Id="rId23" Type="http://schemas.openxmlformats.org/officeDocument/2006/relationships/hyperlink" Target="https://www.st.com/resource/en/datasheet/dm00039193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me.eu/Document/e202719f7ea7de7a184ea88bdc3f3b85/WSH-18321.pdf" TargetMode="Externa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.png"/><Relationship Id="rId8" Type="http://schemas.openxmlformats.org/officeDocument/2006/relationships/hyperlink" Target="https://www.tme.eu/Document/44929c35040a10b3c0441ffd961a9f00/STM32F051C4T6.pdf" TargetMode="External"/><Relationship Id="rId11" Type="http://schemas.openxmlformats.org/officeDocument/2006/relationships/hyperlink" Target="https://www.ti.com/lit/ds/symlink/tlv61070a.pdf?ts=1728487589490&amp;ref_url=https%253A%252F%252Fwww.ti.com%252Fproduct%252FTLV61070A" TargetMode="External"/><Relationship Id="rId10" Type="http://schemas.openxmlformats.org/officeDocument/2006/relationships/hyperlink" Target="https://www.ti.com/lit/ds/symlink/tps63001.pdf?ts=1728492256700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ti.com/lit/ds/symlink/tps92201.pdf?ts=1745613611546&amp;ref_url=https%253A%252F%252Fwww.ti.com%252Fproduct%252FTPS92201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