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6.png" ContentType="image/png"/>
  <Override PartName="/word/media/rId32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d656bcc2a3775fd3ed2c642ddd2647a0b2b3d7"/>
      <w:r>
        <w:t xml:space="preserve">Deterministic Layout Bias in a Ring-Oscillator PUF: A Pre-Silicon Study on the Open SKY130 Flow</w:t>
      </w:r>
      <w:bookmarkEnd w:id="20"/>
    </w:p>
    <w:p>
      <w:pPr>
        <w:pStyle w:val="FirstParagraph"/>
      </w:pPr>
      <w:r>
        <w:rPr>
          <w:b/>
        </w:rPr>
        <w:t xml:space="preserve">Nikoloz Demetrashvili</w:t>
      </w:r>
      <w:r>
        <w:t xml:space="preserve"> </w:t>
      </w:r>
      <w:r>
        <w:t xml:space="preserve">· Independent researcher · Georgia</w:t>
      </w:r>
    </w:p>
    <w:p>
      <w:pPr>
        <w:pStyle w:val="BodyText"/>
      </w:pPr>
      <w:r>
        <w:t xml:space="preserve">Draft, 2026-07-22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Ring-oscillator physical unclonable functions (RO-PUFs) rely on manufacturing</w:t>
      </w:r>
      <w:r>
        <w:t xml:space="preserve"> </w:t>
      </w:r>
      <w:r>
        <w:t xml:space="preserve">variation to distinguish nominally identical oscillators. Their physical</w:t>
      </w:r>
      <w:r>
        <w:t xml:space="preserve"> </w:t>
      </w:r>
      <w:r>
        <w:t xml:space="preserve">implementation can also introduce a deterministic frequency pattern. This</w:t>
      </w:r>
      <w:r>
        <w:t xml:space="preserve"> </w:t>
      </w:r>
      <w:r>
        <w:t xml:space="preserve">work isolates that implementation contribution in layouts produced by the</w:t>
      </w:r>
      <w:r>
        <w:t xml:space="preserve"> </w:t>
      </w:r>
      <w:r>
        <w:t xml:space="preserve">OpenLane/OpenROAD flow with the open SKY130 process design kit. Routed</w:t>
      </w:r>
      <w:r>
        <w:t xml:space="preserve"> </w:t>
      </w:r>
      <w:r>
        <w:t xml:space="preserve">netlists and extracted capacitances are simulated at the nominal device</w:t>
      </w:r>
      <w:r>
        <w:t xml:space="preserve"> </w:t>
      </w:r>
      <w:r>
        <w:t xml:space="preserve">corner; no fabricated devices have been measured.</w:t>
      </w:r>
    </w:p>
    <w:p>
      <w:pPr>
        <w:pStyle w:val="BodyText"/>
      </w:pPr>
      <w:r>
        <w:t xml:space="preserve">In an archived dual-arm physical snapshot, the 16 automatically placed</w:t>
      </w:r>
      <w:r>
        <w:t xml:space="preserve"> </w:t>
      </w:r>
      <w:r>
        <w:t xml:space="preserve">oscillators have a 5.4% peak-to-peak nominal post-layout frequency spread.</w:t>
      </w:r>
      <w:r>
        <w:t xml:space="preserve"> </w:t>
      </w:r>
      <w:r>
        <w:t xml:space="preserve">Frequency and total</w:t>
      </w:r>
      <w:r>
        <w:t xml:space="preserve"> </w:t>
      </w:r>
      <w:r>
        <w:t xml:space="preserve">extracted ring capacitance are strongly anticorrelated (Pearson</w:t>
      </w:r>
      <w:r>
        <w:t xml:space="preserve"> </w:t>
      </w:r>
      <w:r>
        <w:rPr>
          <w:i/>
        </w:rPr>
        <w:t xml:space="preserve">r</w:t>
      </w:r>
      <w:r>
        <w:t xml:space="preserve"> </w:t>
      </w:r>
      <w:r>
        <w:t xml:space="preserve">= -0.999). An earlier automatically placed 32-oscillator layout showed an</w:t>
      </w:r>
      <w:r>
        <w:t xml:space="preserve"> </w:t>
      </w:r>
      <w:r>
        <w:t xml:space="preserve">8.8% spread and</w:t>
      </w:r>
      <w:r>
        <w:t xml:space="preserve"> </w:t>
      </w:r>
      <w:r>
        <w:rPr>
          <w:i/>
        </w:rPr>
        <w:t xml:space="preserve">r</w:t>
      </w:r>
      <w:r>
        <w:t xml:space="preserve"> </w:t>
      </w:r>
      <w:r>
        <w:t xml:space="preserve">= -0.997. These results show a sizeable deterministic</w:t>
      </w:r>
      <w:r>
        <w:t xml:space="preserve"> </w:t>
      </w:r>
      <w:r>
        <w:t xml:space="preserve">layout component in these particular routed designs. They do not establish</w:t>
      </w:r>
      <w:r>
        <w:t xml:space="preserve"> </w:t>
      </w:r>
      <w:r>
        <w:t xml:space="preserve">how that component compares with device mismatch across fabricated dies.</w:t>
      </w:r>
    </w:p>
    <w:p>
      <w:pPr>
        <w:pStyle w:val="BodyText"/>
      </w:pPr>
      <w:r>
        <w:t xml:space="preserve">The comparison arm uses 16 instances of one hardened oscillator macro with a</w:t>
      </w:r>
      <w:r>
        <w:t xml:space="preserve"> </w:t>
      </w:r>
      <w:r>
        <w:t xml:space="preserve">common internal layout. One extraction and one nominal post-layout simulation</w:t>
      </w:r>
      <w:r>
        <w:t xml:space="preserve"> </w:t>
      </w:r>
      <w:r>
        <w:t xml:space="preserve">of that macro produce a 569.5 MHz reference result. Repeating that value for</w:t>
      </w:r>
      <w:r>
        <w:t xml:space="preserve"> </w:t>
      </w:r>
      <w:r>
        <w:t xml:space="preserve">the 16 instances in a plot represents their common internal geometry; it is</w:t>
      </w:r>
      <w:r>
        <w:t xml:space="preserve"> </w:t>
      </w:r>
      <w:r>
        <w:t xml:space="preserve">not 16 independent simulations or measurements. The matched construction is</w:t>
      </w:r>
      <w:r>
        <w:t xml:space="preserve"> </w:t>
      </w:r>
      <w:r>
        <w:t xml:space="preserve">intended to suppress internal-layout differences, while top-level routing,</w:t>
      </w:r>
      <w:r>
        <w:t xml:space="preserve"> </w:t>
      </w:r>
      <w:r>
        <w:t xml:space="preserve">process variation, voltage, temperature, ageing, and measurement noise remain</w:t>
      </w:r>
      <w:r>
        <w:t xml:space="preserve"> </w:t>
      </w:r>
      <w:r>
        <w:t xml:space="preserve">to be evaluated.</w:t>
      </w:r>
    </w:p>
    <w:p>
      <w:pPr>
        <w:pStyle w:val="BodyText"/>
      </w:pPr>
      <w:r>
        <w:t xml:space="preserve">The immediate contribution is a repository-traceable pre-fabrication</w:t>
      </w:r>
      <w:r>
        <w:t xml:space="preserve"> </w:t>
      </w:r>
      <w:r>
        <w:t xml:space="preserve">diagnostic for</w:t>
      </w:r>
      <w:r>
        <w:t xml:space="preserve"> </w:t>
      </w:r>
      <w:r>
        <w:t xml:space="preserve">separating nominal layout bias from the intended source of RO-PUF variation.</w:t>
      </w:r>
      <w:r>
        <w:t xml:space="preserve"> </w:t>
      </w:r>
      <w:r>
        <w:t xml:space="preserve">Whether the observed layout pattern repeats across dies, affects uniqueness,</w:t>
      </w:r>
      <w:r>
        <w:t xml:space="preserve"> </w:t>
      </w:r>
      <w:r>
        <w:t xml:space="preserve">or creates a practical prediction attack remains a registered hypothesis for</w:t>
      </w:r>
      <w:r>
        <w:t xml:space="preserve"> </w:t>
      </w:r>
      <w:r>
        <w:t xml:space="preserve">silicon testing.</w:t>
      </w:r>
    </w:p>
    <w:p>
      <w:pPr>
        <w:pStyle w:val="Heading2"/>
      </w:pPr>
      <w:bookmarkStart w:id="22" w:name="introduction"/>
      <w:r>
        <w:t xml:space="preserve">1. Introduction</w:t>
      </w:r>
      <w:bookmarkEnd w:id="22"/>
    </w:p>
    <w:p>
      <w:pPr>
        <w:pStyle w:val="FirstParagraph"/>
      </w:pPr>
      <w:r>
        <w:t xml:space="preserve">An RO-PUF compares the frequencies of nominally identical ring oscillators</w:t>
      </w:r>
      <w:r>
        <w:t xml:space="preserve"> </w:t>
      </w:r>
      <w:r>
        <w:t xml:space="preserve">and converts one or more comparisons into response bits [1]. Ideally, the</w:t>
      </w:r>
      <w:r>
        <w:t xml:space="preserve"> </w:t>
      </w:r>
      <w:r>
        <w:t xml:space="preserve">useful chip-to-chip differences arise from manufacturing variation. In</w:t>
      </w:r>
      <w:r>
        <w:t xml:space="preserve"> </w:t>
      </w:r>
      <w:r>
        <w:t xml:space="preserve">practice, placement and routing can give instances different parasitic loads,</w:t>
      </w:r>
      <w:r>
        <w:t xml:space="preserve"> </w:t>
      </w:r>
      <w:r>
        <w:t xml:space="preserve">adding a deterministic component to the response.</w:t>
      </w:r>
    </w:p>
    <w:p>
      <w:pPr>
        <w:pStyle w:val="BodyText"/>
      </w:pPr>
      <w:r>
        <w:t xml:space="preserve">That distinction matters. A fixed layout pattern is not, by itself, evidence</w:t>
      </w:r>
      <w:r>
        <w:t xml:space="preserve"> </w:t>
      </w:r>
      <w:r>
        <w:t xml:space="preserve">of a security failure: random mismatch may be larger, comparisons may cancel</w:t>
      </w:r>
      <w:r>
        <w:t xml:space="preserve"> </w:t>
      </w:r>
      <w:r>
        <w:t xml:space="preserve">common structure, and response processing may reduce bias. But a</w:t>
      </w:r>
      <w:r>
        <w:t xml:space="preserve"> </w:t>
      </w:r>
      <w:r>
        <w:t xml:space="preserve">layout component that is stable across chips could reduce uniqueness or make</w:t>
      </w:r>
      <w:r>
        <w:t xml:space="preserve"> </w:t>
      </w:r>
      <w:r>
        <w:t xml:space="preserve">some comparisons easier to predict. Establishing either outcome requires</w:t>
      </w:r>
      <w:r>
        <w:t xml:space="preserve"> </w:t>
      </w:r>
      <w:r>
        <w:t xml:space="preserve">measurements from multiple fabricated devices under controlled conditions.</w:t>
      </w:r>
    </w:p>
    <w:p>
      <w:pPr>
        <w:pStyle w:val="BodyText"/>
      </w:pPr>
      <w:r>
        <w:t xml:space="preserve">This paper reports the pre-silicon part of that investigation. It asks a</w:t>
      </w:r>
      <w:r>
        <w:t xml:space="preserve"> </w:t>
      </w:r>
      <w:r>
        <w:t xml:space="preserve">narrow question: how much nominal frequency variation is introduced by the</w:t>
      </w:r>
      <w:r>
        <w:t xml:space="preserve"> </w:t>
      </w:r>
      <w:r>
        <w:t xml:space="preserve">physical implementation of one open-source RO-PUF design, with transistor</w:t>
      </w:r>
      <w:r>
        <w:t xml:space="preserve"> </w:t>
      </w:r>
      <w:r>
        <w:t xml:space="preserve">parameters held fixed? The study contributes:</w:t>
      </w:r>
    </w:p>
    <w:p>
      <w:pPr>
        <w:numPr>
          <w:ilvl w:val="0"/>
          <w:numId w:val="1001"/>
        </w:numPr>
        <w:pStyle w:val="Compact"/>
      </w:pPr>
      <w:r>
        <w:t xml:space="preserve">nominal post-layout results for an automatically placed oscillator array,</w:t>
      </w:r>
      <w:r>
        <w:t xml:space="preserve"> </w:t>
      </w:r>
      <w:r>
        <w:t xml:space="preserve">including an earlier 32-oscillator layout and the 16-oscillator Arm A in an</w:t>
      </w:r>
      <w:r>
        <w:t xml:space="preserve"> </w:t>
      </w:r>
      <w:r>
        <w:t xml:space="preserve">archived dual-arm build;</w:t>
      </w:r>
    </w:p>
    <w:p>
      <w:pPr>
        <w:numPr>
          <w:ilvl w:val="0"/>
          <w:numId w:val="1001"/>
        </w:numPr>
        <w:pStyle w:val="Compact"/>
      </w:pPr>
      <w:r>
        <w:t xml:space="preserve">a capacitance-based explanation for the observed spread in those layouts;</w:t>
      </w:r>
    </w:p>
    <w:p>
      <w:pPr>
        <w:numPr>
          <w:ilvl w:val="0"/>
          <w:numId w:val="1001"/>
        </w:numPr>
        <w:pStyle w:val="Compact"/>
      </w:pPr>
      <w:r>
        <w:t xml:space="preserve">a matched-macro Arm B that gives every instance the same internal geometry;</w:t>
      </w:r>
    </w:p>
    <w:p>
      <w:pPr>
        <w:numPr>
          <w:ilvl w:val="0"/>
          <w:numId w:val="1001"/>
        </w:numPr>
        <w:pStyle w:val="Compact"/>
      </w:pPr>
      <w:r>
        <w:t xml:space="preserve">scripts and checks that allow the same diagnostic to be run before</w:t>
      </w:r>
      <w:r>
        <w:t xml:space="preserve"> </w:t>
      </w:r>
      <w:r>
        <w:t xml:space="preserve">fabrication; and</w:t>
      </w:r>
    </w:p>
    <w:p>
      <w:pPr>
        <w:numPr>
          <w:ilvl w:val="0"/>
          <w:numId w:val="1001"/>
        </w:numPr>
        <w:pStyle w:val="Compact"/>
      </w:pPr>
      <w:r>
        <w:t xml:space="preserve">explicit hypotheses and measurement requirements for the later silicon</w:t>
      </w:r>
      <w:r>
        <w:t xml:space="preserve"> </w:t>
      </w:r>
      <w:r>
        <w:t xml:space="preserve">study.</w:t>
      </w:r>
    </w:p>
    <w:p>
      <w:pPr>
        <w:pStyle w:val="FirstParagraph"/>
      </w:pPr>
      <w:r>
        <w:t xml:space="preserve">The findings are deliberately limited to the routed layouts and simulation</w:t>
      </w:r>
      <w:r>
        <w:t xml:space="preserve"> </w:t>
      </w:r>
      <w:r>
        <w:t xml:space="preserve">model described here. They are predictions about nominal implementation</w:t>
      </w:r>
      <w:r>
        <w:t xml:space="preserve"> </w:t>
      </w:r>
      <w:r>
        <w:t xml:space="preserve">effects, not measurements of fabricated PUF entropy, reliability, uniqueness,</w:t>
      </w:r>
      <w:r>
        <w:t xml:space="preserve"> </w:t>
      </w:r>
      <w:r>
        <w:t xml:space="preserve">or attack success.</w:t>
      </w:r>
    </w:p>
    <w:p>
      <w:pPr>
        <w:pStyle w:val="Heading2"/>
      </w:pPr>
      <w:bookmarkStart w:id="23" w:name="background-and-related-work"/>
      <w:r>
        <w:t xml:space="preserve">2. Background and related work</w:t>
      </w:r>
      <w:bookmarkEnd w:id="23"/>
    </w:p>
    <w:p>
      <w:pPr>
        <w:pStyle w:val="FirstParagraph"/>
      </w:pPr>
      <w:r>
        <w:t xml:space="preserve">Suh and Devadas introduced the widely used RO-PUF construction [1]. Maiti and</w:t>
      </w:r>
      <w:r>
        <w:t xml:space="preserve"> </w:t>
      </w:r>
      <w:r>
        <w:t xml:space="preserve">Schaumont examined improved ring-oscillator PUF designs and compensation for</w:t>
      </w:r>
      <w:r>
        <w:t xml:space="preserve"> </w:t>
      </w:r>
      <w:r>
        <w:t xml:space="preserve">systematic effects [2], while later FPGA studies mapped spatial variation and</w:t>
      </w:r>
      <w:r>
        <w:t xml:space="preserve"> </w:t>
      </w:r>
      <w:r>
        <w:t xml:space="preserve">studied placement-dependent behaviour [3, 5]. Other work has proposed</w:t>
      </w:r>
      <w:r>
        <w:t xml:space="preserve"> </w:t>
      </w:r>
      <w:r>
        <w:t xml:space="preserve">statistical bias reduction, configurable structures, and placement-aware</w:t>
      </w:r>
      <w:r>
        <w:t xml:space="preserve"> </w:t>
      </w:r>
      <w:r>
        <w:t xml:space="preserve">designs [5-8]. Katzenbeisser et al. evaluated several PUF constructions,</w:t>
      </w:r>
      <w:r>
        <w:t xml:space="preserve"> </w:t>
      </w:r>
      <w:r>
        <w:t xml:space="preserve">including ring oscillators, across 96 ASICs [12].</w:t>
      </w:r>
    </w:p>
    <w:p>
      <w:pPr>
        <w:pStyle w:val="BodyText"/>
      </w:pPr>
      <w:r>
        <w:t xml:space="preserve">Prior literature does not support the simple rule that any spatial or</w:t>
      </w:r>
      <w:r>
        <w:t xml:space="preserve"> </w:t>
      </w:r>
      <w:r>
        <w:t xml:space="preserve">systematic structure makes an RO-PUF predictable. In particular, Wilde,</w:t>
      </w:r>
      <w:r>
        <w:t xml:space="preserve"> </w:t>
      </w:r>
      <w:r>
        <w:t xml:space="preserve">Hiller, and Pehl found that adjacent-oscillator comparisons reduced exploitable</w:t>
      </w:r>
      <w:r>
        <w:t xml:space="preserve"> </w:t>
      </w:r>
      <w:r>
        <w:t xml:space="preserve">spatial structure in their data and that estimated covariance was too small</w:t>
      </w:r>
      <w:r>
        <w:t xml:space="preserve"> </w:t>
      </w:r>
      <w:r>
        <w:t xml:space="preserve">for their proposed predictor to outperform the relevant baseline [4]. That is</w:t>
      </w:r>
      <w:r>
        <w:t xml:space="preserve"> </w:t>
      </w:r>
      <w:r>
        <w:t xml:space="preserve">important counterevidence: layout bias must be evaluated together with the</w:t>
      </w:r>
      <w:r>
        <w:t xml:space="preserve"> </w:t>
      </w:r>
      <w:r>
        <w:t xml:space="preserve">comparison scheme, mismatch distribution, sampling plan, and attacker model.</w:t>
      </w:r>
    </w:p>
    <w:p>
      <w:pPr>
        <w:pStyle w:val="BodyText"/>
      </w:pPr>
      <w:r>
        <w:t xml:space="preserve">Open-source ASIC flows make a useful additional experiment possible. The</w:t>
      </w:r>
      <w:r>
        <w:t xml:space="preserve"> </w:t>
      </w:r>
      <w:r>
        <w:t xml:space="preserve">designer can inspect the routed netlist and parasitic extraction before</w:t>
      </w:r>
      <w:r>
        <w:t xml:space="preserve"> </w:t>
      </w:r>
      <w:r>
        <w:t xml:space="preserve">fabrication, rather than treating the physical implementation as opaque.</w:t>
      </w:r>
      <w:r>
        <w:t xml:space="preserve"> </w:t>
      </w:r>
      <w:r>
        <w:t xml:space="preserve">OpenLane/OpenROAD [9] and the open SKY130 PDK [10] provide that setting, and a</w:t>
      </w:r>
      <w:r>
        <w:t xml:space="preserve"> </w:t>
      </w:r>
      <w:r>
        <w:t xml:space="preserve">separate TinyTapeout RO-PUF project demonstrates the general feasibility of</w:t>
      </w:r>
      <w:r>
        <w:t xml:space="preserve"> </w:t>
      </w:r>
      <w:r>
        <w:t xml:space="preserve">the circuit family in the same ecosystem [11]. The present work focuses on a</w:t>
      </w:r>
      <w:r>
        <w:t xml:space="preserve"> </w:t>
      </w:r>
      <w:r>
        <w:t xml:space="preserve">specific missing measurement: the nominal frequency component associated with</w:t>
      </w:r>
      <w:r>
        <w:t xml:space="preserve"> </w:t>
      </w:r>
      <w:r>
        <w:t xml:space="preserve">instance-dependent routing in one automated layout.</w:t>
      </w:r>
    </w:p>
    <w:p>
      <w:pPr>
        <w:pStyle w:val="Heading2"/>
      </w:pPr>
      <w:bookmarkStart w:id="24" w:name="design-under-test"/>
      <w:r>
        <w:t xml:space="preserve">3. Design under test</w:t>
      </w:r>
      <w:bookmarkEnd w:id="24"/>
    </w:p>
    <w:p>
      <w:pPr>
        <w:pStyle w:val="FirstParagraph"/>
      </w:pPr>
      <w:r>
        <w:t xml:space="preserve">The current candidate,</w:t>
      </w:r>
      <w:r>
        <w:t xml:space="preserve"> </w:t>
      </w:r>
      <w:r>
        <w:rPr>
          <w:rStyle w:val="VerbatimChar"/>
        </w:rPr>
        <w:t xml:space="preserve">tt_um_nikodemetrashvili20_ro_puf</w:t>
      </w:r>
      <w:r>
        <w:t xml:space="preserve">, occupies a</w:t>
      </w:r>
      <w:r>
        <w:t xml:space="preserve"> </w:t>
      </w:r>
      <w:r>
        <w:t xml:space="preserve">TinyTapeout 2x2 tile. It contains two 16-oscillator arms and a shared serial</w:t>
      </w:r>
      <w:r>
        <w:t xml:space="preserve"> </w:t>
      </w:r>
      <w:r>
        <w:t xml:space="preserve">measurement core. The core enables one oscillator at a time and counts its</w:t>
      </w:r>
      <w:r>
        <w:t xml:space="preserve"> </w:t>
      </w:r>
      <w:r>
        <w:t xml:space="preserve">edges over a fixed window.</w:t>
      </w:r>
    </w:p>
    <w:p>
      <w:pPr>
        <w:pStyle w:val="BodyText"/>
      </w:pPr>
      <w:r>
        <w:t xml:space="preserve">The nominal dual-arm physical results below come from an archived build of an</w:t>
      </w:r>
      <w:r>
        <w:t xml:space="preserve"> </w:t>
      </w:r>
      <w:r>
        <w:t xml:space="preserve">earlier RTL revision. The current RTL adds synchronized controls, selector</w:t>
      </w:r>
      <w:r>
        <w:t xml:space="preserve"> </w:t>
      </w:r>
      <w:r>
        <w:t xml:space="preserve">latching, and a stopped-counter stability handshake. Because those changes can</w:t>
      </w:r>
      <w:r>
        <w:t xml:space="preserve"> </w:t>
      </w:r>
      <w:r>
        <w:t xml:space="preserve">alter placement and routing, the archived render, SPEF, metrics, and 5.4%</w:t>
      </w:r>
      <w:r>
        <w:t xml:space="preserve"> </w:t>
      </w:r>
      <w:r>
        <w:t xml:space="preserve">result must not be treated as the current candidate’s physical signoff.</w:t>
      </w:r>
    </w:p>
    <w:p>
      <w:pPr>
        <w:pStyle w:val="BodyText"/>
      </w:pPr>
      <w:r>
        <w:t xml:space="preserve">Each oscillator is a 31-stage ring built from SKY130 standard cells: an enable</w:t>
      </w:r>
      <w:r>
        <w:t xml:space="preserve"> </w:t>
      </w:r>
      <w:r>
        <w:t xml:space="preserve">NAND, 30 inverters, and an isolating output buffer tapped near the middle of</w:t>
      </w:r>
      <w:r>
        <w:t xml:space="preserve"> </w:t>
      </w:r>
      <w:r>
        <w:t xml:space="preserve">the chain. A nominal pre-layout SPICE control is approximately 633 MHz. Arm A</w:t>
      </w:r>
      <w:r>
        <w:t xml:space="preserve"> </w:t>
      </w:r>
      <w:r>
        <w:t xml:space="preserve">allows the normal flow to place and route each oscillator. Arm B instantiates</w:t>
      </w:r>
      <w:r>
        <w:t xml:space="preserve"> </w:t>
      </w:r>
      <w:r>
        <w:t xml:space="preserve">16 copies of one hardened oscillator macro on a regular grid. The logical</w:t>
      </w:r>
      <w:r>
        <w:t xml:space="preserve"> </w:t>
      </w:r>
      <w:r>
        <w:t xml:space="preserve">oscillator is the same in both arms; the physical implementation method is the</w:t>
      </w:r>
      <w:r>
        <w:t xml:space="preserve"> </w:t>
      </w:r>
      <w:r>
        <w:t xml:space="preserve">experimental variable.</w:t>
      </w:r>
    </w:p>
    <w:p>
      <w:pPr>
        <w:pStyle w:val="BodyText"/>
      </w:pPr>
      <w:r>
        <w:t xml:space="preserve">Figure 1 summarizes the design. The comparison is not a claim that the two</w:t>
      </w:r>
      <w:r>
        <w:t xml:space="preserve"> </w:t>
      </w:r>
      <w:r>
        <w:t xml:space="preserve">arms are otherwise perfect experimental twins. Arm B has a macro boundary and</w:t>
      </w:r>
      <w:r>
        <w:t xml:space="preserve"> </w:t>
      </w:r>
      <w:r>
        <w:t xml:space="preserve">different top-level connectivity, and those differences must be considered</w:t>
      </w:r>
      <w:r>
        <w:t xml:space="preserve"> </w:t>
      </w:r>
      <w:r>
        <w:t xml:space="preserve">when interpreting both simulation and future measurements.</w:t>
      </w:r>
    </w:p>
    <w:p>
      <w:pPr>
        <w:pStyle w:val="CaptionedFigure"/>
      </w:pPr>
      <w:r>
        <w:drawing>
          <wp:inline>
            <wp:extent cx="5334000" cy="2712638"/>
            <wp:effectExtent b="0" l="0" r="0" t="0"/>
            <wp:docPr descr="Figure 1. Block diagram of the two-arm design. Arm A lets the flow place and route each oscillator separately; Arm B repeats one hardened macro with common internal geometry." title="" id="1" name="Picture"/>
            <a:graphic>
              <a:graphicData uri="http://schemas.openxmlformats.org/drawingml/2006/picture">
                <pic:pic>
                  <pic:nvPicPr>
                    <pic:cNvPr descr="figures/chip_bloc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Block diagram of the two-arm design. Arm A lets the flow place and route each oscillator separately; Arm B repeats one hardened macro with common internal geometry.</w:t>
      </w:r>
    </w:p>
    <w:p>
      <w:pPr>
        <w:pStyle w:val="Heading2"/>
      </w:pPr>
      <w:bookmarkStart w:id="26" w:name="method"/>
      <w:r>
        <w:t xml:space="preserve">4. Method</w:t>
      </w:r>
      <w:bookmarkEnd w:id="26"/>
    </w:p>
    <w:p>
      <w:pPr>
        <w:pStyle w:val="Heading3"/>
      </w:pPr>
      <w:bookmarkStart w:id="27" w:name="extraction-and-deck-generation"/>
      <w:r>
        <w:t xml:space="preserve">4.1 Extraction and deck generation</w:t>
      </w:r>
      <w:bookmarkEnd w:id="27"/>
    </w:p>
    <w:p>
      <w:pPr>
        <w:pStyle w:val="FirstParagraph"/>
      </w:pPr>
      <w:r>
        <w:t xml:space="preserve">The flow starts from the routed gate-level netlist and the OpenROAD SPEF at the</w:t>
      </w:r>
      <w:r>
        <w:t xml:space="preserve"> </w:t>
      </w:r>
      <w:r>
        <w:t xml:space="preserve">nominal corner. A generator identifies each oscillator and adds the total</w:t>
      </w:r>
      <w:r>
        <w:t xml:space="preserve"> </w:t>
      </w:r>
      <w:r>
        <w:t xml:space="preserve">extracted capacitance from each ring net’s SPEF</w:t>
      </w:r>
      <w:r>
        <w:t xml:space="preserve"> </w:t>
      </w:r>
      <w:r>
        <w:rPr>
          <w:rStyle w:val="VerbatimChar"/>
        </w:rPr>
        <w:t xml:space="preserve">*D_NET</w:t>
      </w:r>
      <w:r>
        <w:t xml:space="preserve"> </w:t>
      </w:r>
      <w:r>
        <w:t xml:space="preserve">record as a lumped</w:t>
      </w:r>
      <w:r>
        <w:t xml:space="preserve"> </w:t>
      </w:r>
      <w:r>
        <w:t xml:space="preserve">load. It produces two ngspice decks per automatically placed oscillator:</w:t>
      </w:r>
    </w:p>
    <w:p>
      <w:pPr>
        <w:numPr>
          <w:ilvl w:val="0"/>
          <w:numId w:val="1002"/>
        </w:numPr>
        <w:pStyle w:val="Compact"/>
      </w:pPr>
      <w:r>
        <w:t xml:space="preserve">a control deck without extracted parasitic capacitance; and</w:t>
      </w:r>
    </w:p>
    <w:p>
      <w:pPr>
        <w:numPr>
          <w:ilvl w:val="0"/>
          <w:numId w:val="1002"/>
        </w:numPr>
        <w:pStyle w:val="Compact"/>
      </w:pPr>
      <w:r>
        <w:t xml:space="preserve">a post-layout deck with the extracted ring-net capacitances.</w:t>
      </w:r>
    </w:p>
    <w:p>
      <w:pPr>
        <w:pStyle w:val="FirstParagraph"/>
      </w:pPr>
      <w:r>
        <w:t xml:space="preserve">The device models remain nominal. This isolates the modelled layout</w:t>
      </w:r>
      <w:r>
        <w:t xml:space="preserve"> </w:t>
      </w:r>
      <w:r>
        <w:t xml:space="preserve">contribution rather than attempting to simulate the population distribution</w:t>
      </w:r>
      <w:r>
        <w:t xml:space="preserve"> </w:t>
      </w:r>
      <w:r>
        <w:t xml:space="preserve">of fabricated parts.</w:t>
      </w:r>
    </w:p>
    <w:p>
      <w:pPr>
        <w:pStyle w:val="BodyText"/>
      </w:pPr>
      <w:r>
        <w:t xml:space="preserve">For the matched arm, the hardened oscillator macro is extracted and simulated</w:t>
      </w:r>
      <w:r>
        <w:t xml:space="preserve"> </w:t>
      </w:r>
      <w:r>
        <w:t xml:space="preserve">once. Because the 16 macro instances use the same internal GDS geometry, that</w:t>
      </w:r>
      <w:r>
        <w:t xml:space="preserve"> </w:t>
      </w:r>
      <w:r>
        <w:t xml:space="preserve">single result is a useful internal-layout reference. It does not include 16</w:t>
      </w:r>
      <w:r>
        <w:t xml:space="preserve"> </w:t>
      </w:r>
      <w:r>
        <w:t xml:space="preserve">independent mismatch draws, instance-specific top-level parasitics, or 16</w:t>
      </w:r>
      <w:r>
        <w:t xml:space="preserve"> </w:t>
      </w:r>
      <w:r>
        <w:t xml:space="preserve">separate observations.</w:t>
      </w:r>
    </w:p>
    <w:p>
      <w:pPr>
        <w:pStyle w:val="Heading3"/>
      </w:pPr>
      <w:bookmarkStart w:id="28" w:name="approximation-and-startup"/>
      <w:r>
        <w:t xml:space="preserve">4.2 Approximation and startup</w:t>
      </w:r>
      <w:bookmarkEnd w:id="28"/>
    </w:p>
    <w:p>
      <w:pPr>
        <w:pStyle w:val="FirstParagraph"/>
      </w:pPr>
      <w:r>
        <w:t xml:space="preserve">Only one oscillator is intended to run at a time. The present decks therefore</w:t>
      </w:r>
      <w:r>
        <w:t xml:space="preserve"> </w:t>
      </w:r>
      <w:r>
        <w:t xml:space="preserve">use total capacitance as a lumped load and omit distributed wire resistance.</w:t>
      </w:r>
      <w:r>
        <w:t xml:space="preserve"> </w:t>
      </w:r>
      <w:r>
        <w:t xml:space="preserve">This is a modelling choice, not a sign-off guarantee. Coupling activity,</w:t>
      </w:r>
      <w:r>
        <w:t xml:space="preserve"> </w:t>
      </w:r>
      <w:r>
        <w:t xml:space="preserve">distributed RC, supply-network interaction, package effects, and substrate</w:t>
      </w:r>
      <w:r>
        <w:t xml:space="preserve"> </w:t>
      </w:r>
      <w:r>
        <w:t xml:space="preserve">effects are not represented in full. The relative nominal results are more</w:t>
      </w:r>
      <w:r>
        <w:t xml:space="preserve"> </w:t>
      </w:r>
      <w:r>
        <w:t xml:space="preserve">informative than the absolute frequency prediction.</w:t>
      </w:r>
    </w:p>
    <w:p>
      <w:pPr>
        <w:pStyle w:val="BodyText"/>
      </w:pPr>
      <w:r>
        <w:t xml:space="preserve">Each oscillator starts disabled and is then enabled, which injects the</w:t>
      </w:r>
      <w:r>
        <w:t xml:space="preserve"> </w:t>
      </w:r>
      <w:r>
        <w:t xml:space="preserve">transition needed for startup. Frequency is measured over 20 periods after</w:t>
      </w:r>
      <w:r>
        <w:t xml:space="preserve"> </w:t>
      </w:r>
      <w:r>
        <w:t xml:space="preserve">enable. This procedure avoids a previously observed simulation artefact in</w:t>
      </w:r>
      <w:r>
        <w:t xml:space="preserve"> </w:t>
      </w:r>
      <w:r>
        <w:t xml:space="preserve">which an artificial initial condition excited an unintended ring mode.</w:t>
      </w:r>
    </w:p>
    <w:p>
      <w:pPr>
        <w:pStyle w:val="Heading3"/>
      </w:pPr>
      <w:bookmarkStart w:id="29" w:name="reported-statistics"/>
      <w:r>
        <w:t xml:space="preserve">4.3 Reported statistics</w:t>
      </w:r>
      <w:bookmarkEnd w:id="29"/>
    </w:p>
    <w:p>
      <w:pPr>
        <w:pStyle w:val="FirstParagraph"/>
      </w:pPr>
      <w:r>
        <w:t xml:space="preserve">For each automatically placed array, the analysis reports mean, sample</w:t>
      </w:r>
      <w:r>
        <w:t xml:space="preserve"> </w:t>
      </w:r>
      <w:r>
        <w:t xml:space="preserve">standard deviation, range, peak-to-peak range divided by the mean, and Pearson</w:t>
      </w:r>
      <w:r>
        <w:t xml:space="preserve"> </w:t>
      </w:r>
      <w:r>
        <w:t xml:space="preserve">correlation between frequency and extracted ring capacitance. The oscillator</w:t>
      </w:r>
      <w:r>
        <w:t xml:space="preserve"> </w:t>
      </w:r>
      <w:r>
        <w:t xml:space="preserve">instances within one routed design are not independent samples from a chip</w:t>
      </w:r>
      <w:r>
        <w:t xml:space="preserve"> </w:t>
      </w:r>
      <w:r>
        <w:t xml:space="preserve">population. Consequently, the reported correlations are descriptive for that</w:t>
      </w:r>
      <w:r>
        <w:t xml:space="preserve"> </w:t>
      </w:r>
      <w:r>
        <w:t xml:space="preserve">layout; no population confidence interval or across-die inference is claimed.</w:t>
      </w:r>
    </w:p>
    <w:p>
      <w:pPr>
        <w:pStyle w:val="Heading2"/>
      </w:pPr>
      <w:bookmarkStart w:id="30" w:name="automatically-placed-arrays"/>
      <w:r>
        <w:t xml:space="preserve">5. Automatically placed arrays</w:t>
      </w:r>
      <w:bookmarkEnd w:id="30"/>
    </w:p>
    <w:p>
      <w:pPr>
        <w:pStyle w:val="Heading3"/>
      </w:pPr>
      <w:bookmarkStart w:id="31" w:name="earlier-32-oscillator-layout"/>
      <w:r>
        <w:t xml:space="preserve">5.1 Earlier 32-oscillator layout</w:t>
      </w:r>
      <w:bookmarkEnd w:id="31"/>
    </w:p>
    <w:p>
      <w:pPr>
        <w:pStyle w:val="FirstParagraph"/>
      </w:pPr>
      <w:r>
        <w:t xml:space="preserve">The earlier build automatically placed all 32 oscillators. In the no-parasitic</w:t>
      </w:r>
      <w:r>
        <w:t xml:space="preserve"> </w:t>
      </w:r>
      <w:r>
        <w:t xml:space="preserve">control, the decks produced the same nominal frequency, approximately</w:t>
      </w:r>
      <w:r>
        <w:t xml:space="preserve"> </w:t>
      </w:r>
      <w:r>
        <w:t xml:space="preserve">633.640 MHz. With extracted capacitance, the mean was 567.6 MHz and the sample</w:t>
      </w:r>
      <w:r>
        <w:t xml:space="preserve"> </w:t>
      </w:r>
      <w:r>
        <w:t xml:space="preserve">standard deviation was 10.9 MHz. Frequencies ranged from approximately 539 to</w:t>
      </w:r>
      <w:r>
        <w:t xml:space="preserve"> </w:t>
      </w:r>
      <w:r>
        <w:t xml:space="preserve">589 MHz, a 50.2 MHz or 8.8% peak-to-peak spread relative to the mean.</w:t>
      </w:r>
    </w:p>
    <w:p>
      <w:pPr>
        <w:pStyle w:val="BodyText"/>
      </w:pPr>
      <w:r>
        <w:t xml:space="preserve">Extracted ring capacitance ranged from 7.4 to 17.8 fF. Frequency and</w:t>
      </w:r>
      <w:r>
        <w:t xml:space="preserve"> </w:t>
      </w:r>
      <w:r>
        <w:t xml:space="preserve">capacitance had Pearson</w:t>
      </w:r>
      <w:r>
        <w:t xml:space="preserve"> </w:t>
      </w:r>
      <w:r>
        <w:rPr>
          <w:i/>
        </w:rPr>
        <w:t xml:space="preserve">r</w:t>
      </w:r>
      <w:r>
        <w:t xml:space="preserve"> </w:t>
      </w:r>
      <w:r>
        <w:t xml:space="preserve">= -0.997, with a fitted slope of approximately</w:t>
      </w:r>
      <w:r>
        <w:t xml:space="preserve"> </w:t>
      </w:r>
      <w:r>
        <w:t xml:space="preserve">-4.93 MHz/fF (Figure 2a). Correlations with simple placement coordinates were</w:t>
      </w:r>
      <w:r>
        <w:t xml:space="preserve"> </w:t>
      </w:r>
      <w:r>
        <w:t xml:space="preserve">smaller in magnitude (|</w:t>
      </w:r>
      <w:r>
        <w:rPr>
          <w:i/>
        </w:rPr>
        <w:t xml:space="preserve">r</w:t>
      </w:r>
      <w:r>
        <w:t xml:space="preserve">| &lt; 0.27; Figure 2b). For this layout and model, the</w:t>
      </w:r>
      <w:r>
        <w:t xml:space="preserve"> </w:t>
      </w:r>
      <w:r>
        <w:t xml:space="preserve">result is consistent with instance-specific routing load rather than a simple</w:t>
      </w:r>
      <w:r>
        <w:t xml:space="preserve"> </w:t>
      </w:r>
      <w:r>
        <w:t xml:space="preserve">die-wide spatial gradient.</w:t>
      </w:r>
    </w:p>
    <w:p>
      <w:pPr>
        <w:pStyle w:val="CaptionedFigure"/>
      </w:pPr>
      <w:r>
        <w:drawing>
          <wp:inline>
            <wp:extent cx="5334000" cy="2264727"/>
            <wp:effectExtent b="0" l="0" r="0" t="0"/>
            <wp:docPr descr="Figure 2. Nominal post-layout results for the earlier 32-oscillator automatically placed layout: frequency versus extracted ring capacitance, with the no-parasitic control, and a spatial frequency map." title="" id="1" name="Picture"/>
            <a:graphic>
              <a:graphicData uri="http://schemas.openxmlformats.org/drawingml/2006/picture">
                <pic:pic>
                  <pic:nvPicPr>
                    <pic:cNvPr descr="../sim/spice/gono/ro_gon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Nominal post-layout results for the earlier 32-oscillator automatically placed layout: frequency versus extracted ring capacitance, with the no-parasitic control, and a spatial frequency map.</w:t>
      </w:r>
    </w:p>
    <w:p>
      <w:pPr>
        <w:pStyle w:val="Heading3"/>
      </w:pPr>
      <w:bookmarkStart w:id="33" w:name="archived-dual-arm-arm-a"/>
      <w:r>
        <w:t xml:space="preserve">5.2 Archived dual-arm Arm A</w:t>
      </w:r>
      <w:bookmarkEnd w:id="33"/>
    </w:p>
    <w:p>
      <w:pPr>
        <w:pStyle w:val="FirstParagraph"/>
      </w:pPr>
      <w:r>
        <w:t xml:space="preserve">The archived dual-arm layout contains 16 automatically placed oscillators in</w:t>
      </w:r>
      <w:r>
        <w:t xml:space="preserve"> </w:t>
      </w:r>
      <w:r>
        <w:t xml:space="preserve">Arm A. Its nominal post-layout frequencies have a mean of 551.7 MHz and a</w:t>
      </w:r>
      <w:r>
        <w:t xml:space="preserve"> </w:t>
      </w:r>
      <w:r>
        <w:t xml:space="preserve">29.7 MHz peak-to-peak range, or 5.4% of the mean. Frequency and extracted</w:t>
      </w:r>
      <w:r>
        <w:t xml:space="preserve"> </w:t>
      </w:r>
      <w:r>
        <w:t xml:space="preserve">ring capacitance have Pearson</w:t>
      </w:r>
      <w:r>
        <w:t xml:space="preserve"> </w:t>
      </w:r>
      <w:r>
        <w:rPr>
          <w:i/>
        </w:rPr>
        <w:t xml:space="preserve">r</w:t>
      </w:r>
      <w:r>
        <w:t xml:space="preserve"> </w:t>
      </w:r>
      <w:r>
        <w:t xml:space="preserve">= -0.999 (Figure 4).</w:t>
      </w:r>
    </w:p>
    <w:p>
      <w:pPr>
        <w:pStyle w:val="BodyText"/>
      </w:pPr>
      <w:r>
        <w:t xml:space="preserve">The earlier and archived dual-arm layouts do not have the same frequency pattern or</w:t>
      </w:r>
      <w:r>
        <w:t xml:space="preserve"> </w:t>
      </w:r>
      <w:r>
        <w:t xml:space="preserve">spread. That difference supports the narrower conclusion that routing choices</w:t>
      </w:r>
      <w:r>
        <w:t xml:space="preserve"> </w:t>
      </w:r>
      <w:r>
        <w:t xml:space="preserve">can materially affect the nominal pattern. It does not show what proportion</w:t>
      </w:r>
      <w:r>
        <w:t xml:space="preserve"> </w:t>
      </w:r>
      <w:r>
        <w:t xml:space="preserve">of the response will be common across fabricated dies from either mask.</w:t>
      </w:r>
    </w:p>
    <w:p>
      <w:pPr>
        <w:pStyle w:val="Heading2"/>
      </w:pPr>
      <w:bookmarkStart w:id="34" w:name="matched-macro-arm"/>
      <w:r>
        <w:t xml:space="preserve">6. Matched-macro arm</w:t>
      </w:r>
      <w:bookmarkEnd w:id="34"/>
    </w:p>
    <w:p>
      <w:pPr>
        <w:pStyle w:val="FirstParagraph"/>
      </w:pPr>
      <w:r>
        <w:t xml:space="preserve">The matched construction hardens one oscillator as a 60 x 40 micrometre</w:t>
      </w:r>
      <w:r>
        <w:t xml:space="preserve"> </w:t>
      </w:r>
      <w:r>
        <w:t xml:space="preserve">macro. The macro-level layout passes the available DRC, LVS, antenna, and</w:t>
      </w:r>
      <w:r>
        <w:t xml:space="preserve"> </w:t>
      </w:r>
      <w:r>
        <w:t xml:space="preserve">connectivity checks, and the 16 instances are placed on a regular grid in Arm</w:t>
      </w:r>
      <w:r>
        <w:t xml:space="preserve"> </w:t>
      </w:r>
      <w:r>
        <w:t xml:space="preserve">B. These checks establish consistency with the implemented design rules and</w:t>
      </w:r>
      <w:r>
        <w:t xml:space="preserve"> </w:t>
      </w:r>
      <w:r>
        <w:t xml:space="preserve">netlist; they do not validate PUF quality or silicon behaviour.</w:t>
      </w:r>
    </w:p>
    <w:p>
      <w:pPr>
        <w:pStyle w:val="BodyText"/>
      </w:pPr>
      <w:r>
        <w:t xml:space="preserve">The extracted macro has approximately 11.0 fF of total ring capacitance. One</w:t>
      </w:r>
      <w:r>
        <w:t xml:space="preserve"> </w:t>
      </w:r>
      <w:r>
        <w:t xml:space="preserve">nominal post-layout simulation gives 569.5 MHz, compared with a no-parasitic</w:t>
      </w:r>
      <w:r>
        <w:t xml:space="preserve"> </w:t>
      </w:r>
      <w:r>
        <w:t xml:space="preserve">control of approximately 633.15 MHz. The earlier Arm A capacitance fit predicts</w:t>
      </w:r>
      <w:r>
        <w:t xml:space="preserve"> </w:t>
      </w:r>
      <w:r>
        <w:t xml:space="preserve">about 570.2 MHz at that load. This agreement is a useful cross-check on the</w:t>
      </w:r>
      <w:r>
        <w:t xml:space="preserve"> </w:t>
      </w:r>
      <w:r>
        <w:t xml:space="preserve">nominal model, but it is not an independent silicon validation.</w:t>
      </w:r>
    </w:p>
    <w:p>
      <w:pPr>
        <w:pStyle w:val="CaptionedFigure"/>
      </w:pPr>
      <w:r>
        <w:drawing>
          <wp:inline>
            <wp:extent cx="5334000" cy="2319130"/>
            <wp:effectExtent b="0" l="0" r="0" t="0"/>
            <wp:docPr descr="Figure 3. The earlier automatically placed array beside the 569.5 MHz nominal macro reference repeated at 16 Arm B positions. The repeated green points represent common internal geometry and are not independent observations." title="" id="1" name="Picture"/>
            <a:graphic>
              <a:graphicData uri="http://schemas.openxmlformats.org/drawingml/2006/picture">
                <pic:pic>
                  <pic:nvPicPr>
                    <pic:cNvPr descr="../sim/spice/gono/armB_predi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The earlier automatically placed array beside the 569.5 MHz nominal macro reference repeated at 16 Arm B positions. The repeated green points represent common internal geometry and are not independent observations.</w:t>
      </w:r>
    </w:p>
    <w:p>
      <w:pPr>
        <w:pStyle w:val="BodyText"/>
      </w:pPr>
      <w:r>
        <w:t xml:space="preserve">Figures 3 and 4 repeat the 569.5 MHz macro result across 16 Arm B positions to</w:t>
      </w:r>
      <w:r>
        <w:t xml:space="preserve"> </w:t>
      </w:r>
      <w:r>
        <w:t xml:space="preserve">show that the internal macro geometry is common. The repeated points must not</w:t>
      </w:r>
      <w:r>
        <w:t xml:space="preserve"> </w:t>
      </w:r>
      <w:r>
        <w:t xml:space="preserve">be read as 16 simulations, 16 measurements, or evidence of no Arm B spread in</w:t>
      </w:r>
      <w:r>
        <w:t xml:space="preserve"> </w:t>
      </w:r>
      <w:r>
        <w:t xml:space="preserve">fabricated devices. The construction removes intended differences in the</w:t>
      </w:r>
      <w:r>
        <w:t xml:space="preserve"> </w:t>
      </w:r>
      <w:r>
        <w:t xml:space="preserve">internal routed ring. Device mismatch, local process gradients, top-level</w:t>
      </w:r>
      <w:r>
        <w:t xml:space="preserve"> </w:t>
      </w:r>
      <w:r>
        <w:t xml:space="preserve">enable and output routing, supply variation, temperature, ageing, and</w:t>
      </w:r>
      <w:r>
        <w:t xml:space="preserve"> </w:t>
      </w:r>
      <w:r>
        <w:t xml:space="preserve">measurement noise can still separate the instances.</w:t>
      </w:r>
    </w:p>
    <w:p>
      <w:pPr>
        <w:pStyle w:val="CaptionedFigure"/>
      </w:pPr>
      <w:r>
        <w:drawing>
          <wp:inline>
            <wp:extent cx="5334000" cy="2319130"/>
            <wp:effectExtent b="0" l="0" r="0" t="0"/>
            <wp:docPr descr="Figure 4. Archived dual-arm Arm A nominal post-layout frequencies beside the same single 569.5 MHz macro result repeated at 16 Arm B positions; the Arm B points are not 16 simulations or measurements." title="" id="1" name="Picture"/>
            <a:graphic>
              <a:graphicData uri="http://schemas.openxmlformats.org/drawingml/2006/picture">
                <pic:pic>
                  <pic:nvPicPr>
                    <pic:cNvPr descr="../sim/spice/gono/dualarm_gon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Archived dual-arm Arm A nominal post-layout frequencies beside the same single 569.5 MHz macro result repeated at 16 Arm B positions; the Arm B points are not 16 simulations or measurements.</w:t>
      </w:r>
    </w:p>
    <w:p>
      <w:pPr>
        <w:pStyle w:val="Heading2"/>
      </w:pPr>
      <w:bookmarkStart w:id="37" w:name="Xdf9d62539b6016707a830fb3665a87ae4fa1b53"/>
      <w:r>
        <w:t xml:space="preserve">7. Security interpretation and planned silicon test</w:t>
      </w:r>
      <w:bookmarkEnd w:id="37"/>
    </w:p>
    <w:p>
      <w:pPr>
        <w:pStyle w:val="Heading3"/>
      </w:pPr>
      <w:bookmarkStart w:id="38" w:name="parametric-examples"/>
      <w:r>
        <w:t xml:space="preserve">7.1 Parametric examples</w:t>
      </w:r>
      <w:bookmarkEnd w:id="38"/>
    </w:p>
    <w:p>
      <w:pPr>
        <w:pStyle w:val="FirstParagraph"/>
      </w:pPr>
      <w:r>
        <w:t xml:space="preserve">The analysis repository includes a simple virtual-population model in which</w:t>
      </w:r>
      <w:r>
        <w:t xml:space="preserve"> </w:t>
      </w:r>
      <w:r>
        <w:t xml:space="preserve">each oscillator frequency is the sum of a shared layout term and an</w:t>
      </w:r>
      <w:r>
        <w:t xml:space="preserve"> </w:t>
      </w:r>
      <w:r>
        <w:t xml:space="preserve">independent mismatch term. Under one chosen set of assumptions, 200 virtual</w:t>
      </w:r>
      <w:r>
        <w:t xml:space="preserve"> </w:t>
      </w:r>
      <w:r>
        <w:t xml:space="preserve">chips and eight adjacent comparison bits produced 13.2% inter-chip Hamming</w:t>
      </w:r>
      <w:r>
        <w:t xml:space="preserve"> </w:t>
      </w:r>
      <w:r>
        <w:t xml:space="preserve">distance for the automatically placed pattern and 49.9% for the matched</w:t>
      </w:r>
      <w:r>
        <w:t xml:space="preserve"> </w:t>
      </w:r>
      <w:r>
        <w:t xml:space="preserve">pattern; a position-based predictor scored 91.2% and 49.2%, respectively.</w:t>
      </w:r>
    </w:p>
    <w:p>
      <w:pPr>
        <w:pStyle w:val="BodyText"/>
      </w:pPr>
      <w:r>
        <w:t xml:space="preserve">Those values are illustrative outputs of the assumed model. They are not</w:t>
      </w:r>
      <w:r>
        <w:t xml:space="preserve"> </w:t>
      </w:r>
      <w:r>
        <w:t xml:space="preserve">measurements, calibrated forecasts, confidence bounds, or evidence of a</w:t>
      </w:r>
      <w:r>
        <w:t xml:space="preserve"> </w:t>
      </w:r>
      <w:r>
        <w:t xml:space="preserve">practical attack. Changing the mismatch scale, covariance, comparison pairs,</w:t>
      </w:r>
      <w:r>
        <w:t xml:space="preserve"> </w:t>
      </w:r>
      <w:r>
        <w:t xml:space="preserve">noise, or attacker information can change the result substantially. The</w:t>
      </w:r>
      <w:r>
        <w:t xml:space="preserve"> </w:t>
      </w:r>
      <w:r>
        <w:t xml:space="preserve">repository should therefore use these numbers only to explain the proposed</w:t>
      </w:r>
      <w:r>
        <w:t xml:space="preserve"> </w:t>
      </w:r>
      <w:r>
        <w:t xml:space="preserve">mechanism and motivate the silicon experiment.</w:t>
      </w:r>
    </w:p>
    <w:p>
      <w:pPr>
        <w:pStyle w:val="Heading3"/>
      </w:pPr>
      <w:bookmarkStart w:id="39" w:name="mismatch-estimate"/>
      <w:r>
        <w:t xml:space="preserve">7.2 Mismatch estimate</w:t>
      </w:r>
      <w:bookmarkEnd w:id="39"/>
    </w:p>
    <w:p>
      <w:pPr>
        <w:pStyle w:val="FirstParagraph"/>
      </w:pPr>
      <w:r>
        <w:t xml:space="preserve">A separate 40-run ngspice Monte Carlo exercise used the PDK models’ available</w:t>
      </w:r>
      <w:r>
        <w:t xml:space="preserve"> </w:t>
      </w:r>
      <w:r>
        <w:t xml:space="preserve">global draw and observed a frequency standard deviation of 0.345%. Dividing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sqrt(31)</w:t>
      </w:r>
      <w:r>
        <w:t xml:space="preserve"> </w:t>
      </w:r>
      <w:r>
        <w:t xml:space="preserve">gives 0.062% as a first-order scale estimate for independent</w:t>
      </w:r>
      <w:r>
        <w:t xml:space="preserve"> </w:t>
      </w:r>
      <w:r>
        <w:t xml:space="preserve">contributions from 31 similar stages. This transformation assumes independence</w:t>
      </w:r>
      <w:r>
        <w:t xml:space="preserve"> </w:t>
      </w:r>
      <w:r>
        <w:t xml:space="preserve">and equal contribution, neither of which is established by those 40 global</w:t>
      </w:r>
      <w:r>
        <w:t xml:space="preserve"> </w:t>
      </w:r>
      <w:r>
        <w:t xml:space="preserve">draws. A sampling-only approximation puts the common-draw sigma at 0.283% to</w:t>
      </w:r>
      <w:r>
        <w:t xml:space="preserve"> </w:t>
      </w:r>
      <w:r>
        <w:t xml:space="preserve">0.443% and the scaled value at 0.051% to 0.080% with about 95% coverage. That</w:t>
      </w:r>
      <w:r>
        <w:t xml:space="preserve"> </w:t>
      </w:r>
      <w:r>
        <w:t xml:space="preserve">interval does not include uncertainty from the</w:t>
      </w:r>
      <w:r>
        <w:t xml:space="preserve"> </w:t>
      </w:r>
      <w:r>
        <w:rPr>
          <w:rStyle w:val="VerbatimChar"/>
        </w:rPr>
        <w:t xml:space="preserve">sqrt(31)</w:t>
      </w:r>
      <w:r>
        <w:t xml:space="preserve"> </w:t>
      </w:r>
      <w:r>
        <w:t xml:space="preserve">model itself. The</w:t>
      </w:r>
      <w:r>
        <w:t xml:space="preserve"> </w:t>
      </w:r>
      <w:r>
        <w:t xml:space="preserve">result is not a measured mismatch distribution or an entropy estimate.</w:t>
      </w:r>
    </w:p>
    <w:p>
      <w:pPr>
        <w:pStyle w:val="BodyText"/>
      </w:pPr>
      <w:r>
        <w:t xml:space="preserve">Comparisons such as 21.6x by standard deviation or 87x by peak-to-peak depend</w:t>
      </w:r>
      <w:r>
        <w:t xml:space="preserve"> </w:t>
      </w:r>
      <w:r>
        <w:t xml:space="preserve">on that approximate denominator and mix statistics with different sampling</w:t>
      </w:r>
      <w:r>
        <w:t xml:space="preserve"> </w:t>
      </w:r>
      <w:r>
        <w:t xml:space="preserve">properties. They may be useful as sensitivity examples, but they should not</w:t>
      </w:r>
      <w:r>
        <w:t xml:space="preserve"> </w:t>
      </w:r>
      <w:r>
        <w:t xml:space="preserve">be presented as measured ratios between layout variation and manufacturing</w:t>
      </w:r>
      <w:r>
        <w:t xml:space="preserve"> </w:t>
      </w:r>
      <w:r>
        <w:t xml:space="preserve">variation.</w:t>
      </w:r>
    </w:p>
    <w:p>
      <w:pPr>
        <w:pStyle w:val="Heading3"/>
      </w:pPr>
      <w:bookmarkStart w:id="40" w:name="registered-hypotheses-and-metrics"/>
      <w:r>
        <w:t xml:space="preserve">7.3 Registered hypotheses and metrics</w:t>
      </w:r>
      <w:bookmarkEnd w:id="40"/>
    </w:p>
    <w:p>
      <w:pPr>
        <w:pStyle w:val="FirstParagraph"/>
      </w:pPr>
      <w:r>
        <w:t xml:space="preserve">The central silicon hypothesis is that Arm A will retain more of the nominal</w:t>
      </w:r>
      <w:r>
        <w:t xml:space="preserve"> </w:t>
      </w:r>
      <w:r>
        <w:t xml:space="preserve">layout pattern across dies than Arm B. A proper test requires multiple chip</w:t>
      </w:r>
      <w:r>
        <w:t xml:space="preserve"> </w:t>
      </w:r>
      <w:r>
        <w:t xml:space="preserve">IDs, repeated measurements, matched voltage and temperature settings, and a</w:t>
      </w:r>
      <w:r>
        <w:t xml:space="preserve"> </w:t>
      </w:r>
      <w:r>
        <w:t xml:space="preserve">fixed comparison rule. The firmware records chip and condition labels so the</w:t>
      </w:r>
      <w:r>
        <w:t xml:space="preserve"> </w:t>
      </w:r>
      <w:r>
        <w:t xml:space="preserve">analysis can keep those groups separate.</w:t>
      </w:r>
    </w:p>
    <w:p>
      <w:pPr>
        <w:pStyle w:val="BodyText"/>
      </w:pPr>
      <w:r>
        <w:t xml:space="preserve">The planned descriptive metrics are:</w:t>
      </w:r>
    </w:p>
    <w:p>
      <w:pPr>
        <w:numPr>
          <w:ilvl w:val="0"/>
          <w:numId w:val="1003"/>
        </w:numPr>
        <w:pStyle w:val="Compact"/>
      </w:pPr>
      <w:r>
        <w:t xml:space="preserve">repeatability within each chip and condition, including timeout and missing</w:t>
      </w:r>
      <w:r>
        <w:t xml:space="preserve"> </w:t>
      </w:r>
      <w:r>
        <w:t xml:space="preserve">oscillator rates;</w:t>
      </w:r>
    </w:p>
    <w:p>
      <w:pPr>
        <w:numPr>
          <w:ilvl w:val="0"/>
          <w:numId w:val="1003"/>
        </w:numPr>
        <w:pStyle w:val="Compact"/>
      </w:pPr>
      <w:r>
        <w:t xml:space="preserve">centered pattern correlation across distinct chips measured under the same</w:t>
      </w:r>
      <w:r>
        <w:t xml:space="preserve"> </w:t>
      </w:r>
      <w:r>
        <w:t xml:space="preserve">known condition;</w:t>
      </w:r>
    </w:p>
    <w:p>
      <w:pPr>
        <w:numPr>
          <w:ilvl w:val="0"/>
          <w:numId w:val="1003"/>
        </w:numPr>
        <w:pStyle w:val="Compact"/>
      </w:pPr>
      <w:r>
        <w:t xml:space="preserve">inter-chip Hamming distance for a predeclared set of adjacent comparison</w:t>
      </w:r>
      <w:r>
        <w:t xml:space="preserve"> </w:t>
      </w:r>
      <w:r>
        <w:t xml:space="preserve">pairs; and</w:t>
      </w:r>
    </w:p>
    <w:p>
      <w:pPr>
        <w:numPr>
          <w:ilvl w:val="0"/>
          <w:numId w:val="1003"/>
        </w:numPr>
        <w:pStyle w:val="Compact"/>
      </w:pPr>
      <w:r>
        <w:t xml:space="preserve">within-chip response changes across voltage and temperature conditions.</w:t>
      </w:r>
    </w:p>
    <w:p>
      <w:pPr>
        <w:pStyle w:val="FirstParagraph"/>
      </w:pPr>
      <w:r>
        <w:t xml:space="preserve">Results will be reported only when the grouping and completeness requirements</w:t>
      </w:r>
      <w:r>
        <w:t xml:space="preserve"> </w:t>
      </w:r>
      <w:r>
        <w:t xml:space="preserve">are met. A single chip, one condition, incomplete oscillator vectors, or</w:t>
      </w:r>
      <w:r>
        <w:t xml:space="preserve"> </w:t>
      </w:r>
      <w:r>
        <w:t xml:space="preserve">unknown clock/window settings are insufficient for the corresponding</w:t>
      </w:r>
      <w:r>
        <w:t xml:space="preserve"> </w:t>
      </w:r>
      <w:r>
        <w:t xml:space="preserve">population or reliability claim. Sample size and uncertainty intervals should</w:t>
      </w:r>
      <w:r>
        <w:t xml:space="preserve"> </w:t>
      </w:r>
      <w:r>
        <w:t xml:space="preserve">be specified before interpreting the security significance of the data.</w:t>
      </w:r>
    </w:p>
    <w:p>
      <w:pPr>
        <w:pStyle w:val="Heading2"/>
      </w:pPr>
      <w:bookmarkStart w:id="41" w:name="limitations"/>
      <w:r>
        <w:t xml:space="preserve">8. Limitations</w:t>
      </w:r>
      <w:bookmarkEnd w:id="41"/>
    </w:p>
    <w:p>
      <w:pPr>
        <w:pStyle w:val="FirstParagraph"/>
      </w:pPr>
      <w:r>
        <w:t xml:space="preserve">This study is pre-silicon. It measures neither a fabricated oscillator nor a</w:t>
      </w:r>
      <w:r>
        <w:t xml:space="preserve"> </w:t>
      </w:r>
      <w:r>
        <w:t xml:space="preserve">PUF response population. Its main limitations are:</w:t>
      </w:r>
    </w:p>
    <w:p>
      <w:pPr>
        <w:numPr>
          <w:ilvl w:val="0"/>
          <w:numId w:val="1004"/>
        </w:numPr>
        <w:pStyle w:val="Compact"/>
      </w:pPr>
      <w:r>
        <w:t xml:space="preserve">nominal transistor models do not capture random local mismatch;</w:t>
      </w:r>
    </w:p>
    <w:p>
      <w:pPr>
        <w:numPr>
          <w:ilvl w:val="0"/>
          <w:numId w:val="1004"/>
        </w:numPr>
        <w:pStyle w:val="Compact"/>
      </w:pPr>
      <w:r>
        <w:t xml:space="preserve">lumped capacitance omits parts of distributed RC and dynamic coupling;</w:t>
      </w:r>
    </w:p>
    <w:p>
      <w:pPr>
        <w:numPr>
          <w:ilvl w:val="0"/>
          <w:numId w:val="1004"/>
        </w:numPr>
        <w:pStyle w:val="Compact"/>
      </w:pPr>
      <w:r>
        <w:t xml:space="preserve">one earlier layout and one archived dual-arm layout do not define a distribution</w:t>
      </w:r>
      <w:r>
        <w:t xml:space="preserve"> </w:t>
      </w:r>
      <w:r>
        <w:t xml:space="preserve">over place-and-route seeds, floorplans, flows, or technologies;</w:t>
      </w:r>
    </w:p>
    <w:p>
      <w:pPr>
        <w:numPr>
          <w:ilvl w:val="0"/>
          <w:numId w:val="1004"/>
        </w:numPr>
        <w:pStyle w:val="Compact"/>
      </w:pPr>
      <w:r>
        <w:t xml:space="preserve">oscillator instances within a layout are related observations, so ordinary</w:t>
      </w:r>
      <w:r>
        <w:t xml:space="preserve"> </w:t>
      </w:r>
      <w:r>
        <w:t xml:space="preserve">instance-level confidence intervals would overstate the evidence;</w:t>
      </w:r>
    </w:p>
    <w:p>
      <w:pPr>
        <w:numPr>
          <w:ilvl w:val="0"/>
          <w:numId w:val="1004"/>
        </w:numPr>
        <w:pStyle w:val="Compact"/>
      </w:pPr>
      <w:r>
        <w:t xml:space="preserve">Pearson correlation establishes association in the modelled layout but does</w:t>
      </w:r>
      <w:r>
        <w:t xml:space="preserve"> </w:t>
      </w:r>
      <w:r>
        <w:t xml:space="preserve">not by itself prove a complete causal or security model;</w:t>
      </w:r>
    </w:p>
    <w:p>
      <w:pPr>
        <w:numPr>
          <w:ilvl w:val="0"/>
          <w:numId w:val="1004"/>
        </w:numPr>
        <w:pStyle w:val="Compact"/>
      </w:pPr>
      <w:r>
        <w:t xml:space="preserve">the Arm B plot repeats one macro result and cannot quantify fabricated Arm B</w:t>
      </w:r>
      <w:r>
        <w:t xml:space="preserve"> </w:t>
      </w:r>
      <w:r>
        <w:t xml:space="preserve">variation;</w:t>
      </w:r>
    </w:p>
    <w:p>
      <w:pPr>
        <w:numPr>
          <w:ilvl w:val="0"/>
          <w:numId w:val="1004"/>
        </w:numPr>
        <w:pStyle w:val="Compact"/>
      </w:pPr>
      <w:r>
        <w:t xml:space="preserve">the 40-run global Monte Carlo exercise does not reproduce independent local</w:t>
      </w:r>
      <w:r>
        <w:t xml:space="preserve"> </w:t>
      </w:r>
      <w:r>
        <w:t xml:space="preserve">device mismatch and is too small for a precise tail estimate;</w:t>
      </w:r>
    </w:p>
    <w:p>
      <w:pPr>
        <w:numPr>
          <w:ilvl w:val="0"/>
          <w:numId w:val="1004"/>
        </w:numPr>
        <w:pStyle w:val="Compact"/>
      </w:pPr>
      <w:r>
        <w:t xml:space="preserve">voltage, temperature, supply noise, ageing, package, and measurement-system</w:t>
      </w:r>
      <w:r>
        <w:t xml:space="preserve"> </w:t>
      </w:r>
      <w:r>
        <w:t xml:space="preserve">effects remain uncharacterized; and</w:t>
      </w:r>
    </w:p>
    <w:p>
      <w:pPr>
        <w:numPr>
          <w:ilvl w:val="0"/>
          <w:numId w:val="1004"/>
        </w:numPr>
        <w:pStyle w:val="Compact"/>
      </w:pPr>
      <w:r>
        <w:t xml:space="preserve">uniqueness, reliability, min-entropy, and attack success require a</w:t>
      </w:r>
      <w:r>
        <w:t xml:space="preserve"> </w:t>
      </w:r>
      <w:r>
        <w:t xml:space="preserve">multi-chip data set and a stated threat model.</w:t>
      </w:r>
    </w:p>
    <w:p>
      <w:pPr>
        <w:pStyle w:val="FirstParagraph"/>
      </w:pPr>
      <w:r>
        <w:t xml:space="preserve">These limitations do not erase the observed nominal layout component. They</w:t>
      </w:r>
      <w:r>
        <w:t xml:space="preserve"> </w:t>
      </w:r>
      <w:r>
        <w:t xml:space="preserve">set the boundary on what can be concluded from it.</w:t>
      </w:r>
    </w:p>
    <w:p>
      <w:pPr>
        <w:pStyle w:val="Heading2"/>
      </w:pPr>
      <w:bookmarkStart w:id="42" w:name="conclusion"/>
      <w:r>
        <w:t xml:space="preserve">9. Conclusion</w:t>
      </w:r>
      <w:bookmarkEnd w:id="42"/>
    </w:p>
    <w:p>
      <w:pPr>
        <w:pStyle w:val="FirstParagraph"/>
      </w:pPr>
      <w:r>
        <w:t xml:space="preserve">Two automatically placed SKY130 RO arrays show a nominal post-layout</w:t>
      </w:r>
      <w:r>
        <w:t xml:space="preserve"> </w:t>
      </w:r>
      <w:r>
        <w:t xml:space="preserve">frequency pattern that tracks extracted ring capacitance closely. The</w:t>
      </w:r>
      <w:r>
        <w:t xml:space="preserve"> </w:t>
      </w:r>
      <w:r>
        <w:t xml:space="preserve">archived dual-arm Arm A has a 5.4% peak-to-peak spread and</w:t>
      </w:r>
      <w:r>
        <w:t xml:space="preserve"> </w:t>
      </w:r>
      <w:r>
        <w:rPr>
          <w:i/>
        </w:rPr>
        <w:t xml:space="preserve">r</w:t>
      </w:r>
      <w:r>
        <w:t xml:space="preserve"> </w:t>
      </w:r>
      <w:r>
        <w:t xml:space="preserve">= -0.999; an earlier</w:t>
      </w:r>
      <w:r>
        <w:t xml:space="preserve"> </w:t>
      </w:r>
      <w:r>
        <w:t xml:space="preserve">32-oscillator layout has an 8.8% spread and</w:t>
      </w:r>
      <w:r>
        <w:t xml:space="preserve"> </w:t>
      </w:r>
      <w:r>
        <w:rPr>
          <w:i/>
        </w:rPr>
        <w:t xml:space="preserve">r</w:t>
      </w:r>
      <w:r>
        <w:t xml:space="preserve"> </w:t>
      </w:r>
      <w:r>
        <w:t xml:space="preserve">= -0.997. A hardened macro</w:t>
      </w:r>
      <w:r>
        <w:t xml:space="preserve"> </w:t>
      </w:r>
      <w:r>
        <w:t xml:space="preserve">provides a 569.5 MHz common-internal-layout reference for Arm B.</w:t>
      </w:r>
    </w:p>
    <w:p>
      <w:pPr>
        <w:pStyle w:val="BodyText"/>
      </w:pPr>
      <w:r>
        <w:t xml:space="preserve">The supported conclusion is that automated physical implementation introduced</w:t>
      </w:r>
      <w:r>
        <w:t xml:space="preserve"> </w:t>
      </w:r>
      <w:r>
        <w:t xml:space="preserve">a sizeable deterministic component in these routed designs. The stronger</w:t>
      </w:r>
      <w:r>
        <w:t xml:space="preserve"> </w:t>
      </w:r>
      <w:r>
        <w:t xml:space="preserve">claims remain open: whether the pattern is stable across fabricated dies,</w:t>
      </w:r>
      <w:r>
        <w:t xml:space="preserve"> </w:t>
      </w:r>
      <w:r>
        <w:t xml:space="preserve">whether it dominates mismatch and environmental noise, whether it reduces</w:t>
      </w:r>
      <w:r>
        <w:t xml:space="preserve"> </w:t>
      </w:r>
      <w:r>
        <w:t xml:space="preserve">useful PUF uniqueness, and whether an attacker can exploit it. The current</w:t>
      </w:r>
      <w:r>
        <w:t xml:space="preserve"> </w:t>
      </w:r>
      <w:r>
        <w:t xml:space="preserve">dual-arm candidate and grouped firmware protocol are intended to answer those</w:t>
      </w:r>
      <w:r>
        <w:t xml:space="preserve"> </w:t>
      </w:r>
      <w:r>
        <w:t xml:space="preserve">questions with silicon data, after a fresh physical flow replaces the stale</w:t>
      </w:r>
      <w:r>
        <w:t xml:space="preserve"> </w:t>
      </w:r>
      <w:r>
        <w:t xml:space="preserve">dual-arm snapshot.</w:t>
      </w:r>
    </w:p>
    <w:p>
      <w:pPr>
        <w:pStyle w:val="Heading2"/>
      </w:pPr>
      <w:bookmarkStart w:id="43" w:name="references"/>
      <w:r>
        <w:t xml:space="preserve">References</w:t>
      </w:r>
      <w:bookmarkEnd w:id="43"/>
    </w:p>
    <w:p>
      <w:pPr>
        <w:pStyle w:val="FirstParagraph"/>
      </w:pPr>
      <w:r>
        <w:t xml:space="preserve">[1] G. E. Suh and S. Devadas,</w:t>
      </w:r>
      <w:r>
        <w:t xml:space="preserve"> </w:t>
      </w:r>
      <w:r>
        <w:t xml:space="preserve">“</w:t>
      </w:r>
      <w:r>
        <w:t xml:space="preserve">Physical Unclonable Functions for Device</w:t>
      </w:r>
      <w:r>
        <w:t xml:space="preserve"> </w:t>
      </w:r>
      <w:r>
        <w:t xml:space="preserve">Authentication and Secret Key Generation,</w:t>
      </w:r>
      <w:r>
        <w:t xml:space="preserve">”</w:t>
      </w:r>
      <w:r>
        <w:t xml:space="preserve"> </w:t>
      </w:r>
      <w:r>
        <w:rPr>
          <w:i/>
        </w:rPr>
        <w:t xml:space="preserve">Proceedings of the 44th ACM/IEEE</w:t>
      </w:r>
      <w:r>
        <w:rPr>
          <w:i/>
        </w:rPr>
        <w:t xml:space="preserve"> </w:t>
      </w:r>
      <w:r>
        <w:rPr>
          <w:i/>
        </w:rPr>
        <w:t xml:space="preserve">Design Automation Conference (DAC)</w:t>
      </w:r>
      <w:r>
        <w:t xml:space="preserve">, pp. 9-14, 2007.</w:t>
      </w:r>
      <w:r>
        <w:t xml:space="preserve"> </w:t>
      </w:r>
      <w:r>
        <w:t xml:space="preserve">https://doi.org/10.1145/1278480.1278484</w:t>
      </w:r>
    </w:p>
    <w:p>
      <w:pPr>
        <w:pStyle w:val="BodyText"/>
      </w:pPr>
      <w:r>
        <w:t xml:space="preserve">[2] A. Maiti and P. Schaumont,</w:t>
      </w:r>
      <w:r>
        <w:t xml:space="preserve"> </w:t>
      </w:r>
      <w:r>
        <w:t xml:space="preserve">“</w:t>
      </w:r>
      <w:r>
        <w:t xml:space="preserve">Improved Ring Oscillator PUF: An FPGA-Friendly</w:t>
      </w:r>
      <w:r>
        <w:t xml:space="preserve"> </w:t>
      </w:r>
      <w:r>
        <w:t xml:space="preserve">Secure Primitive,</w:t>
      </w:r>
      <w:r>
        <w:t xml:space="preserve">”</w:t>
      </w:r>
      <w:r>
        <w:t xml:space="preserve"> </w:t>
      </w:r>
      <w:r>
        <w:rPr>
          <w:i/>
        </w:rPr>
        <w:t xml:space="preserve">Journal of Cryptology</w:t>
      </w:r>
      <w:r>
        <w:t xml:space="preserve">, vol. 24, pp. 375-397, 2011.</w:t>
      </w:r>
      <w:r>
        <w:t xml:space="preserve"> </w:t>
      </w:r>
      <w:r>
        <w:t xml:space="preserve">https://doi.org/10.1007/s00145-010-9088-4</w:t>
      </w:r>
    </w:p>
    <w:p>
      <w:pPr>
        <w:pStyle w:val="BodyText"/>
      </w:pPr>
      <w:r>
        <w:t xml:space="preserve">[3] A. Maiti, J. Casarona, L. McHale, and P. Schaumont,</w:t>
      </w:r>
      <w:r>
        <w:t xml:space="preserve"> </w:t>
      </w:r>
      <w:r>
        <w:t xml:space="preserve">“</w:t>
      </w:r>
      <w:r>
        <w:t xml:space="preserve">A Large Scale</w:t>
      </w:r>
      <w:r>
        <w:t xml:space="preserve"> </w:t>
      </w:r>
      <w:r>
        <w:t xml:space="preserve">Characterization of RO-PUF,</w:t>
      </w:r>
      <w:r>
        <w:t xml:space="preserve">”</w:t>
      </w:r>
      <w:r>
        <w:t xml:space="preserve"> </w:t>
      </w:r>
      <w:r>
        <w:rPr>
          <w:i/>
        </w:rPr>
        <w:t xml:space="preserve">IEEE International Symposium on</w:t>
      </w:r>
      <w:r>
        <w:rPr>
          <w:i/>
        </w:rPr>
        <w:t xml:space="preserve"> </w:t>
      </w:r>
      <w:r>
        <w:rPr>
          <w:i/>
        </w:rPr>
        <w:t xml:space="preserve">Hardware-Oriented Security and Trust (HOST)</w:t>
      </w:r>
      <w:r>
        <w:t xml:space="preserve">, pp. 66-71, 2010.</w:t>
      </w:r>
      <w:r>
        <w:t xml:space="preserve"> </w:t>
      </w:r>
      <w:r>
        <w:t xml:space="preserve">https://schaumont.dyn.wpi.edu/schaum/pdf/papers/2010hostm.pdf</w:t>
      </w:r>
    </w:p>
    <w:p>
      <w:pPr>
        <w:pStyle w:val="BodyText"/>
      </w:pPr>
      <w:r>
        <w:t xml:space="preserve">[4] F. Wilde, M. Hiller, and M. Pehl,</w:t>
      </w:r>
      <w:r>
        <w:t xml:space="preserve"> </w:t>
      </w:r>
      <w:r>
        <w:t xml:space="preserve">“</w:t>
      </w:r>
      <w:r>
        <w:t xml:space="preserve">Statistic-Based Security Analysis of</w:t>
      </w:r>
      <w:r>
        <w:t xml:space="preserve"> </w:t>
      </w:r>
      <w:r>
        <w:t xml:space="preserve">Ring Oscillator PUFs,</w:t>
      </w:r>
      <w:r>
        <w:t xml:space="preserve">”</w:t>
      </w:r>
      <w:r>
        <w:t xml:space="preserve"> </w:t>
      </w:r>
      <w:r>
        <w:rPr>
          <w:i/>
        </w:rPr>
        <w:t xml:space="preserve">2014 International Symposium on Integrated Circuits</w:t>
      </w:r>
      <w:r>
        <w:rPr>
          <w:i/>
        </w:rPr>
        <w:t xml:space="preserve"> </w:t>
      </w:r>
      <w:r>
        <w:rPr>
          <w:i/>
        </w:rPr>
        <w:t xml:space="preserve">(ISIC)</w:t>
      </w:r>
      <w:r>
        <w:t xml:space="preserve">, pp. 148-151, 2014.</w:t>
      </w:r>
      <w:r>
        <w:t xml:space="preserve"> </w:t>
      </w:r>
      <w:r>
        <w:t xml:space="preserve">https://doi.org/10.1109/ISICIR.2014.7029528</w:t>
      </w:r>
    </w:p>
    <w:p>
      <w:pPr>
        <w:pStyle w:val="BodyText"/>
      </w:pPr>
      <w:r>
        <w:t xml:space="preserve">[5] A. S. Chauhan, V. Sahula, and A. S. Mandal,</w:t>
      </w:r>
      <w:r>
        <w:t xml:space="preserve"> </w:t>
      </w:r>
      <w:r>
        <w:t xml:space="preserve">“</w:t>
      </w:r>
      <w:r>
        <w:t xml:space="preserve">Novel Randomized Placement</w:t>
      </w:r>
      <w:r>
        <w:t xml:space="preserve"> </w:t>
      </w:r>
      <w:r>
        <w:t xml:space="preserve">for FPGA Based Robust ROPUF with Improved Uniqueness,</w:t>
      </w:r>
      <w:r>
        <w:t xml:space="preserve">”</w:t>
      </w:r>
      <w:r>
        <w:t xml:space="preserve"> </w:t>
      </w:r>
      <w:r>
        <w:rPr>
          <w:i/>
        </w:rPr>
        <w:t xml:space="preserve">Journal of Electronic</w:t>
      </w:r>
      <w:r>
        <w:rPr>
          <w:i/>
        </w:rPr>
        <w:t xml:space="preserve"> </w:t>
      </w:r>
      <w:r>
        <w:rPr>
          <w:i/>
        </w:rPr>
        <w:t xml:space="preserve">Testing</w:t>
      </w:r>
      <w:r>
        <w:t xml:space="preserve">, vol. 35, no. 5, pp. 581-601, 2019.</w:t>
      </w:r>
      <w:r>
        <w:t xml:space="preserve"> </w:t>
      </w:r>
      <w:r>
        <w:t xml:space="preserve">https://doi.org/10.1007/s10836-019-05829-5</w:t>
      </w:r>
    </w:p>
    <w:p>
      <w:pPr>
        <w:pStyle w:val="BodyText"/>
      </w:pPr>
      <w:r>
        <w:t xml:space="preserve">[6] K. A. Asha, L. E. Hsu, A. Patyal, and H.-M. Chen,</w:t>
      </w:r>
      <w:r>
        <w:t xml:space="preserve"> </w:t>
      </w:r>
      <w:r>
        <w:t xml:space="preserve">“</w:t>
      </w:r>
      <w:r>
        <w:t xml:space="preserve">Improving the Quality</w:t>
      </w:r>
      <w:r>
        <w:t xml:space="preserve"> </w:t>
      </w:r>
      <w:r>
        <w:t xml:space="preserve">of FPGA RO-PUF by Principal Component Analysis (PCA),</w:t>
      </w:r>
      <w:r>
        <w:t xml:space="preserve">”</w:t>
      </w:r>
      <w:r>
        <w:t xml:space="preserve"> </w:t>
      </w:r>
      <w:r>
        <w:rPr>
          <w:i/>
        </w:rPr>
        <w:t xml:space="preserve">ACM Journal on</w:t>
      </w:r>
      <w:r>
        <w:rPr>
          <w:i/>
        </w:rPr>
        <w:t xml:space="preserve"> </w:t>
      </w:r>
      <w:r>
        <w:rPr>
          <w:i/>
        </w:rPr>
        <w:t xml:space="preserve">Emerging Technologies in Computing Systems</w:t>
      </w:r>
      <w:r>
        <w:t xml:space="preserve">, vol. 17, no. 3, article 34,</w:t>
      </w:r>
      <w:r>
        <w:t xml:space="preserve"> </w:t>
      </w:r>
      <w:r>
        <w:t xml:space="preserve">2021. https://doi.org/10.1145/3442444</w:t>
      </w:r>
    </w:p>
    <w:p>
      <w:pPr>
        <w:pStyle w:val="BodyText"/>
      </w:pPr>
      <w:r>
        <w:t xml:space="preserve">[7] W.-C. Wang, Z. Li, J. Skudlarek, M. Larouche, M. Chen, and P. Gupta,</w:t>
      </w:r>
      <w:r>
        <w:t xml:space="preserve"> </w:t>
      </w:r>
      <w:r>
        <w:t xml:space="preserve">“</w:t>
      </w:r>
      <w:r>
        <w:t xml:space="preserve">UNBIAS PUF: A Physical Implementation Bias Agnostic Strong PUF,</w:t>
      </w:r>
      <w:r>
        <w:t xml:space="preserve">”</w:t>
      </w:r>
      <w:r>
        <w:t xml:space="preserve"> </w:t>
      </w:r>
      <w:r>
        <w:t xml:space="preserve">arXiv:1703.10725, 2017. https://arxiv.org/abs/1703.10725</w:t>
      </w:r>
    </w:p>
    <w:p>
      <w:pPr>
        <w:pStyle w:val="BodyText"/>
      </w:pPr>
      <w:r>
        <w:t xml:space="preserve">[8] J. Miskelly, C. Gu, Q. Ma, Y. Cui, W. Liu, and M. O’Neill,</w:t>
      </w:r>
      <w:r>
        <w:t xml:space="preserve"> </w:t>
      </w:r>
      <w:r>
        <w:t xml:space="preserve">“</w:t>
      </w:r>
      <w:r>
        <w:t xml:space="preserve">Modelling</w:t>
      </w:r>
      <w:r>
        <w:t xml:space="preserve"> </w:t>
      </w:r>
      <w:r>
        <w:t xml:space="preserve">Attack Analysis of Configurable Ring Oscillator (CRO) PUF Designs,</w:t>
      </w:r>
      <w:r>
        <w:t xml:space="preserve">”</w:t>
      </w:r>
      <w:r>
        <w:t xml:space="preserve"> </w:t>
      </w:r>
      <w:r>
        <w:rPr>
          <w:i/>
        </w:rPr>
        <w:t xml:space="preserve">2018</w:t>
      </w:r>
      <w:r>
        <w:rPr>
          <w:i/>
        </w:rPr>
        <w:t xml:space="preserve"> </w:t>
      </w:r>
      <w:r>
        <w:rPr>
          <w:i/>
        </w:rPr>
        <w:t xml:space="preserve">IEEE 23rd International Conference on Digital Signal Processing (DSP)</w:t>
      </w:r>
      <w:r>
        <w:t xml:space="preserve">,</w:t>
      </w:r>
      <w:r>
        <w:t xml:space="preserve"> </w:t>
      </w:r>
      <w:r>
        <w:t xml:space="preserve">pp. 1-5, 2018. https://doi.org/10.1109/ICDSP.2018.8631638</w:t>
      </w:r>
    </w:p>
    <w:p>
      <w:pPr>
        <w:pStyle w:val="BodyText"/>
      </w:pPr>
      <w:r>
        <w:t xml:space="preserve">[9] M. Shalan and T. Edwards,</w:t>
      </w:r>
      <w:r>
        <w:t xml:space="preserve"> </w:t>
      </w:r>
      <w:r>
        <w:t xml:space="preserve">“</w:t>
      </w:r>
      <w:r>
        <w:t xml:space="preserve">Building OpenLANE: A 130nm OpenROAD-based</w:t>
      </w:r>
      <w:r>
        <w:t xml:space="preserve"> </w:t>
      </w:r>
      <w:r>
        <w:t xml:space="preserve">Tapeout-Proven Flow,</w:t>
      </w:r>
      <w:r>
        <w:t xml:space="preserve">”</w:t>
      </w:r>
      <w:r>
        <w:t xml:space="preserve"> </w:t>
      </w:r>
      <w:r>
        <w:rPr>
          <w:i/>
        </w:rPr>
        <w:t xml:space="preserve">2020 IEEE/ACM International Conference on Computer</w:t>
      </w:r>
      <w:r>
        <w:rPr>
          <w:i/>
        </w:rPr>
        <w:t xml:space="preserve"> </w:t>
      </w:r>
      <w:r>
        <w:rPr>
          <w:i/>
        </w:rPr>
        <w:t xml:space="preserve">Aided Design (ICCAD)</w:t>
      </w:r>
      <w:r>
        <w:t xml:space="preserve">, article 110, pp. 1-6, 2020.</w:t>
      </w:r>
      <w:r>
        <w:t xml:space="preserve"> </w:t>
      </w:r>
      <w:r>
        <w:t xml:space="preserve">https://doi.org/10.1145/3400302.3415735</w:t>
      </w:r>
    </w:p>
    <w:p>
      <w:pPr>
        <w:pStyle w:val="BodyText"/>
      </w:pPr>
      <w:r>
        <w:t xml:space="preserve">[10] SkyWater Technology and Google,</w:t>
      </w:r>
      <w:r>
        <w:t xml:space="preserve"> </w:t>
      </w:r>
      <w:r>
        <w:t xml:space="preserve">“</w:t>
      </w:r>
      <w:r>
        <w:t xml:space="preserve">SkyWater Open Source PDK (SKY130).</w:t>
      </w:r>
      <w:r>
        <w:t xml:space="preserve">”</w:t>
      </w:r>
      <w:r>
        <w:t xml:space="preserve"> </w:t>
      </w:r>
      <w:r>
        <w:t xml:space="preserve">https://github.com/google/skywater-pdk</w:t>
      </w:r>
    </w:p>
    <w:p>
      <w:pPr>
        <w:pStyle w:val="BodyText"/>
      </w:pPr>
      <w:r>
        <w:t xml:space="preserve">[11] litneet64,</w:t>
      </w:r>
      <w:r>
        <w:t xml:space="preserve"> </w:t>
      </w:r>
      <w:r>
        <w:t xml:space="preserve">“</w:t>
      </w:r>
      <w:r>
        <w:t xml:space="preserve">RO-based Physically Unclonable Function in sky130</w:t>
      </w:r>
      <w:r>
        <w:t xml:space="preserve"> </w:t>
      </w:r>
      <w:r>
        <w:t xml:space="preserve">(TinyTapeout tt07).</w:t>
      </w:r>
      <w:r>
        <w:t xml:space="preserve">”</w:t>
      </w:r>
      <w:r>
        <w:t xml:space="preserve"> </w:t>
      </w:r>
      <w:r>
        <w:t xml:space="preserve">https://github.com/litneet64/tt07-RO-based-PUF</w:t>
      </w:r>
    </w:p>
    <w:p>
      <w:pPr>
        <w:pStyle w:val="BodyText"/>
      </w:pPr>
      <w:r>
        <w:t xml:space="preserve">[12] S. Katzenbeisser, U. Kocabas, V. Rozic, A.-R. Sadeghi, I. Verbauwhede,</w:t>
      </w:r>
      <w:r>
        <w:t xml:space="preserve"> </w:t>
      </w:r>
      <w:r>
        <w:t xml:space="preserve">and C. Wachsmann,</w:t>
      </w:r>
      <w:r>
        <w:t xml:space="preserve"> </w:t>
      </w:r>
      <w:r>
        <w:t xml:space="preserve">“</w:t>
      </w:r>
      <w:r>
        <w:t xml:space="preserve">PUFs: Myth, Fact or Busted? A Security Evaluation of</w:t>
      </w:r>
      <w:r>
        <w:t xml:space="preserve"> </w:t>
      </w:r>
      <w:r>
        <w:t xml:space="preserve">Physically Unclonable Functions (PUFs) Cast in Silicon,</w:t>
      </w:r>
      <w:r>
        <w:t xml:space="preserve">”</w:t>
      </w:r>
      <w:r>
        <w:t xml:space="preserve"> </w:t>
      </w:r>
      <w:r>
        <w:rPr>
          <w:i/>
        </w:rPr>
        <w:t xml:space="preserve">Cryptographic</w:t>
      </w:r>
      <w:r>
        <w:rPr>
          <w:i/>
        </w:rPr>
        <w:t xml:space="preserve"> </w:t>
      </w:r>
      <w:r>
        <w:rPr>
          <w:i/>
        </w:rPr>
        <w:t xml:space="preserve">Hardware and Embedded Systems (CHES 2012)</w:t>
      </w:r>
      <w:r>
        <w:t xml:space="preserve">, LNCS 7428, pp. 283-301, 2012.</w:t>
      </w:r>
      <w:r>
        <w:t xml:space="preserve"> </w:t>
      </w:r>
      <w:r>
        <w:t xml:space="preserve">https://doi.org/10.1007/978-3-642-33027-8_17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2026-07-23T08:24:40Z</dcterms:created>
  <dcterms:modified xsi:type="dcterms:W3CDTF">2026-07-23T08:24:40Z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