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d656bcc2a3775fd3ed2c642ddd2647a0b2b3d7"/>
      <w:r>
        <w:t xml:space="preserve">Deterministic Layout Bias in a Ring-Oscillator PUF: A Pre-Silicon Study on the Open SKY130 Flow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Independent researcher · Georgia</w:t>
      </w:r>
    </w:p>
    <w:p>
      <w:pPr>
        <w:pStyle w:val="BodyText"/>
      </w:pPr>
      <w:r>
        <w:t xml:space="preserve">Draft, 2026-07-23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deterministic frequency pattern of its own</w:t>
      </w:r>
      <w:r>
        <w:t xml:space="preserve"> </w:t>
      </w:r>
      <w:r>
        <w:t xml:space="preserve">on top of that variation. I isolate this implementation contribution for</w:t>
      </w:r>
      <w:r>
        <w:t xml:space="preserve"> </w:t>
      </w:r>
      <w:r>
        <w:t xml:space="preserve">layouts produced by the OpenLane/OpenROAD flow with the open SKY130 process</w:t>
      </w:r>
      <w:r>
        <w:t xml:space="preserve"> </w:t>
      </w:r>
      <w:r>
        <w:t xml:space="preserve">design kit, by simulating routed netlists and extracted capacitances at the</w:t>
      </w:r>
      <w:r>
        <w:t xml:space="preserve"> </w:t>
      </w:r>
      <w:r>
        <w:t xml:space="preserve">nominal device corner. No fabricated devices have been measured yet.</w:t>
      </w:r>
    </w:p>
    <w:p>
      <w:pPr>
        <w:pStyle w:val="BodyText"/>
      </w:pPr>
      <w:r>
        <w:t xml:space="preserve">In a coherent build from the current RTL, one that passes Magic DRC, KLayout</w:t>
      </w:r>
      <w:r>
        <w:t xml:space="preserve"> </w:t>
      </w:r>
      <w:r>
        <w:t xml:space="preserve">DRC, XOR, LVS, antenna, and power grid with zero violations, the 16</w:t>
      </w:r>
      <w:r>
        <w:t xml:space="preserve"> </w:t>
      </w:r>
      <w:r>
        <w:t xml:space="preserve">automatically placed oscillators of Arm A spread 10.5% peak to peak in nominal</w:t>
      </w:r>
      <w:r>
        <w:t xml:space="preserve"> </w:t>
      </w:r>
      <w:r>
        <w:t xml:space="preserve">post-layout simulation. Two earlier builds show the same effect at 8.8%</w:t>
      </w:r>
      <w:r>
        <w:t xml:space="preserve"> </w:t>
      </w:r>
      <w:r>
        <w:t xml:space="preserve">(a 32-oscillator layout) and 5.4% (an archived dual-arm snapshot). The three</w:t>
      </w:r>
      <w:r>
        <w:t xml:space="preserve"> </w:t>
      </w:r>
      <w:r>
        <w:t xml:space="preserve">builds produced different frequency patterns, which fits placement and routing</w:t>
      </w:r>
      <w:r>
        <w:t xml:space="preserve"> </w:t>
      </w:r>
      <w:r>
        <w:t xml:space="preserve">setting the bias run by run. Within this lumped-capacitance model the spread</w:t>
      </w:r>
      <w:r>
        <w:t xml:space="preserve"> </w:t>
      </w:r>
      <w:r>
        <w:t xml:space="preserve">is almost entirely explained by the extracted ring capacitance the model puts</w:t>
      </w:r>
      <w:r>
        <w:t xml:space="preserve"> </w:t>
      </w:r>
      <w:r>
        <w:t xml:space="preserve">back in as a load (Pearson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near -0.999), so the result worth keeping is</w:t>
      </w:r>
      <w:r>
        <w:t xml:space="preserve"> </w:t>
      </w:r>
      <w:r>
        <w:t xml:space="preserve">the size of the spread and its physical cause, not the coefficient.</w:t>
      </w:r>
      <w:r>
        <w:t xml:space="preserve"> </w:t>
      </w: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Two caveats on the comparison itself. Arm B has a macro boundary and</w:t>
      </w:r>
      <w:r>
        <w:t xml:space="preserve"> </w:t>
      </w:r>
      <w:r>
        <w:t xml:space="preserve">different top-level connectivity, so the arms are not perfect experimental</w:t>
      </w:r>
      <w:r>
        <w:t xml:space="preserve"> </w:t>
      </w:r>
      <w:r>
        <w:t xml:space="preserve">twins. The main results below come from a coherent build of the current RTL</w:t>
      </w:r>
      <w:r>
        <w:t xml:space="preserve"> </w:t>
      </w:r>
      <w:r>
        <w:t xml:space="preserve">that passes every sign-off check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starts from the routed gate-level netlist and the OpenROAD SPEF</w:t>
      </w:r>
      <w:r>
        <w:t xml:space="preserve"> </w:t>
      </w:r>
      <w:r>
        <w:t xml:space="preserve">at the nominal corner. A generator identifies each oscillator, takes the</w:t>
      </w:r>
      <w:r>
        <w:t xml:space="preserve"> </w:t>
      </w:r>
      <w:r>
        <w:t xml:space="preserve">total extracted capacitance from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record, and</w:t>
      </w:r>
      <w:r>
        <w:t xml:space="preserve"> </w:t>
      </w:r>
      <w:r>
        <w:t xml:space="preserve">places it as a grounded lumped load. It emits two ngspice decks per</w:t>
      </w:r>
      <w:r>
        <w:t xml:space="preserve"> </w:t>
      </w:r>
      <w:r>
        <w:t xml:space="preserve">automatically placed oscillator: a control deck without parasitics and a</w:t>
      </w:r>
      <w:r>
        <w:t xml:space="preserve"> </w:t>
      </w:r>
      <w:r>
        <w:t xml:space="preserve">post-layout deck with them. Device models stay at the nominal corner, which</w:t>
      </w:r>
      <w:r>
        <w:t xml:space="preserve"> </w:t>
      </w:r>
      <w:r>
        <w:t xml:space="preserve">isolates the layout contribution instead of simulating a population of</w:t>
      </w:r>
      <w:r>
        <w:t xml:space="preserve"> </w:t>
      </w:r>
      <w:r>
        <w:t xml:space="preserve">fabricated parts.</w:t>
      </w:r>
    </w:p>
    <w:p>
      <w:pPr>
        <w:pStyle w:val="BodyText"/>
      </w:pPr>
      <w:r>
        <w:t xml:space="preserve">Only one oscillator runs at a time in a real measurement, so coupling to</w:t>
      </w:r>
      <w:r>
        <w:t xml:space="preserve"> </w:t>
      </w:r>
      <w:r>
        <w:t xml:space="preserve">inactive neighbours is treated as a fixed grounded load, and distributed</w:t>
      </w:r>
      <w:r>
        <w:t xml:space="preserve"> </w:t>
      </w:r>
      <w:r>
        <w:t xml:space="preserve">wire resistance is omitted; a separate estimate put its stage-delay effect</w:t>
      </w:r>
      <w:r>
        <w:t xml:space="preserve"> </w:t>
      </w:r>
      <w:r>
        <w:t xml:space="preserve">below 0.1% for these nets.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standard deviation of 10.9 MHz.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coherent dual-arm build contains 16 automatically placed</w:t>
      </w:r>
      <w:r>
        <w:t xml:space="preserve"> </w:t>
      </w:r>
      <w:r>
        <w:t xml:space="preserve">oscillators. Their nominal post-layout frequencies have a mean of 551.7 MHz</w:t>
      </w:r>
      <w:r>
        <w:t xml:space="preserve"> </w:t>
      </w:r>
      <w:r>
        <w:t xml:space="preserve">and a 58.0 MHz peak-to-peak range, 10.5% of the mean,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</w:t>
      </w:r>
      <w:r>
        <w:t xml:space="preserve"> </w:t>
      </w:r>
      <w:r>
        <w:t xml:space="preserve">against extracted ring capacitance (Figure 4). This build passes Magic DRC,</w:t>
      </w:r>
      <w:r>
        <w:t xml:space="preserve"> </w:t>
      </w:r>
      <w:r>
        <w:t xml:space="preserve">KLayout DRC, XOR, LVS, antenna, and power grid with zero violations, so the</w:t>
      </w:r>
      <w:r>
        <w:t xml:space="preserve"> </w:t>
      </w:r>
      <w:r>
        <w:t xml:space="preserve">spread and the manufacturable GDS come from the same run.</w:t>
      </w:r>
    </w:p>
    <w:p>
      <w:pPr>
        <w:pStyle w:val="BodyText"/>
      </w:pPr>
      <w:r>
        <w:t xml:space="preserve">The three builds do not share a frequency pattern or a spread: 10.5% here,</w:t>
      </w:r>
      <w:r>
        <w:t xml:space="preserve"> </w:t>
      </w:r>
      <w:r>
        <w:t xml:space="preserve">5.4% in an earlier archived dual-arm snapshot, and 8.8% in the 32-oscillator</w:t>
      </w:r>
      <w:r>
        <w:t xml:space="preserve"> </w:t>
      </w:r>
      <w:r>
        <w:t xml:space="preserve">build. A handful of layouts is not a distribution, but differences this large</w:t>
      </w:r>
      <w:r>
        <w:t xml:space="preserve"> </w:t>
      </w:r>
      <w:r>
        <w:t xml:space="preserve">fit placement and routing setting the bias for each run, and mean a single</w:t>
      </w:r>
      <w:r>
        <w:t xml:space="preserve"> </w:t>
      </w:r>
      <w:r>
        <w:t xml:space="preserve">layout cannot say what fraction of the response will be common across dies.</w:t>
      </w:r>
      <w:r>
        <w:t xml:space="preserve"> </w:t>
      </w:r>
      <w:r>
        <w:t xml:space="preserve">Usefully, the 32-oscillator build’s capacitance fit predicts this build’s mean</w:t>
      </w:r>
      <w:r>
        <w:t xml:space="preserve"> </w:t>
      </w:r>
      <w:r>
        <w:t xml:space="preserve">to 0.04%, so the mechanism carries across builds even though the pattern does</w:t>
      </w:r>
      <w:r>
        <w:t xml:space="preserve"> </w:t>
      </w:r>
      <w:r>
        <w:t xml:space="preserve">not.</w:t>
      </w:r>
    </w:p>
    <w:p>
      <w:pPr>
        <w:pStyle w:val="Heading2"/>
      </w:pPr>
      <w:bookmarkStart w:id="31" w:name="matched-macro-arm"/>
      <w:r>
        <w:t xml:space="preserve">6. Matched-macro arm</w:t>
      </w:r>
      <w:bookmarkEnd w:id="31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So the</w:t>
      </w:r>
      <w:r>
        <w:t xml:space="preserve"> </w:t>
      </w:r>
      <w:r>
        <w:t xml:space="preserve">honest pre-silicon claim is narrow. The matched arm removes the internal-layout term, and whether that gives a smaller total spread than Arm A is the</w:t>
      </w:r>
      <w:r>
        <w:t xml:space="preserve"> </w:t>
      </w:r>
      <w:r>
        <w:t xml:space="preserve">measurement the chip exists to make, not something these simulations show.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coherent dual-arm build (10.5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coherent dual-arm build (10.5% peak to peak) beside the matched-macro reference line.</w:t>
      </w:r>
    </w:p>
    <w:p>
      <w:pPr>
        <w:pStyle w:val="Heading2"/>
      </w:pPr>
      <w:bookmarkStart w:id="34" w:name="Xdf9d62539b6016707a830fb3665a87ae4fa1b53"/>
      <w:r>
        <w:t xml:space="preserve">7. Security interpretation and planned silicon test</w:t>
      </w:r>
      <w:bookmarkEnd w:id="34"/>
    </w:p>
    <w:p>
      <w:pPr>
        <w:pStyle w:val="Heading3"/>
      </w:pPr>
      <w:bookmarkStart w:id="35" w:name="parametric-examples"/>
      <w:r>
        <w:t xml:space="preserve">7.1 Parametric examples</w:t>
      </w:r>
      <w:bookmarkEnd w:id="35"/>
    </w:p>
    <w:p>
      <w:pPr>
        <w:pStyle w:val="FirstParagraph"/>
      </w:pPr>
      <w:r>
        <w:t xml:space="preserve">The repository includes a simple virtual-population model in which each</w:t>
      </w:r>
      <w:r>
        <w:t xml:space="preserve"> </w:t>
      </w:r>
      <w:r>
        <w:t xml:space="preserve">oscillator frequency is a shared layout term plus an independent mismatch</w:t>
      </w:r>
      <w:r>
        <w:t xml:space="preserve"> </w:t>
      </w:r>
      <w:r>
        <w:t xml:space="preserve">term. Under one set of assumptions, 200 virtual chips and eight adjacent</w:t>
      </w:r>
      <w:r>
        <w:t xml:space="preserve"> </w:t>
      </w:r>
      <w:r>
        <w:t xml:space="preserve">comparison bits gave 13.2% inter-chip Hamming distance for the automatically</w:t>
      </w:r>
      <w:r>
        <w:t xml:space="preserve"> </w:t>
      </w:r>
      <w:r>
        <w:t xml:space="preserve">placed pattern and 49.9% for the matched pattern; a position-based predictor</w:t>
      </w:r>
      <w:r>
        <w:t xml:space="preserve"> </w:t>
      </w:r>
      <w:r>
        <w:t xml:space="preserve">scored 91.2% and 49.2%. These numbers illustrate the proposed mechanism.</w:t>
      </w:r>
      <w:r>
        <w:t xml:space="preserve"> </w:t>
      </w:r>
      <w:r>
        <w:t xml:space="preserve">They move substantially when the assumed mismatch scale, comparison pairs,</w:t>
      </w:r>
      <w:r>
        <w:t xml:space="preserve"> </w:t>
      </w:r>
      <w:r>
        <w:t xml:space="preserve">or attacker information change, so I use them to motivate the silicon</w:t>
      </w:r>
      <w:r>
        <w:t xml:space="preserve"> </w:t>
      </w:r>
      <w:r>
        <w:t xml:space="preserve">experiment rather than to quantify a real attack.</w:t>
      </w:r>
    </w:p>
    <w:p>
      <w:pPr>
        <w:pStyle w:val="Heading3"/>
      </w:pPr>
      <w:bookmarkStart w:id="36" w:name="mismatch-scale-estimate"/>
      <w:r>
        <w:t xml:space="preserve">7.2 Mismatch scale estimate</w:t>
      </w:r>
      <w:bookmarkEnd w:id="36"/>
    </w:p>
    <w:p>
      <w:pPr>
        <w:pStyle w:val="FirstParagraph"/>
      </w:pPr>
      <w:r>
        <w:t xml:space="preserve">A 40-run ngspice Monte Carlo exercise with the PDK’s global mismatch draw</w:t>
      </w:r>
      <w:r>
        <w:t xml:space="preserve"> </w:t>
      </w:r>
      <w:r>
        <w:t xml:space="preserve">gave a frequency standard deviation of 0.345%. Dividing by</w:t>
      </w:r>
      <w:r>
        <w:t xml:space="preserve"> </w:t>
      </w:r>
      <w:r>
        <w:rPr>
          <w:rStyle w:val="VerbatimChar"/>
        </w:rPr>
        <w:t xml:space="preserve">sqrt(31)</w:t>
      </w:r>
      <w:r>
        <w:t xml:space="preserve"> </w:t>
      </w:r>
      <w:r>
        <w:t xml:space="preserve">gives</w:t>
      </w:r>
      <w:r>
        <w:t xml:space="preserve"> </w:t>
      </w:r>
      <w:r>
        <w:t xml:space="preserve">0.062% as a first-order estimate of the per-ring contribution from 31</w:t>
      </w:r>
      <w:r>
        <w:t xml:space="preserve"> </w:t>
      </w:r>
      <w:r>
        <w:t xml:space="preserve">similar stages, with a sampling-only interval of roughly 0.051% to 0.080%.</w:t>
      </w:r>
      <w:r>
        <w:t xml:space="preserve"> </w:t>
      </w:r>
      <w:r>
        <w:t xml:space="preserve">The scaling assumes equal, independent stage sensitivities, which the NAND</w:t>
      </w:r>
      <w:r>
        <w:t xml:space="preserve"> </w:t>
      </w:r>
      <w:r>
        <w:t xml:space="preserve">stage in particular violates, and 40 global draws are not independent local</w:t>
      </w:r>
      <w:r>
        <w:t xml:space="preserve"> </w:t>
      </w:r>
      <w:r>
        <w:t xml:space="preserve">mismatch. On this estimate the archived Arm A layout spread is roughly</w:t>
      </w:r>
      <w:r>
        <w:t xml:space="preserve"> </w:t>
      </w:r>
      <w:r>
        <w:t xml:space="preserve">twenty times the mismatch scale by standard deviation. I treat that ratio as</w:t>
      </w:r>
      <w:r>
        <w:t xml:space="preserve"> </w:t>
      </w:r>
      <w:r>
        <w:t xml:space="preserve">an argument that the layout term is large enough to be worth measuring, not</w:t>
      </w:r>
      <w:r>
        <w:t xml:space="preserve"> </w:t>
      </w:r>
      <w:r>
        <w:t xml:space="preserve">as a measured entropy figure; silicon will measure the denominator directly.</w:t>
      </w:r>
    </w:p>
    <w:p>
      <w:pPr>
        <w:pStyle w:val="Heading3"/>
      </w:pPr>
      <w:bookmarkStart w:id="37" w:name="what-silicon-has-to-show"/>
      <w:r>
        <w:t xml:space="preserve">7.3 What silicon has to show</w:t>
      </w:r>
      <w:bookmarkEnd w:id="37"/>
    </w:p>
    <w:p>
      <w:pPr>
        <w:pStyle w:val="FirstParagraph"/>
      </w:pPr>
      <w:r>
        <w:t xml:space="preserve">The main question for silicon is whether Arm A retains more of its nominal</w:t>
      </w:r>
      <w:r>
        <w:t xml:space="preserve"> </w:t>
      </w:r>
      <w:r>
        <w:t xml:space="preserve">layout pattern across dies than Arm B.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38" w:name="limitations"/>
      <w:r>
        <w:t xml:space="preserve">8. Limitations</w:t>
      </w:r>
      <w:bookmarkEnd w:id="38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Lumped capacitance omits</w:t>
      </w:r>
      <w:r>
        <w:t xml:space="preserve"> </w:t>
      </w:r>
      <w:r>
        <w:t xml:space="preserve">distributed RC and dynamic coupling; a distributed-RC extraction would test</w:t>
      </w:r>
      <w:r>
        <w:t xml:space="preserve"> </w:t>
      </w:r>
      <w:r>
        <w:t xml:space="preserve">whether the frequency ordering and the spread survive a fuller electrical</w:t>
      </w:r>
      <w:r>
        <w:t xml:space="preserve"> </w:t>
      </w:r>
      <w:r>
        <w:t xml:space="preserve">model, and running it on the fresh build is the obvious next check. Two</w:t>
      </w:r>
      <w:r>
        <w:t xml:space="preserve"> </w:t>
      </w:r>
      <w:r>
        <w:t xml:space="preserve">layouts do not define a</w:t>
      </w:r>
      <w:r>
        <w:t xml:space="preserve"> </w:t>
      </w:r>
      <w:r>
        <w:t xml:space="preserve">distribution over place-and-route seeds, floorplans, flows, or technologies,</w:t>
      </w:r>
      <w:r>
        <w:t xml:space="preserve"> </w:t>
      </w:r>
      <w:r>
        <w:t xml:space="preserve">and instances within a layout are related observations, so instance-level</w:t>
      </w:r>
      <w:r>
        <w:t xml:space="preserve"> </w:t>
      </w:r>
      <w:r>
        <w:t xml:space="preserve">confidence intervals would 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uncharacterized until chips exist, and</w:t>
      </w:r>
      <w:r>
        <w:t xml:space="preserve"> </w:t>
      </w:r>
      <w:r>
        <w:t xml:space="preserve">uniqueness, reliability, min-entropy, and attack success all need a</w:t>
      </w:r>
      <w:r>
        <w:t xml:space="preserve"> </w:t>
      </w:r>
      <w:r>
        <w:t xml:space="preserve">multi-chip data set with a stated threat model. The ripple counter is clocked by the oscillator itself, and its behaviour at</w:t>
      </w:r>
      <w:r>
        <w:t xml:space="preserve"> </w:t>
      </w:r>
      <w:r>
        <w:t xml:space="preserve">the fastest corner is checked only in behavioural simulation; the standard-cell flop at the oscillator-to-counter boundary still needs extracted,</w:t>
      </w:r>
      <w:r>
        <w:t xml:space="preserve"> </w:t>
      </w:r>
      <w:r>
        <w:t xml:space="preserve">across-corner timing before I trust the fast end of the range. None of this</w:t>
      </w:r>
      <w:r>
        <w:t xml:space="preserve"> </w:t>
      </w:r>
      <w:r>
        <w:t xml:space="preserve">erases the observed nominal layout component; it bounds what can be concluded</w:t>
      </w:r>
      <w:r>
        <w:t xml:space="preserve"> </w:t>
      </w:r>
      <w:r>
        <w:t xml:space="preserve">from it.</w:t>
      </w:r>
    </w:p>
    <w:p>
      <w:pPr>
        <w:pStyle w:val="Heading2"/>
      </w:pPr>
      <w:bookmarkStart w:id="39" w:name="conclusion"/>
      <w:r>
        <w:t xml:space="preserve">9. Conclusion</w:t>
      </w:r>
      <w:bookmarkEnd w:id="39"/>
    </w:p>
    <w:p>
      <w:pPr>
        <w:pStyle w:val="FirstParagraph"/>
      </w:pPr>
      <w:r>
        <w:t xml:space="preserve">Three automatically placed SKY130 RO arrays show a nominal post-layout</w:t>
      </w:r>
      <w:r>
        <w:t xml:space="preserve"> </w:t>
      </w:r>
      <w:r>
        <w:t xml:space="preserve">frequency pattern that tracks extracted ring capacitance closely: 10.5% peak</w:t>
      </w:r>
      <w:r>
        <w:t xml:space="preserve"> </w:t>
      </w:r>
      <w:r>
        <w:t xml:space="preserve">to peak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 in a coherent build of the current RTL, and 8.8%</w:t>
      </w:r>
      <w:r>
        <w:t xml:space="preserve"> </w:t>
      </w:r>
      <w:r>
        <w:t xml:space="preserve">and 5.4% in two earlier builds. A hardened macro provides a 569.5 MHz</w:t>
      </w:r>
      <w:r>
        <w:t xml:space="preserve"> </w:t>
      </w:r>
      <w:r>
        <w:t xml:space="preserve">shared-internal-layout reference for Arm B. The supported conclusion is that</w:t>
      </w:r>
      <w:r>
        <w:t xml:space="preserve"> </w:t>
      </w:r>
      <w:r>
        <w:t xml:space="preserve">the automated physical implementation introduced a sizeable deterministic</w:t>
      </w:r>
      <w:r>
        <w:t xml:space="preserve"> </w:t>
      </w:r>
      <w:r>
        <w:t xml:space="preserve">component in these routed designs, and that the mechanism, capacitive routing</w:t>
      </w:r>
      <w:r>
        <w:t xml:space="preserve"> </w:t>
      </w:r>
      <w:r>
        <w:t xml:space="preserve">load, carries between builds while the pattern itself does not.</w:t>
      </w:r>
    </w:p>
    <w:p>
      <w:pPr>
        <w:pStyle w:val="BodyText"/>
      </w:pPr>
      <w:r>
        <w:t xml:space="preserve">The stronger claims stay open on purpose. Whether the pattern survives</w:t>
      </w:r>
      <w:r>
        <w:t xml:space="preserve"> </w:t>
      </w:r>
      <w:r>
        <w:t xml:space="preserve">fabrication, dominates mismatch, reduces uniqueness, or supports a real</w:t>
      </w:r>
      <w:r>
        <w:t xml:space="preserve"> </w:t>
      </w:r>
      <w:r>
        <w:t xml:space="preserve">attack will be settled by measuring both arms of the fabricated chip under</w:t>
      </w:r>
      <w:r>
        <w:t xml:space="preserve"> </w:t>
      </w:r>
      <w:r>
        <w:t xml:space="preserve">the measurement protocol in the firmware.</w:t>
      </w:r>
    </w:p>
    <w:p>
      <w:pPr>
        <w:pStyle w:val="Heading2"/>
      </w:pPr>
      <w:bookmarkStart w:id="40" w:name="references"/>
      <w:r>
        <w:t xml:space="preserve">References</w:t>
      </w:r>
      <w:bookmarkEnd w:id="40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2026-07-23T12:41:07Z</dcterms:created>
  <dcterms:modified xsi:type="dcterms:W3CDTF">2026-07-23T12:41:07Z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