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14d4897d5826f8b5f5ce788894ce6873f71a1a"/>
      <w:r>
        <w:t xml:space="preserve">Quantifying Routing-Induced Frequency Dispersion in an Open-Source SKY130 Ring-Oscillator PUF: A Pre-Silicon Study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2026-07-23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The</w:t>
      </w:r>
      <w:r>
        <w:t xml:space="preserve"> </w:t>
      </w:r>
      <w:r>
        <w:t xml:space="preserve">physical implementation can add a frequency pattern of its own on top of that</w:t>
      </w:r>
      <w:r>
        <w:t xml:space="preserve"> </w:t>
      </w:r>
      <w:r>
        <w:t xml:space="preserve">variation. This paper quantifies one component of that pattern, the</w:t>
      </w:r>
      <w:r>
        <w:t xml:space="preserve"> </w:t>
      </w:r>
      <w:r>
        <w:t xml:space="preserve">instance-to-instance routing capacitance assigned by the automated</w:t>
      </w:r>
      <w:r>
        <w:t xml:space="preserve"> </w:t>
      </w:r>
      <w:r>
        <w:t xml:space="preserve">OpenLane/OpenROAD flow on the open SKY130 process design kit, using a reduced</w:t>
      </w:r>
      <w:r>
        <w:t xml:space="preserve"> </w:t>
      </w:r>
      <w:r>
        <w:t xml:space="preserve">model: nominal transistor-level models of the verified post-route oscillator</w:t>
      </w:r>
      <w:r>
        <w:t xml:space="preserve"> </w:t>
      </w:r>
      <w:r>
        <w:t xml:space="preserve">topology, loaded with each ring net’s total extracted capacitance from the</w:t>
      </w:r>
      <w:r>
        <w:t xml:space="preserve"> </w:t>
      </w:r>
      <w:r>
        <w:t xml:space="preserve">final SPEF. No fabricated devices have been measured yet, and distributed</w:t>
      </w:r>
      <w:r>
        <w:t xml:space="preserve"> </w:t>
      </w:r>
      <w:r>
        <w:t xml:space="preserve">resistance and coupling are not represented.</w:t>
      </w:r>
    </w:p>
    <w:p>
      <w:pPr>
        <w:pStyle w:val="BodyText"/>
      </w:pPr>
      <w:r>
        <w:t xml:space="preserve">Under this model, the 16 automatically placed oscillators of Arm A in a</w:t>
      </w:r>
      <w:r>
        <w:t xml:space="preserve"> </w:t>
      </w:r>
      <w:r>
        <w:t xml:space="preserve">coherent build of the current RTL spread 10.5% peak to peak (population SD</w:t>
      </w:r>
      <w:r>
        <w:t xml:space="preserve"> </w:t>
      </w:r>
      <w:r>
        <w:t xml:space="preserve">2.36%, mean 551.7 MHz). One oscillator with an unusually heavy routing load</w:t>
      </w:r>
      <w:r>
        <w:t xml:space="preserve"> </w:t>
      </w:r>
      <w:r>
        <w:t xml:space="preserve">(24.4 fF against a 11.7 to 17.0 fF range for the rest) contributes much of the</w:t>
      </w:r>
      <w:r>
        <w:t xml:space="preserve"> </w:t>
      </w:r>
      <w:r>
        <w:t xml:space="preserve">extreme range: without it the peak-to-peak figure is 4.6% and the SD 1.25%,</w:t>
      </w:r>
      <w:r>
        <w:t xml:space="preserve"> </w:t>
      </w:r>
      <w:r>
        <w:t xml:space="preserve">while the capacitance-frequency relation is essentially unchanged. Two earlier</w:t>
      </w:r>
      <w:r>
        <w:t xml:space="preserve"> </w:t>
      </w:r>
      <w:r>
        <w:t xml:space="preserve">uncontrolled builds showed dispersions of 8.8% and 5.4% with different</w:t>
      </w:r>
      <w:r>
        <w:t xml:space="preserve"> </w:t>
      </w:r>
      <w:r>
        <w:t xml:space="preserve">per-instance patterns; they are supporting historical observations, not</w:t>
      </w:r>
      <w:r>
        <w:t xml:space="preserve"> </w:t>
      </w:r>
      <w:r>
        <w:t xml:space="preserve">controlled replicates. A linear capacitance fit trained on the earlier</w:t>
      </w:r>
      <w:r>
        <w:t xml:space="preserve"> </w:t>
      </w:r>
      <w:r>
        <w:t xml:space="preserve">32-oscillator build predicts the current build’s 16 frequencies with a mean</w:t>
      </w:r>
      <w:r>
        <w:t xml:space="preserve"> </w:t>
      </w:r>
      <w:r>
        <w:t xml:space="preserve">absolute error of 0.14% and rank correlation 0.997, so the capacitive</w:t>
      </w:r>
      <w:r>
        <w:t xml:space="preserve"> </w:t>
      </w:r>
      <w:r>
        <w:t xml:space="preserve">mechanism transfers across builds even though each pattern is unique to its</w:t>
      </w:r>
      <w:r>
        <w:t xml:space="preserve"> </w:t>
      </w:r>
      <w:r>
        <w:t xml:space="preserve">routing run.</w:t>
      </w:r>
      <w:r>
        <w:t xml:space="preserve"> </w:t>
      </w:r>
      <w:r>
        <w:t xml:space="preserve">The comparison arm, Arm B, uses one hardened oscillator macro sixteen times.</w:t>
      </w:r>
      <w:r>
        <w:t xml:space="preserve"> </w:t>
      </w:r>
      <w:r>
        <w:t xml:space="preserve">A single extraction of that macro gives a 569.5 MHz reference for the shared</w:t>
      </w:r>
      <w:r>
        <w:t xml:space="preserve"> </w:t>
      </w:r>
      <w:r>
        <w:t xml:space="preserve">internal layout, which removes internal-layout variation by construction but</w:t>
      </w:r>
      <w:r>
        <w:t xml:space="preserve"> </w:t>
      </w:r>
      <w:r>
        <w:t xml:space="preserve">does not on its own prove a smaller total spread once the chips are made.</w:t>
      </w:r>
    </w:p>
    <w:p>
      <w:pPr>
        <w:pStyle w:val="BodyText"/>
      </w:pPr>
      <w:r>
        <w:t xml:space="preserve">The contribution is a pre-fabrication diagnostic, traceable in the</w:t>
      </w:r>
      <w:r>
        <w:t xml:space="preserve"> </w:t>
      </w:r>
      <w:r>
        <w:t xml:space="preserve">repository, that separates nominal layout bias from the variation a PUF is</w:t>
      </w:r>
      <w:r>
        <w:t xml:space="preserve"> </w:t>
      </w:r>
      <w:r>
        <w:t xml:space="preserve">supposed to use. Whether the layout pattern repeats across dies, reduces</w:t>
      </w:r>
      <w:r>
        <w:t xml:space="preserve"> </w:t>
      </w:r>
      <w:r>
        <w:t xml:space="preserve">uniqueness, or enables a practical prediction attack is left for the silicon</w:t>
      </w:r>
      <w:r>
        <w:t xml:space="preserve"> </w:t>
      </w:r>
      <w:r>
        <w:t xml:space="preserve">phase, not claimed here.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</w:t>
      </w:r>
      <w:r>
        <w:t xml:space="preserve"> </w:t>
      </w:r>
      <w:r>
        <w:t xml:space="preserve">and converts comparisons into response bits [1]. Ideally the useful</w:t>
      </w:r>
      <w:r>
        <w:t xml:space="preserve"> </w:t>
      </w:r>
      <w:r>
        <w:t xml:space="preserve">chip-to-chip differences come from manufacturing variation. In practice,</w:t>
      </w:r>
      <w:r>
        <w:t xml:space="preserve"> </w:t>
      </w:r>
      <w:r>
        <w:t xml:space="preserve">placement and routing give instances different parasitic loads, which adds a</w:t>
      </w:r>
      <w:r>
        <w:t xml:space="preserve"> </w:t>
      </w:r>
      <w:r>
        <w:t xml:space="preserve">deterministic component to the comparison.</w:t>
      </w:r>
    </w:p>
    <w:p>
      <w:pPr>
        <w:pStyle w:val="BodyText"/>
      </w:pPr>
      <w:r>
        <w:t xml:space="preserve">A fixed layout pattern is not automatically a security failure. Random</w:t>
      </w:r>
      <w:r>
        <w:t xml:space="preserve"> </w:t>
      </w:r>
      <w:r>
        <w:t xml:space="preserve">mismatch may be larger, comparisons may cancel shared structure, and response</w:t>
      </w:r>
      <w:r>
        <w:t xml:space="preserve"> </w:t>
      </w:r>
      <w:r>
        <w:t xml:space="preserve">processing may absorb bias. But a layout component that repeats across chips</w:t>
      </w:r>
      <w:r>
        <w:t xml:space="preserve"> </w:t>
      </w:r>
      <w:r>
        <w:t xml:space="preserve">could reduce uniqueness or make some comparisons predictable, and deciding</w:t>
      </w:r>
      <w:r>
        <w:t xml:space="preserve"> </w:t>
      </w:r>
      <w:r>
        <w:t xml:space="preserve">between those outcomes takes measurements from multiple fabricated devices.</w:t>
      </w:r>
    </w:p>
    <w:p>
      <w:pPr>
        <w:pStyle w:val="BodyText"/>
      </w:pPr>
      <w:r>
        <w:t xml:space="preserve">This paper reports the pre-silicon part of that investigation. The question</w:t>
      </w:r>
      <w:r>
        <w:t xml:space="preserve"> </w:t>
      </w:r>
      <w:r>
        <w:t xml:space="preserve">is narrow: with transistor parameters held fixed, how much frequency</w:t>
      </w:r>
      <w:r>
        <w:t xml:space="preserve"> </w:t>
      </w:r>
      <w:r>
        <w:t xml:space="preserve">variation does the physical implementation of one open-source RO-PUF design</w:t>
      </w:r>
      <w:r>
        <w:t xml:space="preserve"> </w:t>
      </w:r>
      <w:r>
        <w:t xml:space="preserve">introduce? I contribute nominal post-layout results for two automatically</w:t>
      </w:r>
      <w:r>
        <w:t xml:space="preserve"> </w:t>
      </w:r>
      <w:r>
        <w:t xml:space="preserve">placed oscillator arrays, a capacitance-based explanation for the observed</w:t>
      </w:r>
      <w:r>
        <w:t xml:space="preserve"> </w:t>
      </w:r>
      <w:r>
        <w:t xml:space="preserve">spread, a matched-macro arm that gives every instance the same internal</w:t>
      </w:r>
      <w:r>
        <w:t xml:space="preserve"> </w:t>
      </w:r>
      <w:r>
        <w:t xml:space="preserve">geometry, the scripts to run the same diagnostic before any fabrication, and</w:t>
      </w:r>
      <w:r>
        <w:t xml:space="preserve"> </w:t>
      </w:r>
      <w:r>
        <w:t xml:space="preserve">the specific predictions I plan to test once chips come back.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Open-source ASIC flows allow an experiment that closed flows make awkward:</w:t>
      </w:r>
      <w:r>
        <w:t xml:space="preserve"> </w:t>
      </w:r>
      <w:r>
        <w:t xml:space="preserve">the designer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measurement this paper makes: the</w:t>
      </w:r>
      <w:r>
        <w:t xml:space="preserve"> </w:t>
      </w:r>
      <w:r>
        <w:t xml:space="preserve">nominal frequency component tied to instance-dependent routing in one</w:t>
      </w:r>
      <w:r>
        <w:t xml:space="preserve"> </w:t>
      </w:r>
      <w:r>
        <w:t xml:space="preserve">automated ASIC layout, quantified from the flow’s own extraction.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 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automatically-placed-arrays"/>
      <w:r>
        <w:t xml:space="preserve">5.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coherent dual-arm build contains 16 automatically placed</w:t>
      </w:r>
      <w:r>
        <w:t xml:space="preserve"> </w:t>
      </w:r>
      <w:r>
        <w:t xml:space="preserve">oscillators. Their nominal post-layout frequencies have a mean of 551.7 MHz</w:t>
      </w:r>
      <w:r>
        <w:t xml:space="preserve"> </w:t>
      </w:r>
      <w:r>
        <w:t xml:space="preserve">and a 58.0 MHz peak-to-peak range, 10.5% of the mean,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</w:t>
      </w:r>
      <w:r>
        <w:t xml:space="preserve"> </w:t>
      </w:r>
      <w:r>
        <w:t xml:space="preserve">against extracted ring capacitance (Figure 4). RO15 carries an unusually</w:t>
      </w:r>
      <w:r>
        <w:t xml:space="preserve"> </w:t>
      </w:r>
      <w:r>
        <w:t xml:space="preserve">heavy routing load, 24.35 fF where the other fifteen span 11.7 to 16.95 fF,</w:t>
      </w:r>
      <w:r>
        <w:t xml:space="preserve"> </w:t>
      </w:r>
      <w:r>
        <w:t xml:space="preserve">and sits at 508.5 MHz. Because peak-to-peak is outlier-sensitive, a</w:t>
      </w:r>
      <w:r>
        <w:t xml:space="preserve"> </w:t>
      </w:r>
      <w:r>
        <w:t xml:space="preserve">leave-one-out check matters: without RO15 the spread is 4.60% peak to peak</w:t>
      </w:r>
      <w:r>
        <w:t xml:space="preserve"> </w:t>
      </w:r>
      <w:r>
        <w:t xml:space="preserve">and the SD 1.25%, while the capacitance-frequency relation barely moves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-0.9987, rank correlation -0.996). The outlier is a real product of</w:t>
      </w:r>
      <w:r>
        <w:t xml:space="preserve"> </w:t>
      </w:r>
      <w:r>
        <w:t xml:space="preserve">the router, not a measurement fault, so it stays in the primary result; the</w:t>
      </w:r>
      <w:r>
        <w:t xml:space="preserve"> </w:t>
      </w:r>
      <w:r>
        <w:t xml:space="preserve">sensitivity numbers show exactly how much of the extreme range it carries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sensitivity.py</w:t>
      </w:r>
      <w:r>
        <w:t xml:space="preserve"> </w:t>
      </w:r>
      <w:r>
        <w:t xml:space="preserve">recomputes all of this from the raw logs). This build</w:t>
      </w:r>
      <w:r>
        <w:t xml:space="preserve"> </w:t>
      </w:r>
      <w:r>
        <w:t xml:space="preserve">passes Magic DRC, KLayout DRC, XOR, LVS, antenna, and power grid with zero</w:t>
      </w:r>
      <w:r>
        <w:t xml:space="preserve"> </w:t>
      </w:r>
      <w:r>
        <w:t xml:space="preserve">violations, so the dispersion estimate and the candidate GDS come from the</w:t>
      </w:r>
      <w:r>
        <w:t xml:space="preserve"> </w:t>
      </w:r>
      <w:r>
        <w:t xml:space="preserve">same run.</w:t>
      </w:r>
    </w:p>
    <w:p>
      <w:pPr>
        <w:pStyle w:val="BodyText"/>
      </w:pPr>
      <w:r>
        <w:t xml:space="preserve">The three builds do not share a frequency pattern or a spread: 10.5% here,</w:t>
      </w:r>
      <w:r>
        <w:t xml:space="preserve"> </w:t>
      </w:r>
      <w:r>
        <w:t xml:space="preserve">5.4% in an earlier archived dual-arm snapshot, 8.8% in the 32-oscillator</w:t>
      </w:r>
      <w:r>
        <w:t xml:space="preserve"> </w:t>
      </w:r>
      <w:r>
        <w:t xml:space="preserve">build. These are historical observations consistent with run-specific routing</w:t>
      </w:r>
      <w:r>
        <w:t xml:space="preserve"> </w:t>
      </w:r>
      <w:r>
        <w:t xml:space="preserve">assignments; they are not controlled replicates, since the builds differ in</w:t>
      </w:r>
      <w:r>
        <w:t xml:space="preserve"> </w:t>
      </w:r>
      <w:r>
        <w:t xml:space="preserve">source revision and settings as well as seed. The planned multi-seed study</w:t>
      </w:r>
      <w:r>
        <w:t xml:space="preserve"> </w:t>
      </w:r>
      <w:r>
        <w:t xml:space="preserve">addresses that properly. A stronger cross-build check than comparing spread</w:t>
      </w:r>
      <w:r>
        <w:t xml:space="preserve"> </w:t>
      </w:r>
      <w:r>
        <w:t xml:space="preserve">numbers is per-instance prediction: a linear capacitance fit trained only on</w:t>
      </w:r>
      <w:r>
        <w:t xml:space="preserve"> </w:t>
      </w:r>
      <w:r>
        <w:t xml:space="preserve">the 32-oscillator build (624.6 MHz - 4.93 MHz/fF) predicts this build’s 16</w:t>
      </w:r>
      <w:r>
        <w:t xml:space="preserve"> </w:t>
      </w:r>
      <w:r>
        <w:t xml:space="preserve">frequencies with MAE 0.77 MHz (0.14% of the mean), RMSE 1.18 MHz, and rank</w:t>
      </w:r>
      <w:r>
        <w:t xml:space="preserve"> </w:t>
      </w:r>
      <w:r>
        <w:t xml:space="preserve">correlation 0.997, with the largest error on the outlier RO15 (-0.80%). The</w:t>
      </w:r>
      <w:r>
        <w:t xml:space="preserve"> </w:t>
      </w:r>
      <w:r>
        <w:t xml:space="preserve">capacitive mechanism transfers between independent routing runs even though</w:t>
      </w:r>
      <w:r>
        <w:t xml:space="preserve"> </w:t>
      </w:r>
      <w:r>
        <w:t xml:space="preserve">each pattern is unique.</w:t>
      </w:r>
    </w:p>
    <w:p>
      <w:pPr>
        <w:pStyle w:val="Heading2"/>
      </w:pPr>
      <w:bookmarkStart w:id="31" w:name="matched-macro-arm"/>
      <w:r>
        <w:t xml:space="preserve">6. Matched-macro arm</w:t>
      </w:r>
      <w:bookmarkEnd w:id="31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Figures 3 and 4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The</w:t>
      </w:r>
      <w:r>
        <w:t xml:space="preserve"> </w:t>
      </w:r>
      <w:r>
        <w:t xml:space="preserve">simulation establishes only the internal-layout contribution under nominal</w:t>
      </w:r>
      <w:r>
        <w:t xml:space="preserve"> </w:t>
      </w:r>
      <w:r>
        <w:t xml:space="preserve">device parameters. 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3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 of the coherent dual-arm build (10.5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 of the coherent dual-arm build (10.5% peak to peak) beside the matched-macro reference line.</w:t>
      </w:r>
    </w:p>
    <w:p>
      <w:pPr>
        <w:pStyle w:val="Heading2"/>
      </w:pPr>
      <w:bookmarkStart w:id="34" w:name="planned-silicon-test"/>
      <w:r>
        <w:t xml:space="preserve">7. Planned silicon test</w:t>
      </w:r>
      <w:bookmarkEnd w:id="34"/>
    </w:p>
    <w:p>
      <w:pPr>
        <w:pStyle w:val="FirstParagraph"/>
      </w:pPr>
      <w:r>
        <w:t xml:space="preserve">Why could a repeatable mask-defined pattern matter to a PUF at all? A layout</w:t>
      </w:r>
      <w:r>
        <w:t xml:space="preserve"> </w:t>
      </w:r>
      <w:r>
        <w:t xml:space="preserve">component shared across dies can reduce uniqueness or make some comparisons</w:t>
      </w:r>
      <w:r>
        <w:t xml:space="preserve"> </w:t>
      </w:r>
      <w:r>
        <w:t xml:space="preserve">predictable, but prior work also shows systematic structure is not</w:t>
      </w:r>
      <w:r>
        <w:t xml:space="preserve"> </w:t>
      </w:r>
      <w:r>
        <w:t xml:space="preserve">automatically exploitable: Wilde, Hiller, and Pehl found adjacent-oscillator</w:t>
      </w:r>
      <w:r>
        <w:t xml:space="preserve"> </w:t>
      </w:r>
      <w:r>
        <w:t xml:space="preserve">comparisons suppressed the spatial structure in their data and their</w:t>
      </w:r>
      <w:r>
        <w:t xml:space="preserve"> </w:t>
      </w:r>
      <w:r>
        <w:t xml:space="preserve">predictor could not beat its baseline [4]. Which way this design falls is a</w:t>
      </w:r>
      <w:r>
        <w:t xml:space="preserve"> </w:t>
      </w:r>
      <w:r>
        <w:t xml:space="preserve">question for fabricated dies, not for the nominal model. A toy population</w:t>
      </w:r>
      <w:r>
        <w:t xml:space="preserve"> </w:t>
      </w:r>
      <w:r>
        <w:t xml:space="preserve">model and a first-order mismatch-scale estimate live in the repository’s</w:t>
      </w:r>
      <w:r>
        <w:t xml:space="preserve"> </w:t>
      </w:r>
      <w:r>
        <w:t xml:space="preserve">supplementary material (</w:t>
      </w:r>
      <w:r>
        <w:rPr>
          <w:rStyle w:val="VerbatimChar"/>
        </w:rPr>
        <w:t xml:space="preserve">sim/montecarlo.py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sim/spice/mc/</w:t>
      </w:r>
      <w:r>
        <w:t xml:space="preserve">); their outputs</w:t>
      </w:r>
      <w:r>
        <w:t xml:space="preserve"> </w:t>
      </w:r>
      <w:r>
        <w:t xml:space="preserve">depend on assumed amplitudes and a sqrt(31) scaling that the PDK’s global</w:t>
      </w:r>
      <w:r>
        <w:t xml:space="preserve"> </w:t>
      </w:r>
      <w:r>
        <w:t xml:space="preserve">mismatch draw does not really support, so no number from them appears here.</w:t>
      </w:r>
    </w:p>
    <w:p>
      <w:pPr>
        <w:pStyle w:val="BodyText"/>
      </w:pPr>
      <w:r>
        <w:t xml:space="preserve">The question for silicon is whether Arm A retains more of its nominal</w:t>
      </w:r>
      <w:r>
        <w:t xml:space="preserve"> </w:t>
      </w:r>
      <w:r>
        <w:t xml:space="preserve">layout pattern across dies than Arm B. The threat model I have in mind is</w:t>
      </w:r>
      <w:r>
        <w:t xml:space="preserve"> </w:t>
      </w:r>
      <w:r>
        <w:t xml:space="preserve">concrete: an attacker knows the public design and mask and holds measurements</w:t>
      </w:r>
      <w:r>
        <w:t xml:space="preserve"> </w:t>
      </w:r>
      <w:r>
        <w:t xml:space="preserve">from other dies of the same design, but none from the target die, and asks</w:t>
      </w:r>
      <w:r>
        <w:t xml:space="preserve"> </w:t>
      </w:r>
      <w:r>
        <w:t xml:space="preserve">whether the shared deterministic layout component lets them predict the target</w:t>
      </w:r>
      <w:r>
        <w:t xml:space="preserve"> </w:t>
      </w:r>
      <w:r>
        <w:t xml:space="preserve">die’s pair ordering above the relevant per-bit baseline. Predictor accuracy is</w:t>
      </w:r>
      <w:r>
        <w:t xml:space="preserve"> </w:t>
      </w:r>
      <w:r>
        <w:t xml:space="preserve">then judged against that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35" w:name="limitations"/>
      <w:r>
        <w:t xml:space="preserve">8. Limitations</w:t>
      </w:r>
      <w:bookmarkEnd w:id="35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Lumped capacitance omits</w:t>
      </w:r>
      <w:r>
        <w:t xml:space="preserve"> </w:t>
      </w:r>
      <w:r>
        <w:t xml:space="preserve">distributed RC and dynamic coupling; a distributed-RC extraction would test</w:t>
      </w:r>
      <w:r>
        <w:t xml:space="preserve"> </w:t>
      </w:r>
      <w:r>
        <w:t xml:space="preserve">whether the frequency ordering and the spread survive a fuller electrical</w:t>
      </w:r>
      <w:r>
        <w:t xml:space="preserve"> </w:t>
      </w:r>
      <w:r>
        <w:t xml:space="preserve">model, and running it on the fresh build is the obvious next check. The three</w:t>
      </w:r>
      <w:r>
        <w:t xml:space="preserve"> </w:t>
      </w:r>
      <w:r>
        <w:t xml:space="preserve">builds reported here are not a controlled replicate set; they differ in source</w:t>
      </w:r>
      <w:r>
        <w:t xml:space="preserve"> </w:t>
      </w:r>
      <w:r>
        <w:t xml:space="preserve">revision and tool settings as well as seed, so I do not aggregate their spreads</w:t>
      </w:r>
      <w:r>
        <w:t xml:space="preserve"> </w:t>
      </w:r>
      <w:r>
        <w:t xml:space="preserve">into one distribution. A planned multi-seed study that varies only the</w:t>
      </w:r>
      <w:r>
        <w:t xml:space="preserve"> </w:t>
      </w:r>
      <w:r>
        <w:t xml:space="preserve">place-and-route seed from one frozen source, config, and toolchain will give a</w:t>
      </w:r>
      <w:r>
        <w:t xml:space="preserve"> </w:t>
      </w:r>
      <w:r>
        <w:t xml:space="preserve">proper spread distribution at essentially no cost next to fabrication. Instances</w:t>
      </w:r>
      <w:r>
        <w:t xml:space="preserve"> </w:t>
      </w:r>
      <w:r>
        <w:t xml:space="preserve">within a single layout are also related observations, so instance-level</w:t>
      </w:r>
      <w:r>
        <w:t xml:space="preserve"> </w:t>
      </w:r>
      <w:r>
        <w:t xml:space="preserve">confidence intervals would 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uncharacterized until chips exist, and</w:t>
      </w:r>
      <w:r>
        <w:t xml:space="preserve"> </w:t>
      </w:r>
      <w:r>
        <w:t xml:space="preserve">uniqueness, reliability, min-entropy, and attack success all need a</w:t>
      </w:r>
      <w:r>
        <w:t xml:space="preserve"> </w:t>
      </w:r>
      <w:r>
        <w:t xml:space="preserve">multi-chip data set with a stated threat model. The ripple counter is</w:t>
      </w:r>
      <w:r>
        <w:t xml:space="preserve"> </w:t>
      </w:r>
      <w:r>
        <w:t xml:space="preserve">clocked by the oscillator itself, and its behaviour at the fastest corner is</w:t>
      </w:r>
      <w:r>
        <w:t xml:space="preserve"> </w:t>
      </w:r>
      <w:r>
        <w:t xml:space="preserve">checked only in behavioural simulation; the standard-cell flop at the</w:t>
      </w:r>
      <w:r>
        <w:t xml:space="preserve"> </w:t>
      </w:r>
      <w:r>
        <w:t xml:space="preserve">oscillator-to-counter boundary still needs extracted, across-corner timing</w:t>
      </w:r>
      <w:r>
        <w:t xml:space="preserve"> </w:t>
      </w:r>
      <w:r>
        <w:t xml:space="preserve">before the fast end of the range can be trusted. None of this erases the</w:t>
      </w:r>
      <w:r>
        <w:t xml:space="preserve"> </w:t>
      </w:r>
      <w:r>
        <w:t xml:space="preserve">modelled dispersion; it bounds what can be concluded from it.</w:t>
      </w:r>
    </w:p>
    <w:p>
      <w:pPr>
        <w:pStyle w:val="Heading2"/>
      </w:pPr>
      <w:bookmarkStart w:id="36" w:name="conclusion"/>
      <w:r>
        <w:t xml:space="preserve">9. Conclusion</w:t>
      </w:r>
      <w:bookmarkEnd w:id="36"/>
    </w:p>
    <w:p>
      <w:pPr>
        <w:pStyle w:val="FirstParagraph"/>
      </w:pPr>
      <w:r>
        <w:t xml:space="preserve">Under a reduced lumped-capacitance model of the verified post-route</w:t>
      </w:r>
      <w:r>
        <w:t xml:space="preserve"> </w:t>
      </w:r>
      <w:r>
        <w:t xml:space="preserve">topology, automated physical implementation gave the 16 oscillators of the</w:t>
      </w:r>
      <w:r>
        <w:t xml:space="preserve"> </w:t>
      </w:r>
      <w:r>
        <w:t xml:space="preserve">coherent current build a 10.5% peak-to-peak nominal frequency dispersion</w:t>
      </w:r>
      <w:r>
        <w:t xml:space="preserve"> </w:t>
      </w:r>
      <w:r>
        <w:t xml:space="preserve">(4.6% without the single heavy-routing outlier; SD 2.36% and 1.25%</w:t>
      </w:r>
      <w:r>
        <w:t xml:space="preserve"> </w:t>
      </w:r>
      <w:r>
        <w:t xml:space="preserve">respectively). Two earlier uncontrolled builds showed 8.8% and 5.4% with</w:t>
      </w:r>
      <w:r>
        <w:t xml:space="preserve"> </w:t>
      </w:r>
      <w:r>
        <w:t xml:space="preserve">different per-instance patterns, and a capacitance fit trained on one build</w:t>
      </w:r>
      <w:r>
        <w:t xml:space="preserve"> </w:t>
      </w:r>
      <w:r>
        <w:t xml:space="preserve">predicts another’s frequencies to 0.14% mean absolute error. A hardened</w:t>
      </w:r>
      <w:r>
        <w:t xml:space="preserve"> </w:t>
      </w:r>
      <w:r>
        <w:t xml:space="preserve">macro provides a 569.5 MHz shared-internal-layout reference for Arm B. What</w:t>
      </w:r>
      <w:r>
        <w:t xml:space="preserve"> </w:t>
      </w:r>
      <w:r>
        <w:t xml:space="preserve">this establishes is that the automated flow assigned substantially different</w:t>
      </w:r>
      <w:r>
        <w:t xml:space="preserve"> </w:t>
      </w:r>
      <w:r>
        <w:t xml:space="preserve">routing capacitance to logically identical oscillators, and that under</w:t>
      </w:r>
      <w:r>
        <w:t xml:space="preserve"> </w:t>
      </w:r>
      <w:r>
        <w:t xml:space="preserve">nominal device assumptions this predicts a frequency dispersion much larger</w:t>
      </w:r>
      <w:r>
        <w:t xml:space="preserve"> </w:t>
      </w:r>
      <w:r>
        <w:t xml:space="preserve">than zero, with a mechanism that transfers across routing runs.</w:t>
      </w:r>
    </w:p>
    <w:p>
      <w:pPr>
        <w:pStyle w:val="BodyText"/>
      </w:pPr>
      <w:r>
        <w:t xml:space="preserve">Uniqueness, reliability, min-entropy, and attack success are not evaluated</w:t>
      </w:r>
      <w:r>
        <w:t xml:space="preserve"> </w:t>
      </w:r>
      <w:r>
        <w:t xml:space="preserve">pre-silicon. Whether the mask-defined pattern survives fabrication, and how</w:t>
      </w:r>
      <w:r>
        <w:t xml:space="preserve"> </w:t>
      </w:r>
      <w:r>
        <w:t xml:space="preserve">it compares against real device mismatch, will be settled by measuring both</w:t>
      </w:r>
      <w:r>
        <w:t xml:space="preserve"> </w:t>
      </w:r>
      <w:r>
        <w:t xml:space="preserve">arms of the fabricated chips under the protocol in the firmware.</w:t>
      </w:r>
    </w:p>
    <w:p>
      <w:pPr>
        <w:pStyle w:val="Heading2"/>
      </w:pPr>
      <w:bookmarkStart w:id="37" w:name="references"/>
      <w:r>
        <w:t xml:space="preserve">References</w:t>
      </w:r>
      <w:bookmarkEnd w:id="37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2026-07-24T08:06:46Z</dcterms:created>
  <dcterms:modified xsi:type="dcterms:W3CDTF">2026-07-24T08:06:46Z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