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2.png" ContentType="image/png"/>
  <Override PartName="/word/media/rId36.png" ContentType="image/png"/>
  <Override PartName="/word/media/rId37.png" ContentType="image/png"/>
  <Override PartName="/word/media/rId29.png" ContentType="image/png"/>
  <Override PartName="/word/media/rId25.png" ContentType="image/png"/>
  <Override PartName="/word/media/rId35.png" ContentType="image/png"/>
  <Override PartName="/word/media/rId36.png" ContentType="image/png"/>
  <Override PartName="/word/media/rId32.png" ContentType="image/png"/>
  <Override PartName="/word/media/rId25.png" ContentType="image/png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Xd14d4897d5826f8b5f5ce788894ce6873f71a1a"/>
      <w:r>
        <w:t xml:space="preserve">Quantifying Routing-Induced Frequency Dispersion in an Open-Source SKY130 Ring-Oscillator PUF: A Pre-Silicon Study</w:t>
      </w:r>
      <w:bookmarkEnd w:id="20"/>
    </w:p>
    <w:p>
      <w:pPr>
        <w:pStyle w:val="FirstParagraph"/>
      </w:pPr>
      <w:r>
        <w:rPr>
          <w:b/>
        </w:rPr>
        <w:t xml:space="preserve">Nikoloz Demetrashvili</w:t>
      </w:r>
      <w:r>
        <w:t xml:space="preserve"> </w:t>
      </w:r>
      <w:r>
        <w:t xml:space="preserve">· Student researcher · Georgia</w:t>
      </w:r>
    </w:p>
    <w:p>
      <w:pPr>
        <w:pStyle w:val="BodyText"/>
      </w:pPr>
      <w:r>
        <w:t xml:space="preserve">Draft, 2026-07-27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1" w:name="abstract"/>
      <w:r>
        <w:t xml:space="preserve">Abstract</w:t>
      </w:r>
      <w:bookmarkEnd w:id="21"/>
    </w:p>
    <w:p>
      <w:pPr>
        <w:pStyle w:val="FirstParagraph"/>
      </w:pPr>
      <w:r>
        <w:t xml:space="preserve">A ring-oscillator physical unclonable function (RO-PUF) turns manufacturing</w:t>
      </w:r>
      <w:r>
        <w:t xml:space="preserve"> </w:t>
      </w:r>
      <w:r>
        <w:t xml:space="preserve">variation between nominally identical oscillators into a device secret. The</w:t>
      </w:r>
      <w:r>
        <w:t xml:space="preserve"> </w:t>
      </w:r>
      <w:r>
        <w:t xml:space="preserve">physical implementation can add a frequency pattern of its own on top of that</w:t>
      </w:r>
      <w:r>
        <w:t xml:space="preserve"> </w:t>
      </w:r>
      <w:r>
        <w:t xml:space="preserve">variation. This paper quantifies one component of that pattern, the</w:t>
      </w:r>
      <w:r>
        <w:t xml:space="preserve"> </w:t>
      </w:r>
      <w:r>
        <w:t xml:space="preserve">instance-to-instance routing capacitance assigned by the automated</w:t>
      </w:r>
      <w:r>
        <w:t xml:space="preserve"> </w:t>
      </w:r>
      <w:r>
        <w:t xml:space="preserve">OpenLane/OpenROAD flow on the open SKY130 process design kit, using a reduced</w:t>
      </w:r>
      <w:r>
        <w:t xml:space="preserve"> </w:t>
      </w:r>
      <w:r>
        <w:t xml:space="preserve">model: nominal transistor-level models of the verified post-route oscillator</w:t>
      </w:r>
      <w:r>
        <w:t xml:space="preserve"> </w:t>
      </w:r>
      <w:r>
        <w:t xml:space="preserve">topology, loaded with each ring net’s total extracted capacitance from the</w:t>
      </w:r>
      <w:r>
        <w:t xml:space="preserve"> </w:t>
      </w:r>
      <w:r>
        <w:t xml:space="preserve">final SPEF. No fabricated devices have been measured yet, and distributed</w:t>
      </w:r>
      <w:r>
        <w:t xml:space="preserve"> </w:t>
      </w:r>
      <w:r>
        <w:t xml:space="preserve">resistance and coupling are not represented.</w:t>
      </w:r>
    </w:p>
    <w:p>
      <w:pPr>
        <w:pStyle w:val="BodyText"/>
      </w:pPr>
      <w:r>
        <w:t xml:space="preserve">Under this model, the 16 automatically placed oscillators of Arm A in the</w:t>
      </w:r>
      <w:r>
        <w:t xml:space="preserve"> </w:t>
      </w:r>
      <w:r>
        <w:t xml:space="preserve">candidate build spread 5.53% peak to peak (population SD 1.65%, mean</w:t>
      </w:r>
      <w:r>
        <w:t xml:space="preserve"> </w:t>
      </w:r>
      <w:r>
        <w:t xml:space="preserve">554.7 MHz), with extracted ring capacitance running from 10.9 to 17.0 fF.</w:t>
      </w:r>
      <w:r>
        <w:t xml:space="preserve"> </w:t>
      </w:r>
      <w:r>
        <w:t xml:space="preserve">Because a single build only shows one draw of the router, I repeated the whole</w:t>
      </w:r>
      <w:r>
        <w:t xml:space="preserve"> </w:t>
      </w:r>
      <w:r>
        <w:t xml:space="preserve">flow nine times over a narrow band of placement density with the source,</w:t>
      </w:r>
      <w:r>
        <w:t xml:space="preserve"> </w:t>
      </w:r>
      <w:r>
        <w:t xml:space="preserve">floorplan, constraints, tool, and PDK frozen. Dispersion across those nine</w:t>
      </w:r>
      <w:r>
        <w:t xml:space="preserve"> </w:t>
      </w:r>
      <w:r>
        <w:t xml:space="preserve">builds has a median of 5.75% and a range of 4.19% to 6.99%. What does not move</w:t>
      </w:r>
      <w:r>
        <w:t xml:space="preserve"> </w:t>
      </w:r>
      <w:r>
        <w:t xml:space="preserve">is the mechanism: every build gives a frequency-capacitance correlation of</w:t>
      </w:r>
      <w:r>
        <w:t xml:space="preserve"> </w:t>
      </w:r>
      <w:r>
        <w:t xml:space="preserve">about -0.999, and the fitted slope of -4.94 MHz/fF in the candidate build</w:t>
      </w:r>
      <w:r>
        <w:t xml:space="preserve"> </w:t>
      </w:r>
      <w:r>
        <w:t xml:space="preserve">matches the -4.93 MHz/fF obtained earlier from an independent 32-oscillator</w:t>
      </w:r>
      <w:r>
        <w:t xml:space="preserve"> </w:t>
      </w:r>
      <w:r>
        <w:t xml:space="preserve">layout. That earlier fit also predicts this build’s 16 individual frequencies</w:t>
      </w:r>
      <w:r>
        <w:t xml:space="preserve"> </w:t>
      </w:r>
      <w:r>
        <w:t xml:space="preserve">to a mean absolute error near 0.1%. An older build reported 10.5%, well above</w:t>
      </w:r>
      <w:r>
        <w:t xml:space="preserve"> </w:t>
      </w:r>
      <w:r>
        <w:t xml:space="preserve">the sweep, and it owed most of that range to one oscillator the router had</w:t>
      </w:r>
      <w:r>
        <w:t xml:space="preserve"> </w:t>
      </w:r>
      <w:r>
        <w:t xml:space="preserve">loaded with 24.4 fF; no oscillator in the candidate build is loaded that way. So</w:t>
      </w:r>
      <w:r>
        <w:t xml:space="preserve"> </w:t>
      </w:r>
      <w:r>
        <w:t xml:space="preserve">a peak-to-peak number describes the build it came from, and I report the nine</w:t>
      </w:r>
      <w:r>
        <w:t xml:space="preserve"> </w:t>
      </w:r>
      <w:r>
        <w:t xml:space="preserve">builds together for that reason.</w:t>
      </w:r>
    </w:p>
    <w:p>
      <w:pPr>
        <w:pStyle w:val="BodyText"/>
      </w:pPr>
      <w:r>
        <w:t xml:space="preserve">The comparison arm, Arm B, uses one hardened oscillator macro sixteen times.</w:t>
      </w:r>
      <w:r>
        <w:t xml:space="preserve"> </w:t>
      </w:r>
      <w:r>
        <w:t xml:space="preserve">A single extraction of that macro gives a 569.5 MHz reference for the shared</w:t>
      </w:r>
      <w:r>
        <w:t xml:space="preserve"> </w:t>
      </w:r>
      <w:r>
        <w:t xml:space="preserve">internal layout, which removes internal-layout variation by construction but</w:t>
      </w:r>
      <w:r>
        <w:t xml:space="preserve"> </w:t>
      </w:r>
      <w:r>
        <w:t xml:space="preserve">does not on its own prove a smaller total spread once the chips are made.</w:t>
      </w:r>
    </w:p>
    <w:p>
      <w:pPr>
        <w:pStyle w:val="BodyText"/>
      </w:pPr>
      <w:r>
        <w:t xml:space="preserve">The contribution is a pre-fabrication diagnostic, traceable in the</w:t>
      </w:r>
      <w:r>
        <w:t xml:space="preserve"> </w:t>
      </w:r>
      <w:r>
        <w:t xml:space="preserve">repository, that separates nominal layout bias from the variation a PUF is</w:t>
      </w:r>
      <w:r>
        <w:t xml:space="preserve"> </w:t>
      </w:r>
      <w:r>
        <w:t xml:space="preserve">supposed to use. Whether the layout pattern repeats across dies, reduces</w:t>
      </w:r>
      <w:r>
        <w:t xml:space="preserve"> </w:t>
      </w:r>
      <w:r>
        <w:t xml:space="preserve">uniqueness, or enables a practical prediction attack is left for the silicon</w:t>
      </w:r>
      <w:r>
        <w:t xml:space="preserve"> </w:t>
      </w:r>
      <w:r>
        <w:t xml:space="preserve">phase, not claimed here.</w:t>
      </w:r>
    </w:p>
    <w:p>
      <w:pPr>
        <w:pStyle w:val="Heading2"/>
      </w:pPr>
      <w:bookmarkStart w:id="22" w:name="introduction"/>
      <w:r>
        <w:t xml:space="preserve">1. Introduction</w:t>
      </w:r>
      <w:bookmarkEnd w:id="22"/>
    </w:p>
    <w:p>
      <w:pPr>
        <w:pStyle w:val="FirstParagraph"/>
      </w:pPr>
      <w:r>
        <w:t xml:space="preserve">An RO-PUF compares the frequencies of nominally identical ring oscillators</w:t>
      </w:r>
      <w:r>
        <w:t xml:space="preserve"> </w:t>
      </w:r>
      <w:r>
        <w:t xml:space="preserve">and converts comparisons into response bits [1]. Ideally the useful</w:t>
      </w:r>
      <w:r>
        <w:t xml:space="preserve"> </w:t>
      </w:r>
      <w:r>
        <w:t xml:space="preserve">chip-to-chip differences come from manufacturing variation. In practice,</w:t>
      </w:r>
      <w:r>
        <w:t xml:space="preserve"> </w:t>
      </w:r>
      <w:r>
        <w:t xml:space="preserve">placement and routing give instances different parasitic loads, which adds a</w:t>
      </w:r>
      <w:r>
        <w:t xml:space="preserve"> </w:t>
      </w:r>
      <w:r>
        <w:t xml:space="preserve">deterministic component to the comparison.</w:t>
      </w:r>
    </w:p>
    <w:p>
      <w:pPr>
        <w:pStyle w:val="BodyText"/>
      </w:pPr>
      <w:r>
        <w:t xml:space="preserve">A fixed layout pattern is not automatically a security failure. Random</w:t>
      </w:r>
      <w:r>
        <w:t xml:space="preserve"> </w:t>
      </w:r>
      <w:r>
        <w:t xml:space="preserve">mismatch may be larger, comparisons may cancel shared structure, and response</w:t>
      </w:r>
      <w:r>
        <w:t xml:space="preserve"> </w:t>
      </w:r>
      <w:r>
        <w:t xml:space="preserve">processing may absorb bias. But a layout component that repeats across chips</w:t>
      </w:r>
      <w:r>
        <w:t xml:space="preserve"> </w:t>
      </w:r>
      <w:r>
        <w:t xml:space="preserve">could reduce uniqueness or make some comparisons predictable, and deciding</w:t>
      </w:r>
      <w:r>
        <w:t xml:space="preserve"> </w:t>
      </w:r>
      <w:r>
        <w:t xml:space="preserve">between those outcomes takes measurements from multiple fabricated devices.</w:t>
      </w:r>
    </w:p>
    <w:p>
      <w:pPr>
        <w:pStyle w:val="BodyText"/>
      </w:pPr>
      <w:r>
        <w:t xml:space="preserve">This paper reports the pre-silicon part of that investigation. The question</w:t>
      </w:r>
      <w:r>
        <w:t xml:space="preserve"> </w:t>
      </w:r>
      <w:r>
        <w:t xml:space="preserve">is narrow: with transistor parameters held fixed, how much frequency</w:t>
      </w:r>
      <w:r>
        <w:t xml:space="preserve"> </w:t>
      </w:r>
      <w:r>
        <w:t xml:space="preserve">variation does the physical implementation of one open-source RO-PUF design</w:t>
      </w:r>
      <w:r>
        <w:t xml:space="preserve"> </w:t>
      </w:r>
      <w:r>
        <w:t xml:space="preserve">introduce? I contribute nominal post-layout results for two automatically</w:t>
      </w:r>
      <w:r>
        <w:t xml:space="preserve"> </w:t>
      </w:r>
      <w:r>
        <w:t xml:space="preserve">placed oscillator arrays, a capacitance-based explanation for the observed</w:t>
      </w:r>
      <w:r>
        <w:t xml:space="preserve"> </w:t>
      </w:r>
      <w:r>
        <w:t xml:space="preserve">spread, a matched-macro arm that gives every instance the same internal</w:t>
      </w:r>
      <w:r>
        <w:t xml:space="preserve"> </w:t>
      </w:r>
      <w:r>
        <w:t xml:space="preserve">geometry, the scripts to run the same diagnostic before any fabrication, and</w:t>
      </w:r>
      <w:r>
        <w:t xml:space="preserve"> </w:t>
      </w:r>
      <w:r>
        <w:t xml:space="preserve">the specific predictions I plan to test once chips come back.</w:t>
      </w:r>
    </w:p>
    <w:p>
      <w:pPr>
        <w:pStyle w:val="Heading2"/>
      </w:pPr>
      <w:bookmarkStart w:id="23" w:name="background-and-related-work"/>
      <w:r>
        <w:t xml:space="preserve">2. Background and related work</w:t>
      </w:r>
      <w:bookmarkEnd w:id="23"/>
    </w:p>
    <w:p>
      <w:pPr>
        <w:pStyle w:val="FirstParagraph"/>
      </w:pPr>
      <w:r>
        <w:t xml:space="preserve">Suh and Devadas introduced the widely used RO-PUF construction [1]. Maiti and</w:t>
      </w:r>
      <w:r>
        <w:t xml:space="preserve"> </w:t>
      </w:r>
      <w:r>
        <w:t xml:space="preserve">Schaumont examined improved ring-oscillator PUF designs and compensation for</w:t>
      </w:r>
      <w:r>
        <w:t xml:space="preserve"> </w:t>
      </w:r>
      <w:r>
        <w:t xml:space="preserve">systematic effects [2], and later FPGA studies mapped spatial variation and</w:t>
      </w:r>
      <w:r>
        <w:t xml:space="preserve"> </w:t>
      </w:r>
      <w:r>
        <w:t xml:space="preserve">placement-dependent behaviour [3, 5]. Other work proposes statistical bias</w:t>
      </w:r>
      <w:r>
        <w:t xml:space="preserve"> </w:t>
      </w:r>
      <w:r>
        <w:t xml:space="preserve">reduction, configurable structures, and placement-aware designs [5-8].</w:t>
      </w:r>
      <w:r>
        <w:t xml:space="preserve"> </w:t>
      </w:r>
      <w:r>
        <w:t xml:space="preserve">Katzenbeisser et al. evaluated several PUF constructions, including ring</w:t>
      </w:r>
      <w:r>
        <w:t xml:space="preserve"> </w:t>
      </w:r>
      <w:r>
        <w:t xml:space="preserve">oscillators, across 96 ASICs [12].</w:t>
      </w:r>
    </w:p>
    <w:p>
      <w:pPr>
        <w:pStyle w:val="BodyText"/>
      </w:pPr>
      <w:r>
        <w:t xml:space="preserve">The literature does not support a simple rule that any systematic structure</w:t>
      </w:r>
      <w:r>
        <w:t xml:space="preserve"> </w:t>
      </w:r>
      <w:r>
        <w:t xml:space="preserve">makes an RO-PUF predictable. Wilde, Hiller, and Pehl found that</w:t>
      </w:r>
      <w:r>
        <w:t xml:space="preserve"> </w:t>
      </w:r>
      <w:r>
        <w:t xml:space="preserve">adjacent-oscillator comparisons reduced exploitable spatial structure in</w:t>
      </w:r>
      <w:r>
        <w:t xml:space="preserve"> </w:t>
      </w:r>
      <w:r>
        <w:t xml:space="preserve">their data, and that the estimated covariance was too small for their</w:t>
      </w:r>
      <w:r>
        <w:t xml:space="preserve"> </w:t>
      </w:r>
      <w:r>
        <w:t xml:space="preserve">predictor to beat the relevant baseline [4]. That is important</w:t>
      </w:r>
      <w:r>
        <w:t xml:space="preserve"> </w:t>
      </w:r>
      <w:r>
        <w:t xml:space="preserve">counterevidence: layout bias has to be judged together with the comparison</w:t>
      </w:r>
      <w:r>
        <w:t xml:space="preserve"> </w:t>
      </w:r>
      <w:r>
        <w:t xml:space="preserve">scheme, the mismatch distribution, and the attacker model.</w:t>
      </w:r>
    </w:p>
    <w:p>
      <w:pPr>
        <w:pStyle w:val="BodyText"/>
      </w:pPr>
      <w:r>
        <w:t xml:space="preserve">Open-source ASIC flows allow an experiment that closed flows make awkward:</w:t>
      </w:r>
      <w:r>
        <w:t xml:space="preserve"> </w:t>
      </w:r>
      <w:r>
        <w:t xml:space="preserve">the designer can read the routed netlist and the parasitic extraction before</w:t>
      </w:r>
      <w:r>
        <w:t xml:space="preserve"> </w:t>
      </w:r>
      <w:r>
        <w:t xml:space="preserve">fabrication instead of treating the implementation as opaque.</w:t>
      </w:r>
      <w:r>
        <w:t xml:space="preserve"> </w:t>
      </w:r>
      <w:r>
        <w:t xml:space="preserve">OpenLane/OpenROAD [9] and the open SKY130 PDK [10] provide that setting, and</w:t>
      </w:r>
      <w:r>
        <w:t xml:space="preserve"> </w:t>
      </w:r>
      <w:r>
        <w:t xml:space="preserve">a TinyTapeout RO-PUF project shows the circuit family works in the same</w:t>
      </w:r>
      <w:r>
        <w:t xml:space="preserve"> </w:t>
      </w:r>
      <w:r>
        <w:t xml:space="preserve">ecosystem [11]. What I did not find is the measurement this paper makes: the</w:t>
      </w:r>
      <w:r>
        <w:t xml:space="preserve"> </w:t>
      </w:r>
      <w:r>
        <w:t xml:space="preserve">nominal frequency component tied to instance-dependent routing in one</w:t>
      </w:r>
      <w:r>
        <w:t xml:space="preserve"> </w:t>
      </w:r>
      <w:r>
        <w:t xml:space="preserve">automated ASIC layout, quantified from the flow’s own extraction.</w:t>
      </w:r>
    </w:p>
    <w:p>
      <w:pPr>
        <w:pStyle w:val="Heading2"/>
      </w:pPr>
      <w:bookmarkStart w:id="24" w:name="design-under-test"/>
      <w:r>
        <w:t xml:space="preserve">3. Design under test</w:t>
      </w:r>
      <w:bookmarkEnd w:id="24"/>
    </w:p>
    <w:p>
      <w:pPr>
        <w:pStyle w:val="FirstParagraph"/>
      </w:pPr>
      <w:r>
        <w:t xml:space="preserve">The candidate design,</w:t>
      </w:r>
      <w:r>
        <w:t xml:space="preserve"> </w:t>
      </w:r>
      <w:r>
        <w:rPr>
          <w:rStyle w:val="VerbatimChar"/>
        </w:rPr>
        <w:t xml:space="preserve">tt_um_nikodemetrashvili20_ro_puf</w:t>
      </w:r>
      <w:r>
        <w:t xml:space="preserve">, occupies a</w:t>
      </w:r>
      <w:r>
        <w:t xml:space="preserve"> </w:t>
      </w:r>
      <w:r>
        <w:t xml:space="preserve">TinyTapeout 2x2 tile. It holds two 16-oscillator arms and a shared serial</w:t>
      </w:r>
      <w:r>
        <w:t xml:space="preserve"> </w:t>
      </w:r>
      <w:r>
        <w:t xml:space="preserve">measurement core that enables one oscillator at a time and counts its edges</w:t>
      </w:r>
      <w:r>
        <w:t xml:space="preserve"> </w:t>
      </w:r>
      <w:r>
        <w:t xml:space="preserve">over a fixed window.</w:t>
      </w:r>
    </w:p>
    <w:p>
      <w:pPr>
        <w:pStyle w:val="BodyText"/>
      </w:pPr>
      <w:r>
        <w:t xml:space="preserve">Each oscillator is a 31-stage ring of SKY130 standard cells: an enable NAND,</w:t>
      </w:r>
      <w:r>
        <w:t xml:space="preserve"> </w:t>
      </w:r>
      <w:r>
        <w:t xml:space="preserve">30 inverters, and an isolating output buffer tapped near the middle of the</w:t>
      </w:r>
      <w:r>
        <w:t xml:space="preserve"> </w:t>
      </w:r>
      <w:r>
        <w:t xml:space="preserve">chain. A nominal pre-layout SPICE control sits near 633 MHz. Arm A lets the</w:t>
      </w:r>
      <w:r>
        <w:t xml:space="preserve"> </w:t>
      </w:r>
      <w:r>
        <w:t xml:space="preserve">flow place and route each oscillator with the surrounding logic. Arm B</w:t>
      </w:r>
      <w:r>
        <w:t xml:space="preserve"> </w:t>
      </w:r>
      <w:r>
        <w:t xml:space="preserve">places 16 copies of one hardened oscillator macro on a regular grid. The</w:t>
      </w:r>
      <w:r>
        <w:t xml:space="preserve"> </w:t>
      </w:r>
      <w:r>
        <w:t xml:space="preserve">logical circuit is identical in both arms; the physical implementation</w:t>
      </w:r>
      <w:r>
        <w:t xml:space="preserve"> </w:t>
      </w:r>
      <w:r>
        <w:t xml:space="preserve">method is the experimental variable. Figure 1 summarizes the design.</w:t>
      </w:r>
    </w:p>
    <w:p>
      <w:pPr>
        <w:pStyle w:val="CaptionedFigure"/>
      </w:pPr>
      <w:r>
        <w:drawing>
          <wp:inline>
            <wp:extent cx="5334000" cy="2712638"/>
            <wp:effectExtent b="0" l="0" r="0" t="0"/>
            <wp:docPr descr="Figure 1. Block diagram of the two-arm design. Arm A lets the flow place and route each oscillator separately; Arm B repeats one hardened macro with a common internal layout." title="" id="1" name="Picture"/>
            <a:graphic>
              <a:graphicData uri="http://schemas.openxmlformats.org/drawingml/2006/picture">
                <pic:pic>
                  <pic:nvPicPr>
                    <pic:cNvPr descr="figures/chip_block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1263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1. Block diagram of the two-arm design. Arm A lets the flow place and route each oscillator separately; Arm B repeats one hardened macro with a common internal layout.</w:t>
      </w:r>
    </w:p>
    <w:p>
      <w:pPr>
        <w:pStyle w:val="BodyText"/>
      </w:pPr>
      <w:r>
        <w:t xml:space="preserve">How the measurement window is closed turned out to matter more than I first</w:t>
      </w:r>
      <w:r>
        <w:t xml:space="preserve"> </w:t>
      </w:r>
      <w:r>
        <w:t xml:space="preserve">assumed. An earlier revision clocked the ripple counter through an AND gate</w:t>
      </w:r>
      <w:r>
        <w:t xml:space="preserve"> </w:t>
      </w:r>
      <w:r>
        <w:t xml:space="preserve">that combined the selected oscillator with the window enable. That enable is</w:t>
      </w:r>
      <w:r>
        <w:t xml:space="preserve"> </w:t>
      </w:r>
      <w:r>
        <w:t xml:space="preserve">generated in the reference-clock domain and can fall at any point in a 570 MHz</w:t>
      </w:r>
      <w:r>
        <w:t xml:space="preserve"> </w:t>
      </w:r>
      <w:r>
        <w:t xml:space="preserve">cycle, so the gate could cut the final pulse on the counter’s clock net down to</w:t>
      </w:r>
      <w:r>
        <w:t xml:space="preserve"> </w:t>
      </w:r>
      <w:r>
        <w:t xml:space="preserve">a sliver, which is the classic way to put a flip-flop into an illegal state.</w:t>
      </w:r>
      <w:r>
        <w:t xml:space="preserve"> </w:t>
      </w:r>
      <w:r>
        <w:t xml:space="preserve">The current design removes the gate. The counter is clocked straight from the</w:t>
      </w:r>
      <w:r>
        <w:t xml:space="preserve"> </w:t>
      </w:r>
      <w:r>
        <w:t xml:space="preserve">selected ring, and the window is enforced by enabling and disabling the ring</w:t>
      </w:r>
      <w:r>
        <w:t xml:space="preserve"> </w:t>
      </w:r>
      <w:r>
        <w:t xml:space="preserve">itself through its own NAND stage.</w:t>
      </w:r>
    </w:p>
    <w:p>
      <w:pPr>
        <w:pStyle w:val="BodyText"/>
      </w:pPr>
      <w:r>
        <w:t xml:space="preserve">That change moves the boundary problem rather than removing it. Whenever the</w:t>
      </w:r>
      <w:r>
        <w:t xml:space="preserve"> </w:t>
      </w:r>
      <w:r>
        <w:t xml:space="preserve">enable drops, the last pulse the ring produces can be almost any width depending</w:t>
      </w:r>
      <w:r>
        <w:t xml:space="preserve"> </w:t>
      </w:r>
      <w:r>
        <w:t xml:space="preserve">on the phase, and a sweep of the extracted oscillator shows this directly: at</w:t>
      </w:r>
      <w:r>
        <w:t xml:space="preserve"> </w:t>
      </w:r>
      <w:r>
        <w:t xml:space="preserve">some phases the final pulse falls to about 175 ps against a nominal half-period</w:t>
      </w:r>
      <w:r>
        <w:t xml:space="preserve"> </w:t>
      </w:r>
      <w:r>
        <w:t xml:space="preserve">of 846 ps. The question is whether the counter minds. To find out I drove a real</w:t>
      </w:r>
      <w:r>
        <w:t xml:space="preserve"> </w:t>
      </w:r>
      <w:r>
        <w:t xml:space="preserve">SKY130</w:t>
      </w:r>
      <w:r>
        <w:t xml:space="preserve"> </w:t>
      </w:r>
      <w:r>
        <w:rPr>
          <w:rStyle w:val="VerbatimChar"/>
        </w:rPr>
        <w:t xml:space="preserve">dfrtp</w:t>
      </w:r>
      <w:r>
        <w:t xml:space="preserve"> </w:t>
      </w:r>
      <w:r>
        <w:t xml:space="preserve">flip-flop, wired as the first ripple stage, from the extracted</w:t>
      </w:r>
      <w:r>
        <w:t xml:space="preserve"> </w:t>
      </w:r>
      <w:r>
        <w:t xml:space="preserve">ring and dropped the enable at 38 phases covering a full period. At every phase</w:t>
      </w:r>
      <w:r>
        <w:t xml:space="preserve"> </w:t>
      </w:r>
      <w:r>
        <w:t xml:space="preserve">the flop settled to a clean rail, never sat near mid-supply, and the captured</w:t>
      </w:r>
      <w:r>
        <w:t xml:space="preserve"> </w:t>
      </w:r>
      <w:r>
        <w:t xml:space="preserve">total varied by exactly one count between phases. The ring stop therefore costs</w:t>
      </w:r>
      <w:r>
        <w:t xml:space="preserve"> </w:t>
      </w:r>
      <w:r>
        <w:t xml:space="preserve">at most one edge in roughly twenty thousand, which the core’s settle handshake</w:t>
      </w:r>
      <w:r>
        <w:t xml:space="preserve"> </w:t>
      </w:r>
      <w:r>
        <w:t xml:space="preserve">absorbs by publishing a count only after three consecutive equal reads. Decks</w:t>
      </w:r>
      <w:r>
        <w:t xml:space="preserve"> </w:t>
      </w:r>
      <w:r>
        <w:t xml:space="preserve">and checkers are in</w:t>
      </w:r>
      <w:r>
        <w:t xml:space="preserve"> </w:t>
      </w:r>
      <w:r>
        <w:rPr>
          <w:rStyle w:val="VerbatimChar"/>
        </w:rPr>
        <w:t xml:space="preserve">sim/spice/gono/</w:t>
      </w:r>
      <w:r>
        <w:t xml:space="preserve">.</w:t>
      </w:r>
    </w:p>
    <w:p>
      <w:pPr>
        <w:pStyle w:val="BodyText"/>
      </w:pPr>
      <w:r>
        <w:t xml:space="preserve">One caveat matters for interpretation: the two arms are not identical apart</w:t>
      </w:r>
      <w:r>
        <w:t xml:space="preserve"> </w:t>
      </w:r>
      <w:r>
        <w:t xml:space="preserve">from internal-layout matching. Hardening inserts input and output delay</w:t>
      </w:r>
      <w:r>
        <w:t xml:space="preserve"> </w:t>
      </w:r>
      <w:r>
        <w:t xml:space="preserve">buffers at the Arm B macro boundary that Arm A does not have, the sixteen</w:t>
      </w:r>
      <w:r>
        <w:t xml:space="preserve"> </w:t>
      </w:r>
      <w:r>
        <w:t xml:space="preserve">Arm B macros occupy a regular block on one side of the tile while Arm A fills</w:t>
      </w:r>
      <w:r>
        <w:t xml:space="preserve"> </w:t>
      </w:r>
      <w:r>
        <w:t xml:space="preserve">the rest, and the two arms differ in local decap and power-delivery geometry.</w:t>
      </w:r>
      <w:r>
        <w:t xml:space="preserve"> </w:t>
      </w:r>
      <w:r>
        <w:t xml:space="preserve">The comparison is therefore a matched hardened-macro implementation against</w:t>
      </w:r>
      <w:r>
        <w:t xml:space="preserve"> </w:t>
      </w:r>
      <w:r>
        <w:t xml:space="preserve">a conventional automated standard-cell implementation, not two circuits that</w:t>
      </w:r>
      <w:r>
        <w:t xml:space="preserve"> </w:t>
      </w:r>
      <w:r>
        <w:t xml:space="preserve">differ only in internal routing; the ring loops themselves stay logically</w:t>
      </w:r>
      <w:r>
        <w:t xml:space="preserve"> </w:t>
      </w:r>
      <w:r>
        <w:t xml:space="preserve">equivalent.</w:t>
      </w:r>
    </w:p>
    <w:p>
      <w:pPr>
        <w:pStyle w:val="BodyText"/>
      </w:pPr>
      <w:r>
        <w:t xml:space="preserve">The boundary difference is larger than the buffer count suggests, and worth</w:t>
      </w:r>
      <w:r>
        <w:t xml:space="preserve"> </w:t>
      </w:r>
      <w:r>
        <w:t xml:space="preserve">quantifying rather than mentioning. Taken from the top-level extraction, the</w:t>
      </w:r>
      <w:r>
        <w:t xml:space="preserve"> </w:t>
      </w:r>
      <w:r>
        <w:t xml:space="preserve">capacitance each arm’s ring output drives spans 0.24 to 2.71 fF in Arm A, mean</w:t>
      </w:r>
      <w:r>
        <w:t xml:space="preserve"> </w:t>
      </w:r>
      <w:r>
        <w:t xml:space="preserve">0.84, against 2.89 to 29.46 fF in Arm B, mean 14.46. Arm B drives roughly</w:t>
      </w:r>
      <w:r>
        <w:t xml:space="preserve"> </w:t>
      </w:r>
      <w:r>
        <w:t xml:space="preserve">seventeen times the load, because its macros sit at fixed positions across the</w:t>
      </w:r>
      <w:r>
        <w:t xml:space="preserve"> </w:t>
      </w:r>
      <w:r>
        <w:t xml:space="preserve">tile while Arm A’s oscillators are placed near the shared multiplexer. That load</w:t>
      </w:r>
      <w:r>
        <w:t xml:space="preserve"> </w:t>
      </w:r>
      <w:r>
        <w:t xml:space="preserve">is also why the flow puts a driver on the macro output; attempting to remove it</w:t>
      </w:r>
      <w:r>
        <w:t xml:space="preserve"> </w:t>
      </w:r>
      <w:r>
        <w:t xml:space="preserve">only moves the problem, since the resizer then alters the ring’s tap buffer</w:t>
      </w:r>
      <w:r>
        <w:t xml:space="preserve"> </w:t>
      </w:r>
      <w:r>
        <w:t xml:space="preserve">instead.</w:t>
      </w:r>
    </w:p>
    <w:p>
      <w:pPr>
        <w:pStyle w:val="BodyText"/>
      </w:pPr>
      <w:r>
        <w:t xml:space="preserve">The same geometry places the two arms in different parts of the die. The sixteen</w:t>
      </w:r>
      <w:r>
        <w:t xml:space="preserve"> </w:t>
      </w:r>
      <w:r>
        <w:t xml:space="preserve">macros tile a region roughly 300 by 184 micrometres, while the automatically</w:t>
      </w:r>
      <w:r>
        <w:t xml:space="preserve"> </w:t>
      </w:r>
      <w:r>
        <w:t xml:space="preserve">placed oscillators occupy a box of about 44 by 78 on one side. I tested whether a</w:t>
      </w:r>
      <w:r>
        <w:t xml:space="preserve"> </w:t>
      </w:r>
      <w:r>
        <w:t xml:space="preserve">less one-sided floorplan could remove this, by skipping the middle column of the</w:t>
      </w:r>
      <w:r>
        <w:t xml:space="preserve"> </w:t>
      </w:r>
      <w:r>
        <w:t xml:space="preserve">power grid so a standard-cell channel runs through the macro field. Two variants</w:t>
      </w:r>
      <w:r>
        <w:t xml:space="preserve"> </w:t>
      </w:r>
      <w:r>
        <w:t xml:space="preserve">built and passed every physical check, and both spread Arm A considerably wider,</w:t>
      </w:r>
      <w:r>
        <w:t xml:space="preserve"> </w:t>
      </w:r>
      <w:r>
        <w:t xml:space="preserve">but in each one the placer stretched a single oscillator into a thin line, 126 and</w:t>
      </w:r>
      <w:r>
        <w:t xml:space="preserve"> </w:t>
      </w:r>
      <w:r>
        <w:t xml:space="preserve">106 micrometres long, roughly doubling that instance’s routing load and pushing</w:t>
      </w:r>
      <w:r>
        <w:t xml:space="preserve"> </w:t>
      </w:r>
      <w:r>
        <w:t xml:space="preserve">the array’s capacitance spread from 44% of the mean to 199% and 135%. Four macro</w:t>
      </w:r>
      <w:r>
        <w:t xml:space="preserve"> </w:t>
      </w:r>
      <w:r>
        <w:t xml:space="preserve">rows is the maximum that fits the die, sixteen macros in four rows therefore need</w:t>
      </w:r>
      <w:r>
        <w:t xml:space="preserve"> </w:t>
      </w:r>
      <w:r>
        <w:t xml:space="preserve">four columns, and only five column positions align with the power grid, so the</w:t>
      </w:r>
      <w:r>
        <w:t xml:space="preserve"> </w:t>
      </w:r>
      <w:r>
        <w:t xml:space="preserve">shipped arrangement is the one that leaves the automatically placed arm a single</w:t>
      </w:r>
      <w:r>
        <w:t xml:space="preserve"> </w:t>
      </w:r>
      <w:r>
        <w:t xml:space="preserve">contiguous region. The regional difference is a consequence of die area, macro</w:t>
      </w:r>
      <w:r>
        <w:t xml:space="preserve"> </w:t>
      </w:r>
      <w:r>
        <w:t xml:space="preserve">footprint and grid pitch rather than a tuning choice, and removing it would need a</w:t>
      </w:r>
      <w:r>
        <w:t xml:space="preserve"> </w:t>
      </w:r>
      <w:r>
        <w:t xml:space="preserve">larger tile. Both trials are recorded in the repository.</w:t>
      </w:r>
    </w:p>
    <w:p>
      <w:pPr>
        <w:pStyle w:val="BodyText"/>
      </w:pPr>
      <w:r>
        <w:t xml:space="preserve">What protects the frequency result is that all of this lies outside the</w:t>
      </w:r>
      <w:r>
        <w:t xml:space="preserve"> </w:t>
      </w:r>
      <w:r>
        <w:t xml:space="preserve">oscillator loop. The loop is the enable NAND and thirty inverters with feedback,</w:t>
      </w:r>
      <w:r>
        <w:t xml:space="preserve"> </w:t>
      </w:r>
      <w:r>
        <w:t xml:space="preserve">and the only boundary cell touching it is the tap buffer, which is a</w:t>
      </w:r>
      <w:r>
        <w:t xml:space="preserve"> </w:t>
      </w:r>
      <w:r>
        <w:rPr>
          <w:rStyle w:val="VerbatimChar"/>
        </w:rPr>
        <w:t xml:space="preserve">buf_1</w:t>
      </w:r>
      <w:r>
        <w:t xml:space="preserve"> </w:t>
      </w:r>
      <w:r>
        <w:t xml:space="preserve">in</w:t>
      </w:r>
      <w:r>
        <w:t xml:space="preserve"> </w:t>
      </w:r>
      <w:r>
        <w:t xml:space="preserve">both arms. The enable buffer is further irrelevant during a measurement, since</w:t>
      </w:r>
      <w:r>
        <w:t xml:space="preserve"> </w:t>
      </w:r>
      <w:r>
        <w:t xml:space="preserve">the enable is static while the window is open and the ring is driven through the</w:t>
      </w:r>
      <w:r>
        <w:t xml:space="preserve"> </w:t>
      </w:r>
      <w:r>
        <w:t xml:space="preserve">feedback node. So the extra output stage and the heavier output route cannot bias</w:t>
      </w:r>
      <w:r>
        <w:t xml:space="preserve"> </w:t>
      </w:r>
      <w:r>
        <w:t xml:space="preserve">the frequencies reported here, though they would have to be accounted for in any</w:t>
      </w:r>
      <w:r>
        <w:t xml:space="preserve"> </w:t>
      </w:r>
      <w:r>
        <w:t xml:space="preserve">comparison of edge quality or bit reliability between the arms.</w:t>
      </w:r>
    </w:p>
    <w:p>
      <w:pPr>
        <w:pStyle w:val="BodyText"/>
      </w:pPr>
      <w:r>
        <w:t xml:space="preserve">The main results below come from a coherent build of the current</w:t>
      </w:r>
      <w:r>
        <w:t xml:space="preserve"> </w:t>
      </w:r>
      <w:r>
        <w:t xml:space="preserve">RTL that passes the physical checks (Magic and KLayout DRC, XOR, LVS, antenna,</w:t>
      </w:r>
      <w:r>
        <w:t xml:space="preserve"> </w:t>
      </w:r>
      <w:r>
        <w:t xml:space="preserve">detailed route, power grid) with zero violations; two earlier builds, an</w:t>
      </w:r>
      <w:r>
        <w:t xml:space="preserve"> </w:t>
      </w:r>
      <w:r>
        <w:t xml:space="preserve">archived dual-arm snapshot and a 32-oscillator layout, are reported for</w:t>
      </w:r>
      <w:r>
        <w:t xml:space="preserve"> </w:t>
      </w:r>
      <w:r>
        <w:t xml:space="preserve">contrast (see SIGNOFF.md in the repository).</w:t>
      </w:r>
    </w:p>
    <w:p>
      <w:pPr>
        <w:pStyle w:val="Heading2"/>
      </w:pPr>
      <w:bookmarkStart w:id="26" w:name="method"/>
      <w:r>
        <w:t xml:space="preserve">4. Method</w:t>
      </w:r>
      <w:bookmarkEnd w:id="26"/>
    </w:p>
    <w:p>
      <w:pPr>
        <w:pStyle w:val="FirstParagraph"/>
      </w:pPr>
      <w:r>
        <w:t xml:space="preserve">The analysis is four separate operations, each traceable to a checked-in</w:t>
      </w:r>
      <w:r>
        <w:t xml:space="preserve"> </w:t>
      </w:r>
      <w:r>
        <w:t xml:space="preserve">file. First, the physical flow produces the gate-level netlist, DEF, and</w:t>
      </w:r>
      <w:r>
        <w:t xml:space="preserve"> </w:t>
      </w:r>
      <w:r>
        <w:t xml:space="preserve">nominal-corner SPEF. Second, a structural verifier</w:t>
      </w:r>
      <w:r>
        <w:t xml:space="preserve"> </w:t>
      </w:r>
      <w:r>
        <w:t xml:space="preserve">(</w:t>
      </w:r>
      <w:r>
        <w:rPr>
          <w:rStyle w:val="VerbatimChar"/>
        </w:rPr>
        <w:t xml:space="preserve">verify_ring_topology.py</w:t>
      </w:r>
      <w:r>
        <w:t xml:space="preserve">) parses the final netlist and confirms that every</w:t>
      </w:r>
      <w:r>
        <w:t xml:space="preserve"> </w:t>
      </w:r>
      <w:r>
        <w:t xml:space="preserve">Arm A oscillator kept exactly one enable NAND, 30 inverters, and one tap</w:t>
      </w:r>
      <w:r>
        <w:t xml:space="preserve"> </w:t>
      </w:r>
      <w:r>
        <w:t xml:space="preserve">buffer, with no cell inserted into the loop; the deck generation is only valid</w:t>
      </w:r>
      <w:r>
        <w:t xml:space="preserve"> </w:t>
      </w:r>
      <w:r>
        <w:t xml:space="preserve">if this holds. Third, the generator reconstructs that verified topology from</w:t>
      </w:r>
      <w:r>
        <w:t xml:space="preserve"> </w:t>
      </w:r>
      <w:r>
        <w:t xml:space="preserve">nominal SKY130 transistor-level cell models and attaches each ring net’s SPEF</w:t>
      </w:r>
      <w:r>
        <w:t xml:space="preserve"> </w:t>
      </w:r>
      <w:r>
        <w:rPr>
          <w:rStyle w:val="VerbatimChar"/>
        </w:rPr>
        <w:t xml:space="preserve">*D_NET</w:t>
      </w:r>
      <w:r>
        <w:t xml:space="preserve"> </w:t>
      </w:r>
      <w:r>
        <w:t xml:space="preserve">total capacitance to the matching node as a grounded lumped</w:t>
      </w:r>
      <w:r>
        <w:t xml:space="preserve"> </w:t>
      </w:r>
      <w:r>
        <w:t xml:space="preserve">capacitor. It does not simulate the extracted network itself. Fourth, ngspice</w:t>
      </w:r>
      <w:r>
        <w:t xml:space="preserve"> </w:t>
      </w:r>
      <w:r>
        <w:t xml:space="preserve">transient simulation (1.8 V, 27 C, nominal TT models) measures each</w:t>
      </w:r>
      <w:r>
        <w:t xml:space="preserve"> </w:t>
      </w:r>
      <w:r>
        <w:t xml:space="preserve">oscillator’s frequency, with a parallel control deck carrying no extracted</w:t>
      </w:r>
      <w:r>
        <w:t xml:space="preserve"> </w:t>
      </w:r>
      <w:r>
        <w:t xml:space="preserve">capacitance. The SPEF declares</w:t>
      </w:r>
      <w:r>
        <w:t xml:space="preserve"> </w:t>
      </w:r>
      <w:r>
        <w:rPr>
          <w:rStyle w:val="VerbatimChar"/>
        </w:rPr>
        <w:t xml:space="preserve">PIN_CAP NONE</w:t>
      </w:r>
      <w:r>
        <w:t xml:space="preserve">, so pin capacitance is not part</w:t>
      </w:r>
      <w:r>
        <w:t xml:space="preserve"> </w:t>
      </w:r>
      <w:r>
        <w:t xml:space="preserve">of the transferred load.</w:t>
      </w:r>
    </w:p>
    <w:p>
      <w:pPr>
        <w:pStyle w:val="BodyText"/>
      </w:pPr>
      <w:r>
        <w:t xml:space="preserve">On the chip, one oscillator runs at a time. The combined simulation deck</w:t>
      </w:r>
      <w:r>
        <w:t xml:space="preserve"> </w:t>
      </w:r>
      <w:r>
        <w:t xml:space="preserve">enables all 16 reconstructed oscillators concurrently, which is equivalent</w:t>
      </w:r>
      <w:r>
        <w:t xml:space="preserve"> </w:t>
      </w:r>
      <w:r>
        <w:t xml:space="preserve">under this model because they share only an ideal supply and the reduced model</w:t>
      </w:r>
      <w:r>
        <w:t xml:space="preserve"> </w:t>
      </w:r>
      <w:r>
        <w:t xml:space="preserve">carries no coupling between them. Distributed wire resistance is omitted</w:t>
      </w:r>
      <w:r>
        <w:t xml:space="preserve"> </w:t>
      </w:r>
      <w:r>
        <w:t xml:space="preserve">entirely; its effect is not quantified here and is one reason the</w:t>
      </w:r>
      <w:r>
        <w:t xml:space="preserve"> </w:t>
      </w:r>
      <w:r>
        <w:t xml:space="preserve">distributed-RC comparison is required. Each oscillator starts disabled and is released</w:t>
      </w:r>
      <w:r>
        <w:t xml:space="preserve"> </w:t>
      </w:r>
      <w:r>
        <w:t xml:space="preserve">by an enable pulse, which avoids a simulation artefact where an artificial</w:t>
      </w:r>
      <w:r>
        <w:t xml:space="preserve"> </w:t>
      </w:r>
      <w:r>
        <w:t xml:space="preserve">initial condition excited an unintended ring mode. Frequency is measured</w:t>
      </w:r>
      <w:r>
        <w:t xml:space="preserve"> </w:t>
      </w:r>
      <w:r>
        <w:t xml:space="preserve">over 20 periods after startup.</w:t>
      </w:r>
    </w:p>
    <w:p>
      <w:pPr>
        <w:pStyle w:val="BodyText"/>
      </w:pPr>
      <w:r>
        <w:t xml:space="preserve">For the matched arm, the hardened macro is extracted and simulated once.</w:t>
      </w:r>
      <w:r>
        <w:t xml:space="preserve"> </w:t>
      </w:r>
      <w:r>
        <w:t xml:space="preserve">The 16 instances share one internal GDS, so this single result serves as</w:t>
      </w:r>
      <w:r>
        <w:t xml:space="preserve"> </w:t>
      </w:r>
      <w:r>
        <w:t xml:space="preserve">the internal-layout reference for all of them.</w:t>
      </w:r>
    </w:p>
    <w:p>
      <w:pPr>
        <w:pStyle w:val="BodyText"/>
      </w:pPr>
      <w:r>
        <w:t xml:space="preserve">For each automatically placed array I report mean, standard deviation,</w:t>
      </w:r>
      <w:r>
        <w:t xml:space="preserve"> </w:t>
      </w:r>
      <w:r>
        <w:t xml:space="preserve">range, peak-to-peak spread relative to the mean, and the Pearson correlation</w:t>
      </w:r>
      <w:r>
        <w:t xml:space="preserve"> </w:t>
      </w:r>
      <w:r>
        <w:t xml:space="preserve">between frequency and extracted ring capacitance. Instances inside one</w:t>
      </w:r>
      <w:r>
        <w:t xml:space="preserve"> </w:t>
      </w:r>
      <w:r>
        <w:t xml:space="preserve">routed design are not independent samples from a chip population, so these</w:t>
      </w:r>
      <w:r>
        <w:t xml:space="preserve"> </w:t>
      </w:r>
      <w:r>
        <w:t xml:space="preserve">are descriptive statistics for that layout. Standard deviations are</w:t>
      </w:r>
      <w:r>
        <w:t xml:space="preserve"> </w:t>
      </w:r>
      <w:r>
        <w:t xml:space="preserve">population values across those instances, which are the complete set for a</w:t>
      </w:r>
      <w:r>
        <w:t xml:space="preserve"> </w:t>
      </w:r>
      <w:r>
        <w:t xml:space="preserve">layout, not a sample from a wider population. The extracted capacitance is also</w:t>
      </w:r>
      <w:r>
        <w:t xml:space="preserve"> </w:t>
      </w:r>
      <w:r>
        <w:t xml:space="preserve">the only spread-producing input to the model, so a strong frequency-capacitance correlation is expected almost by construction. The coefficient</w:t>
      </w:r>
      <w:r>
        <w:t xml:space="preserve"> </w:t>
      </w:r>
      <w:r>
        <w:t xml:space="preserve">confirms the model behaves; the spread it produces, and the slope, are the</w:t>
      </w:r>
      <w:r>
        <w:t xml:space="preserve"> </w:t>
      </w:r>
      <w:r>
        <w:t xml:space="preserve">physically interesting parts.</w:t>
      </w:r>
    </w:p>
    <w:p>
      <w:pPr>
        <w:pStyle w:val="Heading2"/>
      </w:pPr>
      <w:bookmarkStart w:id="27" w:name="automatically-placed-arrays"/>
      <w:r>
        <w:t xml:space="preserve">5. Automatically placed arrays</w:t>
      </w:r>
      <w:bookmarkEnd w:id="27"/>
    </w:p>
    <w:p>
      <w:pPr>
        <w:pStyle w:val="Heading3"/>
      </w:pPr>
      <w:bookmarkStart w:id="28" w:name="earlier-32-oscillator-layout"/>
      <w:r>
        <w:t xml:space="preserve">5.1 Earlier 32-oscillator layout</w:t>
      </w:r>
      <w:bookmarkEnd w:id="28"/>
    </w:p>
    <w:p>
      <w:pPr>
        <w:pStyle w:val="FirstParagraph"/>
      </w:pPr>
      <w:r>
        <w:t xml:space="preserve">The earlier build placed all 32 oscillators automatically. In the</w:t>
      </w:r>
      <w:r>
        <w:t xml:space="preserve"> </w:t>
      </w:r>
      <w:r>
        <w:t xml:space="preserve">no-parasitic control every deck produced the same nominal frequency,</w:t>
      </w:r>
      <w:r>
        <w:t xml:space="preserve"> </w:t>
      </w:r>
      <w:r>
        <w:t xml:space="preserve">approximately 633.640 MHz, which checks the generator itself. With extracted</w:t>
      </w:r>
      <w:r>
        <w:t xml:space="preserve"> </w:t>
      </w:r>
      <w:r>
        <w:t xml:space="preserve">capacitance the mean was 567.6 MHz with a population standard deviation of</w:t>
      </w:r>
      <w:r>
        <w:t xml:space="preserve"> </w:t>
      </w:r>
      <w:r>
        <w:t xml:space="preserve">10.8 MHz (1.90%).</w:t>
      </w:r>
      <w:r>
        <w:t xml:space="preserve"> </w:t>
      </w:r>
      <w:r>
        <w:t xml:space="preserve">Frequencies ranged from about 539 to 589 MHz, a 50.2 MHz or 8.8%</w:t>
      </w:r>
      <w:r>
        <w:t xml:space="preserve"> </w:t>
      </w:r>
      <w:r>
        <w:t xml:space="preserve">peak-to-peak spread.</w:t>
      </w:r>
    </w:p>
    <w:p>
      <w:pPr>
        <w:pStyle w:val="BodyText"/>
      </w:pPr>
      <w:r>
        <w:t xml:space="preserve">Extracted ring capacitance ranged from 7.4 to 17.8 fF. Frequency and</w:t>
      </w:r>
      <w:r>
        <w:t xml:space="preserve"> </w:t>
      </w:r>
      <w:r>
        <w:t xml:space="preserve">capacitance had Pearson</w:t>
      </w:r>
      <w:r>
        <w:t xml:space="preserve"> </w:t>
      </w:r>
      <w:r>
        <w:rPr>
          <w:i/>
        </w:rPr>
        <w:t xml:space="preserve">r</w:t>
      </w:r>
      <w:r>
        <w:t xml:space="preserve"> </w:t>
      </w:r>
      <w:r>
        <w:t xml:space="preserve">= -0.997 with a fitted slope of about</w:t>
      </w:r>
      <w:r>
        <w:t xml:space="preserve"> </w:t>
      </w:r>
      <w:r>
        <w:t xml:space="preserve">-4.93 MHz/fF (Figure 2a). Correlations with placement coordinates were much</w:t>
      </w:r>
      <w:r>
        <w:t xml:space="preserve"> </w:t>
      </w:r>
      <w:r>
        <w:t xml:space="preserve">weaker (|</w:t>
      </w:r>
      <w:r>
        <w:rPr>
          <w:i/>
        </w:rPr>
        <w:t xml:space="preserve">r</w:t>
      </w:r>
      <w:r>
        <w:t xml:space="preserve">| &lt; 0.27; Figure 2b). For this layout the spread behaves like an</w:t>
      </w:r>
      <w:r>
        <w:t xml:space="preserve"> </w:t>
      </w:r>
      <w:r>
        <w:t xml:space="preserve">instance-specific routing load, not a smooth die-wide gradient.</w:t>
      </w:r>
    </w:p>
    <w:p>
      <w:pPr>
        <w:pStyle w:val="CaptionedFigure"/>
      </w:pPr>
      <w:r>
        <w:drawing>
          <wp:inline>
            <wp:extent cx="5334000" cy="2264727"/>
            <wp:effectExtent b="0" l="0" r="0" t="0"/>
            <wp:docPr descr="Figure 2. Nominal post-layout results for the earlier 32-oscillator layout: frequency versus extracted ring capacitance with the no-parasitic control, and a spatial frequency map." title="" id="1" name="Picture"/>
            <a:graphic>
              <a:graphicData uri="http://schemas.openxmlformats.org/drawingml/2006/picture">
                <pic:pic>
                  <pic:nvPicPr>
                    <pic:cNvPr descr="../sim/spice/gono/ro_gono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6472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2. Nominal post-layout results for the earlier 32-oscillator layout: frequency versus extracted ring capacitance with the no-parasitic control, and a spatial frequency map.</w:t>
      </w:r>
    </w:p>
    <w:p>
      <w:pPr>
        <w:pStyle w:val="Heading3"/>
      </w:pPr>
      <w:bookmarkStart w:id="30" w:name="coherent-dual-arm-build"/>
      <w:r>
        <w:t xml:space="preserve">5.2 Coherent dual-arm build</w:t>
      </w:r>
      <w:bookmarkEnd w:id="30"/>
    </w:p>
    <w:p>
      <w:pPr>
        <w:pStyle w:val="FirstParagraph"/>
      </w:pPr>
      <w:r>
        <w:t xml:space="preserve">Arm A of the candidate build contains 16 automatically placed oscillators.</w:t>
      </w:r>
      <w:r>
        <w:t xml:space="preserve"> </w:t>
      </w:r>
      <w:r>
        <w:t xml:space="preserve">Their nominal post-layout frequencies average 554.7 MHz and span 30.7 MHz from</w:t>
      </w:r>
      <w:r>
        <w:t xml:space="preserve"> </w:t>
      </w:r>
      <w:r>
        <w:t xml:space="preserve">end to end, which is 5.53% of the mean, with a population SD of 9.15 MHz</w:t>
      </w:r>
      <w:r>
        <w:t xml:space="preserve"> </w:t>
      </w:r>
      <w:r>
        <w:t xml:space="preserve">(1.65%). The slowest ring is RO14 at 540.0 MHz carrying 17.0 fF; the fastest is</w:t>
      </w:r>
      <w:r>
        <w:t xml:space="preserve"> </w:t>
      </w:r>
      <w:r>
        <w:t xml:space="preserve">RO7 at 570.7 MHz carrying 10.9 fF. Correlation against extracted ring</w:t>
      </w:r>
      <w:r>
        <w:t xml:space="preserve"> </w:t>
      </w:r>
      <w:r>
        <w:t xml:space="preserve">capacitance is -0.9997 and the fitted slope is -4.94 MHz/fF (Figure 4). The</w:t>
      </w:r>
      <w:r>
        <w:t xml:space="preserve"> </w:t>
      </w:r>
      <w:r>
        <w:t xml:space="preserve">loads in this build form a fairly smooth band rather than a distribution with a</w:t>
      </w:r>
      <w:r>
        <w:t xml:space="preserve"> </w:t>
      </w:r>
      <w:r>
        <w:t xml:space="preserve">straggler: the two heaviest rings differ by 0.34 fF, so no single instance</w:t>
      </w:r>
      <w:r>
        <w:t xml:space="preserve"> </w:t>
      </w:r>
      <w:r>
        <w:t xml:space="preserve">dominates the range, and dropping any one oscillator leaves the spread between</w:t>
      </w:r>
      <w:r>
        <w:t xml:space="preserve"> </w:t>
      </w:r>
      <w:r>
        <w:t xml:space="preserve">4.7% and 5.5%. The build passes Magic DRC, KLayout DRC, XOR, LVS, antenna, and</w:t>
      </w:r>
      <w:r>
        <w:t xml:space="preserve"> </w:t>
      </w:r>
      <w:r>
        <w:t xml:space="preserve">power grid with zero violations, and the netlist verifier confirms all 16 rings</w:t>
      </w:r>
      <w:r>
        <w:t xml:space="preserve"> </w:t>
      </w:r>
      <w:r>
        <w:t xml:space="preserve">survived place and route with no cell inserted into a loop, so the dispersion</w:t>
      </w:r>
      <w:r>
        <w:t xml:space="preserve"> </w:t>
      </w:r>
      <w:r>
        <w:t xml:space="preserve">estimate and the candidate GDS come from the same signed-off run.</w:t>
      </w:r>
    </w:p>
    <w:p>
      <w:pPr>
        <w:pStyle w:val="BodyText"/>
      </w:pPr>
      <w:r>
        <w:t xml:space="preserve">An earlier build of this design reported 10.5%. That number came from a layout</w:t>
      </w:r>
      <w:r>
        <w:t xml:space="preserve"> </w:t>
      </w:r>
      <w:r>
        <w:t xml:space="preserve">in which the router gave one oscillator 24.35 fF while the other fifteen sat</w:t>
      </w:r>
      <w:r>
        <w:t xml:space="preserve"> </w:t>
      </w:r>
      <w:r>
        <w:t xml:space="preserve">between 11.7 and 16.95 fF, and that single instance carried most of the extreme</w:t>
      </w:r>
      <w:r>
        <w:t xml:space="preserve"> </w:t>
      </w:r>
      <w:r>
        <w:t xml:space="preserve">range; without it the same build measured 4.60%. Nothing was wrong with the</w:t>
      </w:r>
      <w:r>
        <w:t xml:space="preserve"> </w:t>
      </w:r>
      <w:r>
        <w:t xml:space="preserve">build, and the heavy instance was a real routing outcome rather than a</w:t>
      </w:r>
      <w:r>
        <w:t xml:space="preserve"> </w:t>
      </w:r>
      <w:r>
        <w:t xml:space="preserve">measurement fault, but a peak-to-peak statistic computed over sixteen instances</w:t>
      </w:r>
      <w:r>
        <w:t xml:space="preserve"> </w:t>
      </w:r>
      <w:r>
        <w:t xml:space="preserve">is sensitive to exactly that kind of draw. The sweep in Section 5.3 is what</w:t>
      </w:r>
      <w:r>
        <w:t xml:space="preserve"> </w:t>
      </w:r>
      <w:r>
        <w:t xml:space="preserve">settles how typical it was.</w:t>
      </w:r>
    </w:p>
    <w:p>
      <w:pPr>
        <w:pStyle w:val="BodyText"/>
      </w:pPr>
      <w:r>
        <w:t xml:space="preserve">Putting two builds’ spread figures side by side is a fairly weak comparison. A</w:t>
      </w:r>
      <w:r>
        <w:t xml:space="preserve"> </w:t>
      </w:r>
      <w:r>
        <w:t xml:space="preserve">better one is whether a fit from one build predicts the individual oscillators</w:t>
      </w:r>
      <w:r>
        <w:t xml:space="preserve"> </w:t>
      </w:r>
      <w:r>
        <w:t xml:space="preserve">of another. A linear capacitance fit trained only on the 32-oscillator build</w:t>
      </w:r>
      <w:r>
        <w:t xml:space="preserve"> </w:t>
      </w:r>
      <w:r>
        <w:t xml:space="preserve">(624.6 MHz - 4.93 MHz/fF) predicts the frequencies of later builds to roughly</w:t>
      </w:r>
      <w:r>
        <w:t xml:space="preserve"> </w:t>
      </w:r>
      <w:r>
        <w:t xml:space="preserve">0.1% mean absolute error with rank correlation near 0.997, and the candidate</w:t>
      </w:r>
      <w:r>
        <w:t xml:space="preserve"> </w:t>
      </w:r>
      <w:r>
        <w:t xml:space="preserve">build’s own fitted slope, -4.94 MHz/fF, sits within a fraction of a percent of</w:t>
      </w:r>
      <w:r>
        <w:t xml:space="preserve"> </w:t>
      </w:r>
      <w:r>
        <w:t xml:space="preserve">that independently trained value. Each layout gets its own pattern of loads. The</w:t>
      </w:r>
      <w:r>
        <w:t xml:space="preserve"> </w:t>
      </w:r>
      <w:r>
        <w:t xml:space="preserve">relationship converting those loads into frequencies is the same one every time.</w:t>
      </w:r>
    </w:p>
    <w:p>
      <w:pPr>
        <w:pStyle w:val="Heading3"/>
      </w:pPr>
      <w:bookmarkStart w:id="31" w:name="dispersion-across-nine-builds"/>
      <w:r>
        <w:t xml:space="preserve">5.3 Dispersion across nine builds</w:t>
      </w:r>
      <w:bookmarkEnd w:id="31"/>
    </w:p>
    <w:p>
      <w:pPr>
        <w:pStyle w:val="FirstParagraph"/>
      </w:pPr>
      <w:r>
        <w:t xml:space="preserve">A peak-to-peak figure from one layout says little about what the flow does in</w:t>
      </w:r>
      <w:r>
        <w:t xml:space="preserve"> </w:t>
      </w:r>
      <w:r>
        <w:t xml:space="preserve">general. LibreLane 3.0.3 does not expose the</w:t>
      </w:r>
      <w:r>
        <w:t xml:space="preserve"> </w:t>
      </w:r>
      <w:r>
        <w:t xml:space="preserve">place-and-route seed, so a strict seed-only replicate set was not available.</w:t>
      </w:r>
      <w:r>
        <w:t xml:space="preserve"> </w:t>
      </w:r>
      <w:r>
        <w:t xml:space="preserve">Instead I varied one neutral placement knob, the target placement density, in</w:t>
      </w:r>
      <w:r>
        <w:t xml:space="preserve"> </w:t>
      </w:r>
      <w:r>
        <w:t xml:space="preserve">1% steps from 56% to 64%, and froze everything else: the RTL, the macro</w:t>
      </w:r>
      <w:r>
        <w:t xml:space="preserve"> </w:t>
      </w:r>
      <w:r>
        <w:t xml:space="preserve">locations, the floorplan, the constraints, the tool version, and the PDK. All</w:t>
      </w:r>
      <w:r>
        <w:t xml:space="preserve"> </w:t>
      </w:r>
      <w:r>
        <w:t xml:space="preserve">nine builds hardened, and all nine kept every ring intact. Read the result as a</w:t>
      </w:r>
      <w:r>
        <w:t xml:space="preserve"> </w:t>
      </w:r>
      <w:r>
        <w:t xml:space="preserve">placement-sensitivity band rather than a seed distribution.</w:t>
      </w:r>
    </w:p>
    <w:p>
      <w:pPr>
        <w:pStyle w:val="BodyText"/>
      </w:pPr>
      <w:r>
        <w:t xml:space="preserve">Dispersion across the nine builds has a median of 5.75%, a range of 4.19% to</w:t>
      </w:r>
      <w:r>
        <w:t xml:space="preserve"> </w:t>
      </w:r>
      <w:r>
        <w:t xml:space="preserve">6.99%, and a standard deviation of 0.80% (Figure 5). The candidate build sits at</w:t>
      </w:r>
      <w:r>
        <w:t xml:space="preserve"> </w:t>
      </w:r>
      <w:r>
        <w:t xml:space="preserve">5.53%, close to the middle. Density itself explains little of the variation</w:t>
      </w:r>
      <w:r>
        <w:t xml:space="preserve"> </w:t>
      </w:r>
      <w:r>
        <w:t xml:space="preserve">(</w:t>
      </w:r>
      <w:r>
        <w:rPr>
          <w:i/>
        </w:rPr>
        <w:t xml:space="preserve">r</w:t>
      </w:r>
      <w:r>
        <w:t xml:space="preserve"> </w:t>
      </w:r>
      <w:r>
        <w:t xml:space="preserve">= 0.32), which is what I expected: the knob is a way to perturb placement,</w:t>
      </w:r>
      <w:r>
        <w:t xml:space="preserve"> </w:t>
      </w:r>
      <w:r>
        <w:t xml:space="preserve">not a physical cause. Ring capacitance spread and frequency spread move</w:t>
      </w:r>
      <w:r>
        <w:t xml:space="preserve"> </w:t>
      </w:r>
      <w:r>
        <w:t xml:space="preserve">together across the whole set, from 4.7 fF and 4.19% at the tightest build to</w:t>
      </w:r>
      <w:r>
        <w:t xml:space="preserve"> </w:t>
      </w:r>
      <w:r>
        <w:t xml:space="preserve">7.8 fF and 6.99% at the widest.</w:t>
      </w:r>
    </w:p>
    <w:p>
      <w:pPr>
        <w:pStyle w:val="BodyText"/>
      </w:pPr>
      <w:r>
        <w:t xml:space="preserve">Two details make the band trustworthy. The build at 60% density reproduces the</w:t>
      </w:r>
      <w:r>
        <w:t xml:space="preserve"> </w:t>
      </w:r>
      <w:r>
        <w:t xml:space="preserve">shipped configuration exactly and returned 5.53%, matching the candidate build</w:t>
      </w:r>
      <w:r>
        <w:t xml:space="preserve"> </w:t>
      </w:r>
      <w:r>
        <w:t xml:space="preserve">to the digit, and running the entire sweep a second time reproduced all nine</w:t>
      </w:r>
      <w:r>
        <w:t xml:space="preserve"> </w:t>
      </w:r>
      <w:r>
        <w:t xml:space="preserve">values without change. The flow is deterministic, so the band measures genuine</w:t>
      </w:r>
      <w:r>
        <w:t xml:space="preserve"> </w:t>
      </w:r>
      <w:r>
        <w:t xml:space="preserve">placement sensitivity rather than run-to-run noise. Against that band the older</w:t>
      </w:r>
      <w:r>
        <w:t xml:space="preserve"> </w:t>
      </w:r>
      <w:r>
        <w:t xml:space="preserve">10.5% build looks like a wide draw rather than a typical outcome. If I had run</w:t>
      </w:r>
      <w:r>
        <w:t xml:space="preserve"> </w:t>
      </w:r>
      <w:r>
        <w:t xml:space="preserve">this sweep before writing up that build, I would not have quoted its number on</w:t>
      </w:r>
      <w:r>
        <w:t xml:space="preserve"> </w:t>
      </w:r>
      <w:r>
        <w:t xml:space="preserve">its own.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Figure 5. Nominal Arm A dispersion for nine builds that differ only in target placement density. The dashed line is the median, and the highlighted point is the shipped configuration." title="" id="1" name="Picture"/>
            <a:graphic>
              <a:graphicData uri="http://schemas.openxmlformats.org/drawingml/2006/picture">
                <pic:pic>
                  <pic:nvPicPr>
                    <pic:cNvPr descr="../dualarm/placement_sweep/placement_sweep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5. Nominal Arm A dispersion for nine builds that differ only in target placement density. The dashed line is the median, and the highlighted point is the shipped configuration.</w:t>
      </w:r>
    </w:p>
    <w:p>
      <w:pPr>
        <w:pStyle w:val="Heading3"/>
      </w:pPr>
      <w:bookmarkStart w:id="33" w:name="Xb8497a7e39c66adc61a0bf640a551b759a5cf57"/>
      <w:r>
        <w:t xml:space="preserve">5.4 The dispersion across process, voltage and temperature</w:t>
      </w:r>
      <w:bookmarkEnd w:id="33"/>
    </w:p>
    <w:p>
      <w:pPr>
        <w:pStyle w:val="FirstParagraph"/>
      </w:pPr>
      <w:r>
        <w:t xml:space="preserve">Everything above is at 27 C and 1.8 V with typical devices, which bounds nothing.</w:t>
      </w:r>
      <w:r>
        <w:t xml:space="preserve"> </w:t>
      </w:r>
      <w:r>
        <w:t xml:space="preserve">Repeating the same deck and the same extracted capacitances at a slow corner</w:t>
      </w:r>
      <w:r>
        <w:t xml:space="preserve"> </w:t>
      </w:r>
      <w:r>
        <w:t xml:space="preserve">(100 C, 1.60 V) and a fast one (-40 C, 1.95 V) gives absolute frequencies of 276.2</w:t>
      </w:r>
      <w:r>
        <w:t xml:space="preserve"> </w:t>
      </w:r>
      <w:r>
        <w:t xml:space="preserve">to 291.7 MHz and 840.3 to 888.3 MHz, against 540.0 to 570.7 at nominal. All</w:t>
      </w:r>
      <w:r>
        <w:t xml:space="preserve"> </w:t>
      </w:r>
      <w:r>
        <w:t xml:space="preserve">sixteen oscillators start at every corner, including the slow low-voltage one, and</w:t>
      </w:r>
      <w:r>
        <w:t xml:space="preserve"> </w:t>
      </w:r>
      <w:r>
        <w:t xml:space="preserve">the no-parasitic control decks return a single identical frequency per corner</w:t>
      </w:r>
      <w:r>
        <w:t xml:space="preserve"> </w:t>
      </w:r>
      <w:r>
        <w:t xml:space="preserve">(323.140, 633.640 and 987.948 MHz), which is what validates the corner setup.</w:t>
      </w:r>
    </w:p>
    <w:p>
      <w:pPr>
        <w:pStyle w:val="BodyText"/>
      </w:pPr>
      <w:r>
        <w:t xml:space="preserve">The dispersion is essentially unchanged: 5.46%, 5.53% and 5.56% peak to peak at</w:t>
      </w:r>
      <w:r>
        <w:t xml:space="preserve"> </w:t>
      </w:r>
      <w:r>
        <w:t xml:space="preserve">slow, nominal and fast. The frequency-capacitance correlation is -0.9997 in every</w:t>
      </w:r>
      <w:r>
        <w:t xml:space="preserve"> </w:t>
      </w:r>
      <w:r>
        <w:t xml:space="preserve">case. The fitted slope scales with the operating frequency, -2.478, -4.936 and</w:t>
      </w:r>
      <w:r>
        <w:t xml:space="preserve"> </w:t>
      </w:r>
      <w:r>
        <w:t xml:space="preserve">-7.783 MHz/fF, but expressed as a fraction of the mean it barely moves, -0.873,</w:t>
      </w:r>
      <w:r>
        <w:t xml:space="preserve"> </w:t>
      </w:r>
      <w:r>
        <w:t xml:space="preserve">-0.890 and -0.902 percent per fF.</w:t>
      </w:r>
    </w:p>
    <w:p>
      <w:pPr>
        <w:pStyle w:val="BodyText"/>
      </w:pPr>
      <w:r>
        <w:t xml:space="preserve">That is a stronger result than the nominal number alone. It says the routing</w:t>
      </w:r>
      <w:r>
        <w:t xml:space="preserve"> </w:t>
      </w:r>
      <w:r>
        <w:t xml:space="preserve">contribution behaves as a relative perturbation of whatever speed the process and</w:t>
      </w:r>
      <w:r>
        <w:t xml:space="preserve"> </w:t>
      </w:r>
      <w:r>
        <w:t xml:space="preserve">operating point set, rather than as a fixed frequency offset that a corner shift</w:t>
      </w:r>
      <w:r>
        <w:t xml:space="preserve"> </w:t>
      </w:r>
      <w:r>
        <w:t xml:space="preserve">could swamp or amplify. For the silicon phase it predicts that the per-oscillator</w:t>
      </w:r>
      <w:r>
        <w:t xml:space="preserve"> </w:t>
      </w:r>
      <w:r>
        <w:t xml:space="preserve">pattern should be recoverable from dies measured at different temperatures and</w:t>
      </w:r>
      <w:r>
        <w:t xml:space="preserve"> </w:t>
      </w:r>
      <w:r>
        <w:t xml:space="preserve">supplies, which is convenient, because holding a hobby measurement setup at one</w:t>
      </w:r>
      <w:r>
        <w:t xml:space="preserve"> </w:t>
      </w:r>
      <w:r>
        <w:t xml:space="preserve">temperature is difficult.</w:t>
      </w:r>
    </w:p>
    <w:p>
      <w:pPr>
        <w:pStyle w:val="BodyText"/>
      </w:pPr>
      <w:r>
        <w:t xml:space="preserve">Two practical bounds fall out of the same simulations. The reported count is the</w:t>
      </w:r>
      <w:r>
        <w:t xml:space="preserve"> </w:t>
      </w:r>
      <w:r>
        <w:t xml:space="preserve">oscillator frequency times the window duration, so at the fast corner the 16-bit</w:t>
      </w:r>
      <w:r>
        <w:t xml:space="preserve"> </w:t>
      </w:r>
      <w:r>
        <w:t xml:space="preserve">counter reaches 35532 of 65535, leaving 1.84x headroom at the 25 MHz reference</w:t>
      </w:r>
      <w:r>
        <w:t xml:space="preserve"> </w:t>
      </w:r>
      <w:r>
        <w:t xml:space="preserve">clock and the 1000-cycle window in the design. Dropping the reference clock below</w:t>
      </w:r>
      <w:r>
        <w:t xml:space="preserve"> </w:t>
      </w:r>
      <w:r>
        <w:t xml:space="preserve">13.55 MHz, or extending the window past 1844 cycles, would push the fast corner</w:t>
      </w:r>
      <w:r>
        <w:t xml:space="preserve"> </w:t>
      </w:r>
      <w:r>
        <w:t xml:space="preserve">into a silent wrap that returns a believable smaller count instead of an error.</w:t>
      </w:r>
    </w:p>
    <w:p>
      <w:pPr>
        <w:pStyle w:val="Heading3"/>
      </w:pPr>
      <w:bookmarkStart w:id="34" w:name="X0efac1f1e255c19817051e2d1a5e3950fe8fd7b"/>
      <w:r>
        <w:t xml:space="preserve">5.5 Does the lumped model survive the real RC network?</w:t>
      </w:r>
      <w:bookmarkEnd w:id="34"/>
    </w:p>
    <w:p>
      <w:pPr>
        <w:pStyle w:val="FirstParagraph"/>
      </w:pPr>
      <w:r>
        <w:t xml:space="preserve">Section 4 grounds each net’s total capacitance on a single node. That discards the</w:t>
      </w:r>
      <w:r>
        <w:t xml:space="preserve"> </w:t>
      </w:r>
      <w:r>
        <w:t xml:space="preserve">series resistance, collapses the split of capacitance between the ends of a net,</w:t>
      </w:r>
      <w:r>
        <w:t xml:space="preserve"> </w:t>
      </w:r>
      <w:r>
        <w:t xml:space="preserve">and treats coupling as though the far end were held quiet. The last of those is the</w:t>
      </w:r>
      <w:r>
        <w:t xml:space="preserve"> </w:t>
      </w:r>
      <w:r>
        <w:t xml:space="preserve">one to worry about here, because 47 to 62 of each ring’s coupling capacitors have</w:t>
      </w:r>
      <w:r>
        <w:t xml:space="preserve"> </w:t>
      </w:r>
      <w:r>
        <w:t xml:space="preserve">their far end on another node of the same ring, usually the neighbouring inverter.</w:t>
      </w:r>
      <w:r>
        <w:t xml:space="preserve"> </w:t>
      </w:r>
      <w:r>
        <w:t xml:space="preserve">Adjacent inverter outputs move in antiphase, so grounding such a coupling</w:t>
      </w:r>
      <w:r>
        <w:t xml:space="preserve"> </w:t>
      </w:r>
      <w:r>
        <w:t xml:space="preserve">understates the load it presents.</w:t>
      </w:r>
    </w:p>
    <w:p>
      <w:pPr>
        <w:pStyle w:val="BodyText"/>
      </w:pPr>
      <w:r>
        <w:t xml:space="preserve">To test it I rebuilt all sixteen oscillators from the extraction’s own network,</w:t>
      </w:r>
      <w:r>
        <w:t xml:space="preserve"> </w:t>
      </w:r>
      <w:r>
        <w:t xml:space="preserve">with per-node capacitances, the series resistors as extracted, and node-to-node</w:t>
      </w:r>
      <w:r>
        <w:t xml:space="preserve"> </w:t>
      </w:r>
      <w:r>
        <w:t xml:space="preserve">capacitors wherever both ends lie inside the oscillator, then simulated the lumped</w:t>
      </w:r>
      <w:r>
        <w:t xml:space="preserve"> </w:t>
      </w:r>
      <w:r>
        <w:t xml:space="preserve">and distributed versions of each ring under otherwise identical conditions. The</w:t>
      </w:r>
      <w:r>
        <w:t xml:space="preserve"> </w:t>
      </w:r>
      <w:r>
        <w:t xml:space="preserve">reconstruction accounts for the whole of every net’s declared capacitance.</w:t>
      </w:r>
    </w:p>
    <w:p>
      <w:pPr>
        <w:pStyle w:val="BodyText"/>
      </w:pPr>
      <w:r>
        <w:t xml:space="preserve">Every oscillator is slower under the fuller model, by 2.16% to 5.69%, and the size</w:t>
      </w:r>
      <w:r>
        <w:t xml:space="preserve"> </w:t>
      </w:r>
      <w:r>
        <w:t xml:space="preserve">of the shift tracks the ring’s extracted load (</w:t>
      </w:r>
      <w:r>
        <w:rPr>
          <w:i/>
        </w:rPr>
        <w:t xml:space="preserve">r</w:t>
      </w:r>
      <w:r>
        <w:t xml:space="preserve"> </w:t>
      </w:r>
      <w:r>
        <w:t xml:space="preserve">= -0.589). Because the heavier</w:t>
      </w:r>
      <w:r>
        <w:t xml:space="preserve"> </w:t>
      </w:r>
      <w:r>
        <w:t xml:space="preserve">rings lose the most, the dispersion widens rather than shrinking: 5.55%</w:t>
      </w:r>
      <w:r>
        <w:t xml:space="preserve"> </w:t>
      </w:r>
      <w:r>
        <w:t xml:space="preserve">peak-to-peak becomes 7.60%. The simplification is therefore conservative with</w:t>
      </w:r>
      <w:r>
        <w:t xml:space="preserve"> </w:t>
      </w:r>
      <w:r>
        <w:t xml:space="preserve">respect to the paper’s central claim. It understates the layout contribution by</w:t>
      </w:r>
      <w:r>
        <w:t xml:space="preserve"> </w:t>
      </w:r>
      <w:r>
        <w:t xml:space="preserve">roughly a third instead of manufacturing it, which is the opposite of the failure</w:t>
      </w:r>
      <w:r>
        <w:t xml:space="preserve"> </w:t>
      </w:r>
      <w:r>
        <w:t xml:space="preserve">mode a reduced model is usually suspected of.</w:t>
      </w:r>
    </w:p>
    <w:p>
      <w:pPr>
        <w:pStyle w:val="BodyText"/>
      </w:pPr>
      <w:r>
        <w:t xml:space="preserve">The per-oscillator pattern also survives. Rank correlation between the two models</w:t>
      </w:r>
      <w:r>
        <w:t xml:space="preserve"> </w:t>
      </w:r>
      <w:r>
        <w:t xml:space="preserve">is 0.912 and the fastest ring is the same under both. The slowest label moves</w:t>
      </w:r>
      <w:r>
        <w:t xml:space="preserve"> </w:t>
      </w:r>
      <w:r>
        <w:t xml:space="preserve">between two oscillators that the lumped model separated by 0.7%, which is a near-tie</w:t>
      </w:r>
      <w:r>
        <w:t xml:space="preserve"> </w:t>
      </w:r>
      <w:r>
        <w:t xml:space="preserve">changing hands rather than the fingerprint dissolving.</w:t>
      </w:r>
    </w:p>
    <w:p>
      <w:pPr>
        <w:pStyle w:val="BodyText"/>
      </w:pPr>
      <w:r>
        <w:t xml:space="preserve">Where the fuller model does change the answer is in the individual response bits.</w:t>
      </w:r>
      <w:r>
        <w:t xml:space="preserve"> </w:t>
      </w:r>
      <w:r>
        <w:t xml:space="preserve">The design forms bits by comparing neighbouring oscillators, and two of the eight</w:t>
      </w:r>
      <w:r>
        <w:t xml:space="preserve"> </w:t>
      </w:r>
      <w:r>
        <w:t xml:space="preserve">comparisons reverse. Both involved pairs separated by 0.28% and 0.32% under the</w:t>
      </w:r>
      <w:r>
        <w:t xml:space="preserve"> </w:t>
      </w:r>
      <w:r>
        <w:t xml:space="preserve">lumped model, while every pair separated by 0.69% or more kept its ordering. So</w:t>
      </w:r>
      <w:r>
        <w:t xml:space="preserve"> </w:t>
      </w:r>
      <w:r>
        <w:t xml:space="preserve">predicted bits from closely matched pairs are model-dependent and are not reported</w:t>
      </w:r>
      <w:r>
        <w:t xml:space="preserve"> </w:t>
      </w:r>
      <w:r>
        <w:t xml:space="preserve">here as predictions; the analysis code already flags such pairs as low-margin when</w:t>
      </w:r>
      <w:r>
        <w:t xml:space="preserve"> </w:t>
      </w:r>
      <w:r>
        <w:t xml:space="preserve">scoring measured silicon, and this gives an independent pre-silicon reason to</w:t>
      </w:r>
      <w:r>
        <w:t xml:space="preserve"> </w:t>
      </w:r>
      <w:r>
        <w:t xml:space="preserve">expect which ones will be fragile.</w:t>
      </w:r>
    </w:p>
    <w:p>
      <w:pPr>
        <w:pStyle w:val="BodyText"/>
      </w:pPr>
      <w:r>
        <w:t xml:space="preserve">Two limits on this check. The Arm B macro has a separate extraction and has not</w:t>
      </w:r>
      <w:r>
        <w:t xml:space="preserve"> </w:t>
      </w:r>
      <w:r>
        <w:t xml:space="preserve">been redone this way, so its 569.5 MHz reference remains a lumped-model result.</w:t>
      </w:r>
      <w:r>
        <w:t xml:space="preserve"> </w:t>
      </w:r>
      <w:r>
        <w:t xml:space="preserve">And the extraction itself is a reduced per-net network rather than a field</w:t>
      </w:r>
      <w:r>
        <w:t xml:space="preserve"> </w:t>
      </w:r>
      <w:r>
        <w:t xml:space="preserve">solution, with coupling to nets outside a given oscillator still grounded, which</w:t>
      </w:r>
      <w:r>
        <w:t xml:space="preserve"> </w:t>
      </w:r>
      <w:r>
        <w:t xml:space="preserve">ranges from four such nets on the lightest ring to seventy-two on the heaviest.</w:t>
      </w:r>
    </w:p>
    <w:p>
      <w:pPr>
        <w:pStyle w:val="Heading2"/>
      </w:pPr>
      <w:bookmarkStart w:id="35" w:name="matched-macro-arm"/>
      <w:r>
        <w:t xml:space="preserve">6. Matched-macro arm</w:t>
      </w:r>
      <w:bookmarkEnd w:id="35"/>
    </w:p>
    <w:p>
      <w:pPr>
        <w:pStyle w:val="FirstParagraph"/>
      </w:pPr>
      <w:r>
        <w:t xml:space="preserve">The matched construction hardens one oscillator as a 60 x 40 micrometre</w:t>
      </w:r>
      <w:r>
        <w:t xml:space="preserve"> </w:t>
      </w:r>
      <w:r>
        <w:t xml:space="preserve">macro. The macro layout passes the available DRC, LVS, antenna, and</w:t>
      </w:r>
      <w:r>
        <w:t xml:space="preserve"> </w:t>
      </w:r>
      <w:r>
        <w:t xml:space="preserve">connectivity checks, and Arm B places 16 instances of it on a regular grid.</w:t>
      </w:r>
    </w:p>
    <w:p>
      <w:pPr>
        <w:pStyle w:val="BodyText"/>
      </w:pPr>
      <w:r>
        <w:t xml:space="preserve">The extracted macro carries about 11.0 fF of total ring capacitance. One</w:t>
      </w:r>
      <w:r>
        <w:t xml:space="preserve"> </w:t>
      </w:r>
      <w:r>
        <w:t xml:space="preserve">nominal post-layout simulation gives 569.5 MHz against a no-parasitic</w:t>
      </w:r>
      <w:r>
        <w:t xml:space="preserve"> </w:t>
      </w:r>
      <w:r>
        <w:t xml:space="preserve">control of 633.15 MHz. The earlier Arm A capacitance fit predicts 570.2 MHz</w:t>
      </w:r>
      <w:r>
        <w:t xml:space="preserve"> </w:t>
      </w:r>
      <w:r>
        <w:t xml:space="preserve">at that load, 0.12% away, a useful cross-check on the model. The macro</w:t>
      </w:r>
      <w:r>
        <w:t xml:space="preserve"> </w:t>
      </w:r>
      <w:r>
        <w:t xml:space="preserve">result also lands within 0.35% of the earlier Arm A mean, so matching did</w:t>
      </w:r>
      <w:r>
        <w:t xml:space="preserve"> </w:t>
      </w:r>
      <w:r>
        <w:t xml:space="preserve">not move the operating point.</w:t>
      </w:r>
    </w:p>
    <w:p>
      <w:pPr>
        <w:pStyle w:val="BodyText"/>
      </w:pPr>
      <w:r>
        <w:t xml:space="preserve">The macro is faster than the typical routed ring, 569.5 MHz against an Arm A</w:t>
      </w:r>
      <w:r>
        <w:t xml:space="preserve"> </w:t>
      </w:r>
      <w:r>
        <w:t xml:space="preserve">mean of 554.7 MHz, which is what the lighter load predicts. It is not faster</w:t>
      </w:r>
      <w:r>
        <w:t xml:space="preserve"> </w:t>
      </w:r>
      <w:r>
        <w:t xml:space="preserve">than every Arm A ring. RO7 in the candidate build reaches 570.7 MHz because the</w:t>
      </w:r>
      <w:r>
        <w:t xml:space="preserve"> </w:t>
      </w:r>
      <w:r>
        <w:t xml:space="preserve">router happened to give it 10.9 fF, slightly less than the macro carries. The</w:t>
      </w:r>
      <w:r>
        <w:t xml:space="preserve"> </w:t>
      </w:r>
      <w:r>
        <w:t xml:space="preserve">gap is about 0.2%, below what this lumped-capacitance model resolves, and the</w:t>
      </w:r>
      <w:r>
        <w:t xml:space="preserve"> </w:t>
      </w:r>
      <w:r>
        <w:t xml:space="preserve">macro also pays for the boundary buffers that hardening inserted and Arm A does</w:t>
      </w:r>
      <w:r>
        <w:t xml:space="preserve"> </w:t>
      </w:r>
      <w:r>
        <w:t xml:space="preserve">not have. So the defensible statement is that matching the internal layout put</w:t>
      </w:r>
      <w:r>
        <w:t xml:space="preserve"> </w:t>
      </w:r>
      <w:r>
        <w:t xml:space="preserve">the macro ahead of the average automatically routed oscillator, not ahead of</w:t>
      </w:r>
      <w:r>
        <w:t xml:space="preserve"> </w:t>
      </w:r>
      <w:r>
        <w:t xml:space="preserve">all of them.</w:t>
      </w:r>
    </w:p>
    <w:p>
      <w:pPr>
        <w:pStyle w:val="BodyText"/>
      </w:pPr>
      <w:r>
        <w:t xml:space="preserve">Figures 3 and 4 draw Arm B as a single horizontal reference line at</w:t>
      </w:r>
      <w:r>
        <w:t xml:space="preserve"> </w:t>
      </w:r>
      <w:r>
        <w:t xml:space="preserve">569.5 MHz, because the sixteen instances share one internal layout and there</w:t>
      </w:r>
      <w:r>
        <w:t xml:space="preserve"> </w:t>
      </w:r>
      <w:r>
        <w:t xml:space="preserve">is only one extracted simulation behind it. By construction the internal</w:t>
      </w:r>
      <w:r>
        <w:t xml:space="preserve"> </w:t>
      </w:r>
      <w:r>
        <w:t xml:space="preserve">layout contributes zero spread; fabricated Arm B instances will still differ</w:t>
      </w:r>
      <w:r>
        <w:t xml:space="preserve"> </w:t>
      </w:r>
      <w:r>
        <w:t xml:space="preserve">through device mismatch, top-level routing, supply, and temperature. The</w:t>
      </w:r>
      <w:r>
        <w:t xml:space="preserve"> </w:t>
      </w:r>
      <w:r>
        <w:t xml:space="preserve">simulation establishes only the internal-layout contribution under nominal</w:t>
      </w:r>
      <w:r>
        <w:t xml:space="preserve"> </w:t>
      </w:r>
      <w:r>
        <w:t xml:space="preserve">device parameters. Total Arm B dispersion requires per-instance integration</w:t>
      </w:r>
      <w:r>
        <w:t xml:space="preserve"> </w:t>
      </w:r>
      <w:r>
        <w:t xml:space="preserve">parasitics and fabricated-device measurements, and whether Arm B ends up with</w:t>
      </w:r>
      <w:r>
        <w:t xml:space="preserve"> </w:t>
      </w:r>
      <w:r>
        <w:t xml:space="preserve">a smaller total spread than Arm A is the measurement the chip exists to make.</w:t>
      </w:r>
    </w:p>
    <w:p>
      <w:pPr>
        <w:pStyle w:val="CaptionedFigure"/>
      </w:pPr>
      <w:r>
        <w:drawing>
          <wp:inline>
            <wp:extent cx="5334000" cy="2319130"/>
            <wp:effectExtent b="0" l="0" r="0" t="0"/>
            <wp:docPr descr="Figure 3. The earlier 32-oscillator array beside the matched-macro reference line at 569.5 MHz." title="" id="1" name="Picture"/>
            <a:graphic>
              <a:graphicData uri="http://schemas.openxmlformats.org/drawingml/2006/picture">
                <pic:pic>
                  <pic:nvPicPr>
                    <pic:cNvPr descr="../sim/spice/gono/armB_prediction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191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3. The earlier 32-oscillator array beside the matched-macro reference line at 569.5 MHz.</w:t>
      </w:r>
    </w:p>
    <w:p>
      <w:pPr>
        <w:pStyle w:val="CaptionedFigure"/>
      </w:pPr>
      <w:r>
        <w:drawing>
          <wp:inline>
            <wp:extent cx="5334000" cy="2319130"/>
            <wp:effectExtent b="0" l="0" r="0" t="0"/>
            <wp:docPr descr="Figure 4. Arm A of the candidate build (5.53% peak to peak) beside the matched-macro reference line." title="" id="1" name="Picture"/>
            <a:graphic>
              <a:graphicData uri="http://schemas.openxmlformats.org/drawingml/2006/picture">
                <pic:pic>
                  <pic:nvPicPr>
                    <pic:cNvPr descr="../sim/spice/gono/dualarm_gono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191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4. Arm A of the candidate build (5.53% peak to peak) beside the matched-macro reference line.</w:t>
      </w:r>
    </w:p>
    <w:p>
      <w:pPr>
        <w:pStyle w:val="Heading2"/>
      </w:pPr>
      <w:bookmarkStart w:id="38" w:name="planned-silicon-test"/>
      <w:r>
        <w:t xml:space="preserve">7. Planned silicon test</w:t>
      </w:r>
      <w:bookmarkEnd w:id="38"/>
    </w:p>
    <w:p>
      <w:pPr>
        <w:pStyle w:val="FirstParagraph"/>
      </w:pPr>
      <w:r>
        <w:t xml:space="preserve">Why could a repeatable mask-defined pattern matter to a PUF at all? A layout</w:t>
      </w:r>
      <w:r>
        <w:t xml:space="preserve"> </w:t>
      </w:r>
      <w:r>
        <w:t xml:space="preserve">component shared across dies can reduce uniqueness or make some comparisons</w:t>
      </w:r>
      <w:r>
        <w:t xml:space="preserve"> </w:t>
      </w:r>
      <w:r>
        <w:t xml:space="preserve">predictable, but prior work also shows systematic structure is not</w:t>
      </w:r>
      <w:r>
        <w:t xml:space="preserve"> </w:t>
      </w:r>
      <w:r>
        <w:t xml:space="preserve">automatically exploitable: Wilde, Hiller, and Pehl found adjacent-oscillator</w:t>
      </w:r>
      <w:r>
        <w:t xml:space="preserve"> </w:t>
      </w:r>
      <w:r>
        <w:t xml:space="preserve">comparisons suppressed the spatial structure in their data and their</w:t>
      </w:r>
      <w:r>
        <w:t xml:space="preserve"> </w:t>
      </w:r>
      <w:r>
        <w:t xml:space="preserve">predictor could not beat its baseline [4]. Which way this design falls is a</w:t>
      </w:r>
      <w:r>
        <w:t xml:space="preserve"> </w:t>
      </w:r>
      <w:r>
        <w:t xml:space="preserve">question for fabricated dies, not for the nominal model. A toy population</w:t>
      </w:r>
      <w:r>
        <w:t xml:space="preserve"> </w:t>
      </w:r>
      <w:r>
        <w:t xml:space="preserve">model and a first-order mismatch-scale estimate live in the repository’s</w:t>
      </w:r>
      <w:r>
        <w:t xml:space="preserve"> </w:t>
      </w:r>
      <w:r>
        <w:t xml:space="preserve">supplementary material (</w:t>
      </w:r>
      <w:r>
        <w:rPr>
          <w:rStyle w:val="VerbatimChar"/>
        </w:rPr>
        <w:t xml:space="preserve">sim/montecarlo.py</w:t>
      </w:r>
      <w:r>
        <w:t xml:space="preserve">,</w:t>
      </w:r>
      <w:r>
        <w:t xml:space="preserve"> </w:t>
      </w:r>
      <w:r>
        <w:rPr>
          <w:rStyle w:val="VerbatimChar"/>
        </w:rPr>
        <w:t xml:space="preserve">sim/spice/mc/</w:t>
      </w:r>
      <w:r>
        <w:t xml:space="preserve">); their outputs</w:t>
      </w:r>
      <w:r>
        <w:t xml:space="preserve"> </w:t>
      </w:r>
      <w:r>
        <w:t xml:space="preserve">depend on assumed amplitudes and a sqrt(31) scaling that the PDK’s global</w:t>
      </w:r>
      <w:r>
        <w:t xml:space="preserve"> </w:t>
      </w:r>
      <w:r>
        <w:t xml:space="preserve">mismatch draw does not really support, so no number from them appears here.</w:t>
      </w:r>
    </w:p>
    <w:p>
      <w:pPr>
        <w:pStyle w:val="BodyText"/>
      </w:pPr>
      <w:r>
        <w:t xml:space="preserve">The question for silicon is whether Arm A retains more of its nominal</w:t>
      </w:r>
      <w:r>
        <w:t xml:space="preserve"> </w:t>
      </w:r>
      <w:r>
        <w:t xml:space="preserve">layout pattern across dies than Arm B. The threat model I have in mind is</w:t>
      </w:r>
      <w:r>
        <w:t xml:space="preserve"> </w:t>
      </w:r>
      <w:r>
        <w:t xml:space="preserve">concrete: an attacker knows the public design and mask and holds measurements</w:t>
      </w:r>
      <w:r>
        <w:t xml:space="preserve"> </w:t>
      </w:r>
      <w:r>
        <w:t xml:space="preserve">from other dies of the same design, but none from the target die, and asks</w:t>
      </w:r>
      <w:r>
        <w:t xml:space="preserve"> </w:t>
      </w:r>
      <w:r>
        <w:t xml:space="preserve">whether the shared deterministic layout component lets them predict the target</w:t>
      </w:r>
      <w:r>
        <w:t xml:space="preserve"> </w:t>
      </w:r>
      <w:r>
        <w:t xml:space="preserve">die’s pair ordering above the relevant per-bit baseline. Predictor accuracy is</w:t>
      </w:r>
      <w:r>
        <w:t xml:space="preserve"> </w:t>
      </w:r>
      <w:r>
        <w:t xml:space="preserve">then judged against that baseline with whole chips held out, not against 50%. Testing it needs multiple chip IDs, repeated</w:t>
      </w:r>
      <w:r>
        <w:t xml:space="preserve"> </w:t>
      </w:r>
      <w:r>
        <w:t xml:space="preserve">measurements, matched voltage and temperature settings, and a fixed</w:t>
      </w:r>
      <w:r>
        <w:t xml:space="preserve"> </w:t>
      </w:r>
      <w:r>
        <w:t xml:space="preserve">comparison rule; the firmware records chip and condition labels so groups</w:t>
      </w:r>
      <w:r>
        <w:t xml:space="preserve"> </w:t>
      </w:r>
      <w:r>
        <w:t xml:space="preserve">stay separate. The planned metrics are repeatability within chip and</w:t>
      </w:r>
      <w:r>
        <w:t xml:space="preserve"> </w:t>
      </w:r>
      <w:r>
        <w:t xml:space="preserve">condition, centered pattern correlation across chips under the same</w:t>
      </w:r>
      <w:r>
        <w:t xml:space="preserve"> </w:t>
      </w:r>
      <w:r>
        <w:t xml:space="preserve">condition, inter-chip Hamming distance for a predeclared set of adjacent</w:t>
      </w:r>
      <w:r>
        <w:t xml:space="preserve"> </w:t>
      </w:r>
      <w:r>
        <w:t xml:space="preserve">comparison pairs, and within-chip response changes across voltage and</w:t>
      </w:r>
      <w:r>
        <w:t xml:space="preserve"> </w:t>
      </w:r>
      <w:r>
        <w:t xml:space="preserve">temperature. Results count only when the grouping and completeness</w:t>
      </w:r>
      <w:r>
        <w:t xml:space="preserve"> </w:t>
      </w:r>
      <w:r>
        <w:t xml:space="preserve">requirements are met; a single chip or an incomplete oscillator vector does</w:t>
      </w:r>
      <w:r>
        <w:t xml:space="preserve"> </w:t>
      </w:r>
      <w:r>
        <w:t xml:space="preserve">not support a population claim.</w:t>
      </w:r>
    </w:p>
    <w:p>
      <w:pPr>
        <w:pStyle w:val="Heading2"/>
      </w:pPr>
      <w:bookmarkStart w:id="39" w:name="limitations"/>
      <w:r>
        <w:t xml:space="preserve">8. Limitations</w:t>
      </w:r>
      <w:bookmarkEnd w:id="39"/>
    </w:p>
    <w:p>
      <w:pPr>
        <w:pStyle w:val="FirstParagraph"/>
      </w:pPr>
      <w:r>
        <w:t xml:space="preserve">This study is pre-silicon, and its model is deliberately simple. Nominal</w:t>
      </w:r>
      <w:r>
        <w:t xml:space="preserve"> </w:t>
      </w:r>
      <w:r>
        <w:t xml:space="preserve">transistor models carry no random local mismatch. The lumped-capacitance model has</w:t>
      </w:r>
      <w:r>
        <w:t xml:space="preserve"> </w:t>
      </w:r>
      <w:r>
        <w:t xml:space="preserve">now been checked against the extraction’s full RC network, as Section 5.5 reports:</w:t>
      </w:r>
      <w:r>
        <w:t xml:space="preserve"> </w:t>
      </w:r>
      <w:r>
        <w:t xml:space="preserve">the dispersion survives and in fact grows, but individual comparisons between</w:t>
      </w:r>
      <w:r>
        <w:t xml:space="preserve"> </w:t>
      </w:r>
      <w:r>
        <w:t xml:space="preserve">closely matched oscillators do not, and the Arm B macro has not been re-extracted</w:t>
      </w:r>
      <w:r>
        <w:t xml:space="preserve"> </w:t>
      </w:r>
      <w:r>
        <w:t xml:space="preserve">that way. Neither model represents dynamic supply coupling between simultaneously</w:t>
      </w:r>
      <w:r>
        <w:t xml:space="preserve"> </w:t>
      </w:r>
      <w:r>
        <w:t xml:space="preserve">active oscillators, which does not arise here because the hardware enables one at a</w:t>
      </w:r>
      <w:r>
        <w:t xml:space="preserve"> </w:t>
      </w:r>
      <w:r>
        <w:t xml:space="preserve">time. The</w:t>
      </w:r>
      <w:r>
        <w:t xml:space="preserve"> </w:t>
      </w:r>
      <w:r>
        <w:t xml:space="preserve">nine-build sweep is a controlled set in the sense that only one flow knob</w:t>
      </w:r>
      <w:r>
        <w:t xml:space="preserve"> </w:t>
      </w:r>
      <w:r>
        <w:t xml:space="preserve">changed, but that knob is placement density and not the place-and-route seed,</w:t>
      </w:r>
      <w:r>
        <w:t xml:space="preserve"> </w:t>
      </w:r>
      <w:r>
        <w:t xml:space="preserve">which LibreLane 3.0.3 does not expose. A seed sweep would be the cleaner</w:t>
      </w:r>
      <w:r>
        <w:t xml:space="preserve"> </w:t>
      </w:r>
      <w:r>
        <w:t xml:space="preserve">experiment, and the band reported here should be read as placement sensitivity</w:t>
      </w:r>
      <w:r>
        <w:t xml:space="preserve"> </w:t>
      </w:r>
      <w:r>
        <w:t xml:space="preserve">measured one particular way. Builds from earlier revisions are not part of that</w:t>
      </w:r>
      <w:r>
        <w:t xml:space="preserve"> </w:t>
      </w:r>
      <w:r>
        <w:t xml:space="preserve">set and their spreads are not pooled with it. Instances within a single layout</w:t>
      </w:r>
      <w:r>
        <w:t xml:space="preserve"> </w:t>
      </w:r>
      <w:r>
        <w:t xml:space="preserve">are also related observations, so instance-level confidence intervals would</w:t>
      </w:r>
      <w:r>
        <w:t xml:space="preserve"> </w:t>
      </w:r>
      <w:r>
        <w:t xml:space="preserve">overstate the evidence. The Arm B reference is</w:t>
      </w:r>
      <w:r>
        <w:t xml:space="preserve"> </w:t>
      </w:r>
      <w:r>
        <w:t xml:space="preserve">one simulation of one macro and cannot quantify fabricated Arm B variation.</w:t>
      </w:r>
      <w:r>
        <w:t xml:space="preserve"> </w:t>
      </w:r>
      <w:r>
        <w:t xml:space="preserve">The 40-run global Monte Carlo cannot reproduce independent local device</w:t>
      </w:r>
      <w:r>
        <w:t xml:space="preserve"> </w:t>
      </w:r>
      <w:r>
        <w:t xml:space="preserve">mismatch. Voltage, temperature, supply noise, ageing, package, and</w:t>
      </w:r>
      <w:r>
        <w:t xml:space="preserve"> </w:t>
      </w:r>
      <w:r>
        <w:t xml:space="preserve">measurement-system effects are partly characterized: the corner simulations in</w:t>
      </w:r>
      <w:r>
        <w:t xml:space="preserve"> </w:t>
      </w:r>
      <w:r>
        <w:t xml:space="preserve">Section 5.4 bound the frequency range and the counter margin, but supply noise,</w:t>
      </w:r>
      <w:r>
        <w:t xml:space="preserve"> </w:t>
      </w:r>
      <w:r>
        <w:t xml:space="preserve">ageing, package effects and the measurement instrument itself remain unknown until</w:t>
      </w:r>
      <w:r>
        <w:t xml:space="preserve"> </w:t>
      </w:r>
      <w:r>
        <w:t xml:space="preserve">chips exist. Uniqueness, reliability, min-entropy and attack success all need a</w:t>
      </w:r>
      <w:r>
        <w:t xml:space="preserve"> </w:t>
      </w:r>
      <w:r>
        <w:t xml:space="preserve">multi-chip data set with a stated threat model. The corner work pairs device</w:t>
      </w:r>
      <w:r>
        <w:t xml:space="preserve"> </w:t>
      </w:r>
      <w:r>
        <w:t xml:space="preserve">corners with nominal interconnect rather than pairing the slow corner with maximum</w:t>
      </w:r>
      <w:r>
        <w:t xml:space="preserve"> </w:t>
      </w:r>
      <w:r>
        <w:t xml:space="preserve">extracted capacitance and the fast corner with minimum; device spread dominates</w:t>
      </w:r>
      <w:r>
        <w:t xml:space="preserve"> </w:t>
      </w:r>
      <w:r>
        <w:t xml:space="preserve">the frequency bound, so the bound holds, but the range would tighten slightly</w:t>
      </w:r>
      <w:r>
        <w:t xml:space="preserve"> </w:t>
      </w:r>
      <w:r>
        <w:t xml:space="preserve">under the fuller pairing. The boundary behaviour of the oscillator-clocked ripple</w:t>
      </w:r>
      <w:r>
        <w:t xml:space="preserve"> </w:t>
      </w:r>
      <w:r>
        <w:t xml:space="preserve">counter is checked at both nominal and the fast corner, which is where the shorter</w:t>
      </w:r>
      <w:r>
        <w:t xml:space="preserve"> </w:t>
      </w:r>
      <w:r>
        <w:t xml:space="preserve">period makes it hardest, though the selector path feeding it has not yet been</w:t>
      </w:r>
      <w:r>
        <w:t xml:space="preserve"> </w:t>
      </w:r>
      <w:r>
        <w:t xml:space="preserve">validated as a whole chain at 888 MHz. None of this erases the modelled</w:t>
      </w:r>
      <w:r>
        <w:t xml:space="preserve"> </w:t>
      </w:r>
      <w:r>
        <w:t xml:space="preserve">dispersion; it bounds what can be concluded from it.</w:t>
      </w:r>
    </w:p>
    <w:p>
      <w:pPr>
        <w:pStyle w:val="Heading2"/>
      </w:pPr>
      <w:bookmarkStart w:id="40" w:name="conclusion"/>
      <w:r>
        <w:t xml:space="preserve">9. Conclusion</w:t>
      </w:r>
      <w:bookmarkEnd w:id="40"/>
    </w:p>
    <w:p>
      <w:pPr>
        <w:pStyle w:val="FirstParagraph"/>
      </w:pPr>
      <w:r>
        <w:t xml:space="preserve">Under a reduced lumped-capacitance model of the verified post-route topology,</w:t>
      </w:r>
      <w:r>
        <w:t xml:space="preserve"> </w:t>
      </w:r>
      <w:r>
        <w:t xml:space="preserve">the automated flow gave the 16 oscillators of the candidate build a 5.53%</w:t>
      </w:r>
      <w:r>
        <w:t xml:space="preserve"> </w:t>
      </w:r>
      <w:r>
        <w:t xml:space="preserve">peak-to-peak nominal frequency dispersion (population SD 1.65%, mean</w:t>
      </w:r>
      <w:r>
        <w:t xml:space="preserve"> </w:t>
      </w:r>
      <w:r>
        <w:t xml:space="preserve">554.7 MHz). Nine builds that differ only in placement density put that figure</w:t>
      </w:r>
      <w:r>
        <w:t xml:space="preserve"> </w:t>
      </w:r>
      <w:r>
        <w:t xml:space="preserve">in context: median 5.75%, range 4.19% to 6.99%. Any single build reports one</w:t>
      </w:r>
      <w:r>
        <w:t xml:space="preserve"> </w:t>
      </w:r>
      <w:r>
        <w:t xml:space="preserve">draw of the router, which is why I no longer quote one of them on its own.</w:t>
      </w:r>
      <w:r>
        <w:t xml:space="preserve"> </w:t>
      </w:r>
      <w:r>
        <w:t xml:space="preserve">What repeats is the mechanism. Every build shows frequency tracking extracted</w:t>
      </w:r>
      <w:r>
        <w:t xml:space="preserve"> </w:t>
      </w:r>
      <w:r>
        <w:t xml:space="preserve">ring capacitance at about -0.999, the fitted slope stays near -4.94 MHz/fF</w:t>
      </w:r>
      <w:r>
        <w:t xml:space="preserve"> </w:t>
      </w:r>
      <w:r>
        <w:t xml:space="preserve">across independent layouts, and a fit trained on one build predicts another’s</w:t>
      </w:r>
      <w:r>
        <w:t xml:space="preserve"> </w:t>
      </w:r>
      <w:r>
        <w:t xml:space="preserve">individual frequencies to roughly 0.1%. A hardened macro provides a 569.5 MHz</w:t>
      </w:r>
      <w:r>
        <w:t xml:space="preserve"> </w:t>
      </w:r>
      <w:r>
        <w:t xml:space="preserve">shared-internal-layout reference for Arm B, ahead of the Arm A mean though not</w:t>
      </w:r>
      <w:r>
        <w:t xml:space="preserve"> </w:t>
      </w:r>
      <w:r>
        <w:t xml:space="preserve">of every Arm A instance. The finding is that the flow assigns materially</w:t>
      </w:r>
      <w:r>
        <w:t xml:space="preserve"> </w:t>
      </w:r>
      <w:r>
        <w:t xml:space="preserve">different routing capacitance to logically identical oscillators, and that</w:t>
      </w:r>
      <w:r>
        <w:t xml:space="preserve"> </w:t>
      </w:r>
      <w:r>
        <w:t xml:space="preserve">under nominal device assumptions this converts into a dispersion of several</w:t>
      </w:r>
      <w:r>
        <w:t xml:space="preserve"> </w:t>
      </w:r>
      <w:r>
        <w:t xml:space="preserve">percent through a relationship that holds from one routing run to the next.</w:t>
      </w:r>
    </w:p>
    <w:p>
      <w:pPr>
        <w:pStyle w:val="BodyText"/>
      </w:pPr>
      <w:r>
        <w:t xml:space="preserve">Uniqueness, reliability, min-entropy, and attack success are not evaluated</w:t>
      </w:r>
      <w:r>
        <w:t xml:space="preserve"> </w:t>
      </w:r>
      <w:r>
        <w:t xml:space="preserve">pre-silicon. Whether the mask-defined pattern survives fabrication, and how</w:t>
      </w:r>
      <w:r>
        <w:t xml:space="preserve"> </w:t>
      </w:r>
      <w:r>
        <w:t xml:space="preserve">it compares against real device mismatch, will be settled by measuring both</w:t>
      </w:r>
      <w:r>
        <w:t xml:space="preserve"> </w:t>
      </w:r>
      <w:r>
        <w:t xml:space="preserve">arms of the fabricated chips under the protocol in the firmware.</w:t>
      </w:r>
    </w:p>
    <w:p>
      <w:pPr>
        <w:pStyle w:val="Heading2"/>
      </w:pPr>
      <w:bookmarkStart w:id="41" w:name="references"/>
      <w:r>
        <w:t xml:space="preserve">References</w:t>
      </w:r>
      <w:bookmarkEnd w:id="41"/>
    </w:p>
    <w:p>
      <w:pPr>
        <w:pStyle w:val="FirstParagraph"/>
      </w:pPr>
      <w:r>
        <w:t xml:space="preserve">[1] G. E. Suh and S. Devadas,</w:t>
      </w:r>
      <w:r>
        <w:t xml:space="preserve"> </w:t>
      </w:r>
      <w:r>
        <w:t xml:space="preserve">“</w:t>
      </w:r>
      <w:r>
        <w:t xml:space="preserve">Physical Unclonable Functions for Device</w:t>
      </w:r>
      <w:r>
        <w:t xml:space="preserve"> </w:t>
      </w:r>
      <w:r>
        <w:t xml:space="preserve">Authentication and Secret Key Generation,</w:t>
      </w:r>
      <w:r>
        <w:t xml:space="preserve">”</w:t>
      </w:r>
      <w:r>
        <w:t xml:space="preserve"> </w:t>
      </w:r>
      <w:r>
        <w:rPr>
          <w:i/>
        </w:rPr>
        <w:t xml:space="preserve">Proceedings of the 44th ACM/IEEE</w:t>
      </w:r>
      <w:r>
        <w:rPr>
          <w:i/>
        </w:rPr>
        <w:t xml:space="preserve"> </w:t>
      </w:r>
      <w:r>
        <w:rPr>
          <w:i/>
        </w:rPr>
        <w:t xml:space="preserve">Design Automation Conference (DAC)</w:t>
      </w:r>
      <w:r>
        <w:t xml:space="preserve">, pp. 9-14, 2007.</w:t>
      </w:r>
      <w:r>
        <w:t xml:space="preserve"> </w:t>
      </w:r>
      <w:r>
        <w:t xml:space="preserve">https://doi.org/10.1145/1278480.1278484</w:t>
      </w:r>
    </w:p>
    <w:p>
      <w:pPr>
        <w:pStyle w:val="BodyText"/>
      </w:pPr>
      <w:r>
        <w:t xml:space="preserve">[2] A. Maiti and P. Schaumont,</w:t>
      </w:r>
      <w:r>
        <w:t xml:space="preserve"> </w:t>
      </w:r>
      <w:r>
        <w:t xml:space="preserve">“</w:t>
      </w:r>
      <w:r>
        <w:t xml:space="preserve">Improved Ring Oscillator PUF: An</w:t>
      </w:r>
      <w:r>
        <w:t xml:space="preserve"> </w:t>
      </w:r>
      <w:r>
        <w:t xml:space="preserve">FPGA-Friendly Secure Primitive,</w:t>
      </w:r>
      <w:r>
        <w:t xml:space="preserve">”</w:t>
      </w:r>
      <w:r>
        <w:t xml:space="preserve"> </w:t>
      </w:r>
      <w:r>
        <w:rPr>
          <w:i/>
        </w:rPr>
        <w:t xml:space="preserve">Journal of Cryptology</w:t>
      </w:r>
      <w:r>
        <w:t xml:space="preserve">, vol. 24,</w:t>
      </w:r>
      <w:r>
        <w:t xml:space="preserve"> </w:t>
      </w:r>
      <w:r>
        <w:t xml:space="preserve">pp. 375-397, 2011. https://doi.org/10.1007/s00145-010-9088-4</w:t>
      </w:r>
    </w:p>
    <w:p>
      <w:pPr>
        <w:pStyle w:val="BodyText"/>
      </w:pPr>
      <w:r>
        <w:t xml:space="preserve">[3] A. Maiti, J. Casarona, L. McHale, and P. Schaumont,</w:t>
      </w:r>
      <w:r>
        <w:t xml:space="preserve"> </w:t>
      </w:r>
      <w:r>
        <w:t xml:space="preserve">“</w:t>
      </w:r>
      <w:r>
        <w:t xml:space="preserve">A Large Scale</w:t>
      </w:r>
      <w:r>
        <w:t xml:space="preserve"> </w:t>
      </w:r>
      <w:r>
        <w:t xml:space="preserve">Characterization of RO-PUF,</w:t>
      </w:r>
      <w:r>
        <w:t xml:space="preserve">”</w:t>
      </w:r>
      <w:r>
        <w:t xml:space="preserve"> </w:t>
      </w:r>
      <w:r>
        <w:rPr>
          <w:i/>
        </w:rPr>
        <w:t xml:space="preserve">IEEE International Symposium on</w:t>
      </w:r>
      <w:r>
        <w:rPr>
          <w:i/>
        </w:rPr>
        <w:t xml:space="preserve"> </w:t>
      </w:r>
      <w:r>
        <w:rPr>
          <w:i/>
        </w:rPr>
        <w:t xml:space="preserve">Hardware-Oriented Security and Trust (HOST)</w:t>
      </w:r>
      <w:r>
        <w:t xml:space="preserve">, pp. 66-71, 2010.</w:t>
      </w:r>
      <w:r>
        <w:t xml:space="preserve"> </w:t>
      </w:r>
      <w:r>
        <w:t xml:space="preserve">https://schaumont.dyn.wpi.edu/schaum/pdf/papers/2010hostm.pdf</w:t>
      </w:r>
    </w:p>
    <w:p>
      <w:pPr>
        <w:pStyle w:val="BodyText"/>
      </w:pPr>
      <w:r>
        <w:t xml:space="preserve">[4] F. Wilde, M. Hiller, and M. Pehl,</w:t>
      </w:r>
      <w:r>
        <w:t xml:space="preserve"> </w:t>
      </w:r>
      <w:r>
        <w:t xml:space="preserve">“</w:t>
      </w:r>
      <w:r>
        <w:t xml:space="preserve">Statistic-Based Security Analysis of</w:t>
      </w:r>
      <w:r>
        <w:t xml:space="preserve"> </w:t>
      </w:r>
      <w:r>
        <w:t xml:space="preserve">Ring Oscillator PUFs,</w:t>
      </w:r>
      <w:r>
        <w:t xml:space="preserve">”</w:t>
      </w:r>
      <w:r>
        <w:t xml:space="preserve"> </w:t>
      </w:r>
      <w:r>
        <w:rPr>
          <w:i/>
        </w:rPr>
        <w:t xml:space="preserve">2014 International Symposium on Integrated Circuits</w:t>
      </w:r>
      <w:r>
        <w:rPr>
          <w:i/>
        </w:rPr>
        <w:t xml:space="preserve"> </w:t>
      </w:r>
      <w:r>
        <w:rPr>
          <w:i/>
        </w:rPr>
        <w:t xml:space="preserve">(ISIC)</w:t>
      </w:r>
      <w:r>
        <w:t xml:space="preserve">, pp. 148-151, 2014. https://doi.org/10.1109/ISICIR.2014.7029528</w:t>
      </w:r>
    </w:p>
    <w:p>
      <w:pPr>
        <w:pStyle w:val="BodyText"/>
      </w:pPr>
      <w:r>
        <w:t xml:space="preserve">[5] A. S. Chauhan, V. Sahula, and A. S. Mandal,</w:t>
      </w:r>
      <w:r>
        <w:t xml:space="preserve"> </w:t>
      </w:r>
      <w:r>
        <w:t xml:space="preserve">“</w:t>
      </w:r>
      <w:r>
        <w:t xml:space="preserve">Novel Randomized Placement</w:t>
      </w:r>
      <w:r>
        <w:t xml:space="preserve"> </w:t>
      </w:r>
      <w:r>
        <w:t xml:space="preserve">for FPGA Based Robust ROPUF with Improved Uniqueness,</w:t>
      </w:r>
      <w:r>
        <w:t xml:space="preserve">”</w:t>
      </w:r>
      <w:r>
        <w:t xml:space="preserve"> </w:t>
      </w:r>
      <w:r>
        <w:rPr>
          <w:i/>
        </w:rPr>
        <w:t xml:space="preserve">Journal of</w:t>
      </w:r>
      <w:r>
        <w:rPr>
          <w:i/>
        </w:rPr>
        <w:t xml:space="preserve"> </w:t>
      </w:r>
      <w:r>
        <w:rPr>
          <w:i/>
        </w:rPr>
        <w:t xml:space="preserve">Electronic Testing</w:t>
      </w:r>
      <w:r>
        <w:t xml:space="preserve">, vol. 35, no. 5, pp. 581-601, 2019.</w:t>
      </w:r>
      <w:r>
        <w:t xml:space="preserve"> </w:t>
      </w:r>
      <w:r>
        <w:t xml:space="preserve">https://doi.org/10.1007/s10836-019-05829-5</w:t>
      </w:r>
    </w:p>
    <w:p>
      <w:pPr>
        <w:pStyle w:val="BodyText"/>
      </w:pPr>
      <w:r>
        <w:t xml:space="preserve">[6] K. A. Asha, L. E. Hsu, A. Patyal, and H.-M. Chen,</w:t>
      </w:r>
      <w:r>
        <w:t xml:space="preserve"> </w:t>
      </w:r>
      <w:r>
        <w:t xml:space="preserve">“</w:t>
      </w:r>
      <w:r>
        <w:t xml:space="preserve">Improving the Quality</w:t>
      </w:r>
      <w:r>
        <w:t xml:space="preserve"> </w:t>
      </w:r>
      <w:r>
        <w:t xml:space="preserve">of FPGA RO-PUF by Principal Component Analysis (PCA),</w:t>
      </w:r>
      <w:r>
        <w:t xml:space="preserve">”</w:t>
      </w:r>
      <w:r>
        <w:t xml:space="preserve"> </w:t>
      </w:r>
      <w:r>
        <w:rPr>
          <w:i/>
        </w:rPr>
        <w:t xml:space="preserve">ACM Journal on</w:t>
      </w:r>
      <w:r>
        <w:rPr>
          <w:i/>
        </w:rPr>
        <w:t xml:space="preserve"> </w:t>
      </w:r>
      <w:r>
        <w:rPr>
          <w:i/>
        </w:rPr>
        <w:t xml:space="preserve">Emerging Technologies in Computing Systems</w:t>
      </w:r>
      <w:r>
        <w:t xml:space="preserve">, vol. 17, no. 3, article 34,</w:t>
      </w:r>
      <w:r>
        <w:t xml:space="preserve"> </w:t>
      </w:r>
      <w:r>
        <w:t xml:space="preserve">2021. https://doi.org/10.1145/3442444</w:t>
      </w:r>
    </w:p>
    <w:p>
      <w:pPr>
        <w:pStyle w:val="BodyText"/>
      </w:pPr>
      <w:r>
        <w:t xml:space="preserve">[7] W.-C. Wang, Z. Li, J. Skudlarek, M. Larouche, M. Chen, and P. Gupta,</w:t>
      </w:r>
      <w:r>
        <w:t xml:space="preserve"> </w:t>
      </w:r>
      <w:r>
        <w:t xml:space="preserve">“</w:t>
      </w:r>
      <w:r>
        <w:t xml:space="preserve">UNBIAS PUF: A Physical Implementation Bias Agnostic Strong PUF,</w:t>
      </w:r>
      <w:r>
        <w:t xml:space="preserve">”</w:t>
      </w:r>
      <w:r>
        <w:t xml:space="preserve"> </w:t>
      </w:r>
      <w:r>
        <w:t xml:space="preserve">arXiv:1703.10725, 2017. https://arxiv.org/abs/1703.10725</w:t>
      </w:r>
    </w:p>
    <w:p>
      <w:pPr>
        <w:pStyle w:val="BodyText"/>
      </w:pPr>
      <w:r>
        <w:t xml:space="preserve">[8] J. Miskelly, C. Gu, Q. Ma, Y. Cui, W. Liu, and M. O’Neill,</w:t>
      </w:r>
      <w:r>
        <w:t xml:space="preserve"> </w:t>
      </w:r>
      <w:r>
        <w:t xml:space="preserve">“</w:t>
      </w:r>
      <w:r>
        <w:t xml:space="preserve">Modelling</w:t>
      </w:r>
      <w:r>
        <w:t xml:space="preserve"> </w:t>
      </w:r>
      <w:r>
        <w:t xml:space="preserve">Attack Analysis of Configurable Ring Oscillator (CRO) PUF Designs,</w:t>
      </w:r>
      <w:r>
        <w:t xml:space="preserve">”</w:t>
      </w:r>
      <w:r>
        <w:t xml:space="preserve"> </w:t>
      </w:r>
      <w:r>
        <w:rPr>
          <w:i/>
        </w:rPr>
        <w:t xml:space="preserve">2018</w:t>
      </w:r>
      <w:r>
        <w:rPr>
          <w:i/>
        </w:rPr>
        <w:t xml:space="preserve"> </w:t>
      </w:r>
      <w:r>
        <w:rPr>
          <w:i/>
        </w:rPr>
        <w:t xml:space="preserve">IEEE 23rd International Conference on Digital Signal Processing (DSP)</w:t>
      </w:r>
      <w:r>
        <w:t xml:space="preserve">,</w:t>
      </w:r>
      <w:r>
        <w:t xml:space="preserve"> </w:t>
      </w:r>
      <w:r>
        <w:t xml:space="preserve">pp. 1-5, 2018. https://doi.org/10.1109/ICDSP.2018.8631638</w:t>
      </w:r>
    </w:p>
    <w:p>
      <w:pPr>
        <w:pStyle w:val="BodyText"/>
      </w:pPr>
      <w:r>
        <w:t xml:space="preserve">[9] M. Shalan and T. Edwards,</w:t>
      </w:r>
      <w:r>
        <w:t xml:space="preserve"> </w:t>
      </w:r>
      <w:r>
        <w:t xml:space="preserve">“</w:t>
      </w:r>
      <w:r>
        <w:t xml:space="preserve">Building OpenLANE: A 130nm OpenROAD-based</w:t>
      </w:r>
      <w:r>
        <w:t xml:space="preserve"> </w:t>
      </w:r>
      <w:r>
        <w:t xml:space="preserve">Tapeout-Proven Flow,</w:t>
      </w:r>
      <w:r>
        <w:t xml:space="preserve">”</w:t>
      </w:r>
      <w:r>
        <w:t xml:space="preserve"> </w:t>
      </w:r>
      <w:r>
        <w:rPr>
          <w:i/>
        </w:rPr>
        <w:t xml:space="preserve">2020 IEEE/ACM International Conference on Computer</w:t>
      </w:r>
      <w:r>
        <w:rPr>
          <w:i/>
        </w:rPr>
        <w:t xml:space="preserve"> </w:t>
      </w:r>
      <w:r>
        <w:rPr>
          <w:i/>
        </w:rPr>
        <w:t xml:space="preserve">Aided Design (ICCAD)</w:t>
      </w:r>
      <w:r>
        <w:t xml:space="preserve">, article 110, pp. 1-6, 2020.</w:t>
      </w:r>
      <w:r>
        <w:t xml:space="preserve"> </w:t>
      </w:r>
      <w:r>
        <w:t xml:space="preserve">https://doi.org/10.1145/3400302.3415735</w:t>
      </w:r>
    </w:p>
    <w:p>
      <w:pPr>
        <w:pStyle w:val="BodyText"/>
      </w:pPr>
      <w:r>
        <w:t xml:space="preserve">[10] SkyWater Technology and Google,</w:t>
      </w:r>
      <w:r>
        <w:t xml:space="preserve"> </w:t>
      </w:r>
      <w:r>
        <w:t xml:space="preserve">“</w:t>
      </w:r>
      <w:r>
        <w:t xml:space="preserve">SkyWater Open Source PDK (SKY130).</w:t>
      </w:r>
      <w:r>
        <w:t xml:space="preserve">”</w:t>
      </w:r>
      <w:r>
        <w:t xml:space="preserve"> </w:t>
      </w:r>
      <w:r>
        <w:t xml:space="preserve">https://github.com/google/skywater-pdk</w:t>
      </w:r>
    </w:p>
    <w:p>
      <w:pPr>
        <w:pStyle w:val="BodyText"/>
      </w:pPr>
      <w:r>
        <w:t xml:space="preserve">[11] litneet64,</w:t>
      </w:r>
      <w:r>
        <w:t xml:space="preserve"> </w:t>
      </w:r>
      <w:r>
        <w:t xml:space="preserve">“</w:t>
      </w:r>
      <w:r>
        <w:t xml:space="preserve">RO-based Physically Unclonable Function in sky130</w:t>
      </w:r>
      <w:r>
        <w:t xml:space="preserve"> </w:t>
      </w:r>
      <w:r>
        <w:t xml:space="preserve">(TinyTapeout tt07).</w:t>
      </w:r>
      <w:r>
        <w:t xml:space="preserve">”</w:t>
      </w:r>
      <w:r>
        <w:t xml:space="preserve"> </w:t>
      </w:r>
      <w:r>
        <w:t xml:space="preserve">https://github.com/litneet64/tt07-RO-based-PUF</w:t>
      </w:r>
    </w:p>
    <w:p>
      <w:pPr>
        <w:pStyle w:val="BodyText"/>
      </w:pPr>
      <w:r>
        <w:t xml:space="preserve">[12] S. Katzenbeisser, U. Kocabas, V. Rozic, A.-R. Sadeghi, I. Verbauwhede,</w:t>
      </w:r>
      <w:r>
        <w:t xml:space="preserve"> </w:t>
      </w:r>
      <w:r>
        <w:t xml:space="preserve">and C. Wachsmann,</w:t>
      </w:r>
      <w:r>
        <w:t xml:space="preserve"> </w:t>
      </w:r>
      <w:r>
        <w:t xml:space="preserve">“</w:t>
      </w:r>
      <w:r>
        <w:t xml:space="preserve">PUFs: Myth, Fact or Busted? A Security Evaluation of</w:t>
      </w:r>
      <w:r>
        <w:t xml:space="preserve"> </w:t>
      </w:r>
      <w:r>
        <w:t xml:space="preserve">Physically Unclonable Functions (PUFs) Cast in Silicon,</w:t>
      </w:r>
      <w:r>
        <w:t xml:space="preserve">”</w:t>
      </w:r>
      <w:r>
        <w:t xml:space="preserve"> </w:t>
      </w:r>
      <w:r>
        <w:rPr>
          <w:i/>
        </w:rPr>
        <w:t xml:space="preserve">Cryptographic</w:t>
      </w:r>
      <w:r>
        <w:rPr>
          <w:i/>
        </w:rPr>
        <w:t xml:space="preserve"> </w:t>
      </w:r>
      <w:r>
        <w:rPr>
          <w:i/>
        </w:rPr>
        <w:t xml:space="preserve">Hardware and Embedded Systems (CHES 2012)</w:t>
      </w:r>
      <w:r>
        <w:t xml:space="preserve">, LNCS 7428, pp. 283-301, 2012.</w:t>
      </w:r>
      <w:r>
        <w:t xml:space="preserve"> </w:t>
      </w:r>
      <w:r>
        <w:t xml:space="preserve">https://doi.org/10.1007/978-3-642-33027-8_17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000000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000000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000000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000000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000000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000000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000000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000000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000000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000000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000000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0000"/>
      <w:b/>
    </w:rPr>
  </w:style>
  <w:style w:type="character" w:customStyle="1" w:styleId="DataTypeTok">
    <w:name w:val="DataTypeTok"/>
    <w:basedOn w:val="VerbatimChar"/>
    <w:rPr>
      <w:color w:val="000000"/>
    </w:rPr>
  </w:style>
  <w:style w:type="character" w:customStyle="1" w:styleId="DecValTok">
    <w:name w:val="DecValTok"/>
    <w:basedOn w:val="VerbatimChar"/>
    <w:rPr>
      <w:color w:val="000000"/>
    </w:rPr>
  </w:style>
  <w:style w:type="character" w:customStyle="1" w:styleId="BaseNTok">
    <w:name w:val="BaseNTok"/>
    <w:basedOn w:val="VerbatimChar"/>
    <w:rPr>
      <w:color w:val="000000"/>
    </w:rPr>
  </w:style>
  <w:style w:type="character" w:customStyle="1" w:styleId="FloatTok">
    <w:name w:val="FloatTok"/>
    <w:basedOn w:val="VerbatimChar"/>
    <w:rPr>
      <w:color w:val="000000"/>
    </w:rPr>
  </w:style>
  <w:style w:type="character" w:customStyle="1" w:styleId="ConstantTok">
    <w:name w:val="ConstantTok"/>
    <w:basedOn w:val="VerbatimChar"/>
    <w:rPr>
      <w:color w:val="000000"/>
    </w:rPr>
  </w:style>
  <w:style w:type="character" w:customStyle="1" w:styleId="CharTok">
    <w:name w:val="CharTok"/>
    <w:basedOn w:val="VerbatimChar"/>
    <w:rPr>
      <w:color w:val="000000"/>
    </w:rPr>
  </w:style>
  <w:style w:type="character" w:customStyle="1" w:styleId="SpecialCharTok">
    <w:name w:val="SpecialCharTok"/>
    <w:basedOn w:val="VerbatimChar"/>
    <w:rPr>
      <w:color w:val="000000"/>
    </w:rPr>
  </w:style>
  <w:style w:type="character" w:customStyle="1" w:styleId="StringTok">
    <w:name w:val="StringTok"/>
    <w:basedOn w:val="VerbatimChar"/>
    <w:rPr>
      <w:color w:val="000000"/>
    </w:rPr>
  </w:style>
  <w:style w:type="character" w:customStyle="1" w:styleId="VerbatimStringTok">
    <w:name w:val="VerbatimStringTok"/>
    <w:basedOn w:val="VerbatimChar"/>
    <w:rPr>
      <w:color w:val="000000"/>
    </w:rPr>
  </w:style>
  <w:style w:type="character" w:customStyle="1" w:styleId="SpecialStringTok">
    <w:name w:val="SpecialStringTok"/>
    <w:basedOn w:val="VerbatimChar"/>
    <w:rPr>
      <w:color w:val="000000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000000"/>
      <w:i/>
    </w:rPr>
  </w:style>
  <w:style w:type="character" w:customStyle="1" w:styleId="DocumentationTok">
    <w:name w:val="DocumentationTok"/>
    <w:basedOn w:val="VerbatimChar"/>
    <w:rPr>
      <w:color w:val="000000"/>
      <w:i/>
    </w:rPr>
  </w:style>
  <w:style w:type="character" w:customStyle="1" w:styleId="AnnotationTok">
    <w:name w:val="AnnotationTok"/>
    <w:basedOn w:val="VerbatimChar"/>
    <w:rPr>
      <w:color w:val="000000"/>
      <w:b/>
      <w:i/>
    </w:rPr>
  </w:style>
  <w:style w:type="character" w:customStyle="1" w:styleId="CommentVarTok">
    <w:name w:val="CommentVarTok"/>
    <w:basedOn w:val="VerbatimChar"/>
    <w:rPr>
      <w:color w:val="000000"/>
      <w:b/>
      <w:i/>
    </w:rPr>
  </w:style>
  <w:style w:type="character" w:customStyle="1" w:styleId="OtherTok">
    <w:name w:val="OtherTok"/>
    <w:basedOn w:val="VerbatimChar"/>
    <w:rPr>
      <w:color w:val="000000"/>
    </w:rPr>
  </w:style>
  <w:style w:type="character" w:customStyle="1" w:styleId="FunctionTok">
    <w:name w:val="FunctionTok"/>
    <w:basedOn w:val="VerbatimChar"/>
    <w:rPr>
      <w:color w:val="000000"/>
    </w:rPr>
  </w:style>
  <w:style w:type="character" w:customStyle="1" w:styleId="VariableTok">
    <w:name w:val="VariableTok"/>
    <w:basedOn w:val="VerbatimChar"/>
    <w:rPr>
      <w:color w:val="000000"/>
    </w:rPr>
  </w:style>
  <w:style w:type="character" w:customStyle="1" w:styleId="ControlFlowTok">
    <w:name w:val="ControlFlowTok"/>
    <w:basedOn w:val="VerbatimChar"/>
    <w:rPr>
      <w:color w:val="000000"/>
      <w:b/>
    </w:rPr>
  </w:style>
  <w:style w:type="character" w:customStyle="1" w:styleId="OperatorTok">
    <w:name w:val="OperatorTok"/>
    <w:basedOn w:val="VerbatimChar"/>
    <w:rPr>
      <w:color w:val="000000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000000"/>
    </w:rPr>
  </w:style>
  <w:style w:type="character" w:customStyle="1" w:styleId="AttributeTok">
    <w:name w:val="AttributeTok"/>
    <w:basedOn w:val="VerbatimChar"/>
    <w:rPr>
      <w:color w:val="000000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000000"/>
      <w:b/>
      <w:i/>
    </w:rPr>
  </w:style>
  <w:style w:type="character" w:customStyle="1" w:styleId="WarningTok">
    <w:name w:val="WarningTok"/>
    <w:basedOn w:val="VerbatimChar"/>
    <w:rPr>
      <w:color w:val="000000"/>
      <w:b/>
      <w:i/>
    </w:rPr>
  </w:style>
  <w:style w:type="character" w:customStyle="1" w:styleId="AlertTok">
    <w:name w:val="AlertTok"/>
    <w:basedOn w:val="VerbatimChar"/>
    <w:rPr>
      <w:color w:val="000000"/>
      <w:b/>
    </w:rPr>
  </w:style>
  <w:style w:type="character" w:customStyle="1" w:styleId="ErrorTok">
    <w:name w:val="ErrorTok"/>
    <w:basedOn w:val="VerbatimChar"/>
    <w:rPr>
      <w:color w:val="00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2" Target="media/rId32.png" /><Relationship Type="http://schemas.openxmlformats.org/officeDocument/2006/relationships/image" Id="rId36" Target="media/rId36.png" /><Relationship Type="http://schemas.openxmlformats.org/officeDocument/2006/relationships/image" Id="rId37" Target="media/rId37.png" /><Relationship Type="http://schemas.openxmlformats.org/officeDocument/2006/relationships/image" Id="rId29" Target="media/rId29.png" /><Relationship Type="http://schemas.openxmlformats.org/officeDocument/2006/relationships/image" Id="rId25" Target="media/rId25.png" /></Relationships>
</file>

<file path=word/_rels/footnotes.xml.rels><?xml version="1.0" encoding="UTF-8"?>
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2026-07-27T12:44:04Z</dcterms:created>
  <dcterms:modified xsi:type="dcterms:W3CDTF">2026-07-27T12:44:04Z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