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1.png" ContentType="image/png"/>
  <Override PartName="/word/media/rId42.png" ContentType="image/png"/>
  <Override PartName="/word/media/rId39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The</w:t>
      </w:r>
      <w:r>
        <w:t xml:space="preserve"> </w:t>
      </w:r>
      <w:r>
        <w:t xml:space="preserve">comparison arm places 16 copies of one hardened macro, which sets the routing</w:t>
      </w:r>
      <w:r>
        <w:t xml:space="preserve"> </w:t>
      </w:r>
      <w:r>
        <w:t xml:space="preserve">offset of every pair to zero by construction and hands all 8 bits back to</w:t>
      </w:r>
      <w:r>
        <w:t xml:space="preserve"> </w:t>
      </w:r>
      <w:r>
        <w:t xml:space="preserve">mismatch.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to</w:t>
      </w:r>
      <w:r>
        <w:t xml:space="preserve"> </w:t>
      </w:r>
      <w:r>
        <w:t xml:space="preserve">zero by construction,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6).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This</w:t>
      </w:r>
      <w:r>
        <w:t xml:space="preserve"> </w:t>
      </w:r>
      <w:r>
        <w:t xml:space="preserve">section is Arm A. The deck generator builds Arm A rings and nothing else, so none</w:t>
      </w:r>
      <w:r>
        <w:t xml:space="preserve"> </w:t>
      </w:r>
      <w:r>
        <w:t xml:space="preserve">of the numbers here describe the macro array; Section 8 says what Arm B has</w:t>
      </w:r>
      <w:r>
        <w:t xml:space="preserve"> </w:t>
      </w:r>
      <w:r>
        <w:t xml:space="preserve">instead. All sixteen Arm A oscillators start at every corner, including the slow</w:t>
      </w:r>
      <w:r>
        <w:t xml:space="preserve"> </w:t>
      </w:r>
      <w:r>
        <w:t xml:space="preserve">low-voltage one, and the no-parasitic control decks return a single identical</w:t>
      </w:r>
      <w:r>
        <w:t xml:space="preserve"> </w:t>
      </w:r>
      <w:r>
        <w:t xml:space="preserve">frequency per corner (323.140, 633.640 and 987.948 MHz), which is what validates</w:t>
      </w:r>
      <w:r>
        <w:t xml:space="preserve"> </w:t>
      </w:r>
      <w:r>
        <w:t xml:space="preserve">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The Arm B macro has since been redone the same way. Its distributed result is</w:t>
      </w:r>
      <w:r>
        <w:t xml:space="preserve"> </w:t>
      </w:r>
      <w:r>
        <w:t xml:space="preserve">566.05 MHz against 570.62 lumped, a shift of -0.801 percent, so both arms are now</w:t>
      </w:r>
      <w:r>
        <w:t xml:space="preserve"> </w:t>
      </w:r>
      <w:r>
        <w:t xml:space="preserve">quoted from the same parasitic model. That shift sits 0.32 standard deviations</w:t>
      </w:r>
      <w:r>
        <w:t xml:space="preserve"> </w:t>
      </w:r>
      <w:r>
        <w:t xml:space="preserve">from what the Arm A load fit predicts for a ring of the macro’s 11.01 fF, on the</w:t>
      </w:r>
      <w:r>
        <w:t xml:space="preserve"> </w:t>
      </w:r>
      <w:r>
        <w:t xml:space="preserve">fit’s own residual scatter, and inside Arm A’s range of -0.66 to -1.34 percent. A</w:t>
      </w:r>
      <w:r>
        <w:t xml:space="preserve"> </w:t>
      </w:r>
      <w:r>
        <w:t xml:space="preserve">compact hardened block loses frequency to the real network the way a routed ring</w:t>
      </w:r>
      <w:r>
        <w:t xml:space="preserve"> </w:t>
      </w:r>
      <w:r>
        <w:t xml:space="preserve">of its weight does. The comparison the macro run cannot affect is the</w:t>
      </w:r>
      <w:r>
        <w:t xml:space="preserve"> </w:t>
      </w:r>
      <w:r>
        <w:t xml:space="preserve">per-instance one, since all sixteen copies carry the identical internal model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limit remains on this check. The extraction is a reduced per-net network</w:t>
      </w:r>
      <w:r>
        <w:t xml:space="preserve"> </w:t>
      </w:r>
      <w:r>
        <w:t xml:space="preserve">rather than a field solution, with coupling to nets outside a given oscillator</w:t>
      </w:r>
      <w:r>
        <w:t xml:space="preserve"> </w:t>
      </w:r>
      <w:r>
        <w:t xml:space="preserve">still grounded, which ranges from four such nets on the lightest ring to</w:t>
      </w:r>
      <w:r>
        <w:t xml:space="preserve"> </w:t>
      </w:r>
      <w:r>
        <w:t xml:space="preserve">seventy-two on the heaviest. Inside the macro that particular limit does not</w:t>
      </w:r>
      <w:r>
        <w:t xml:space="preserve"> </w:t>
      </w:r>
      <w:r>
        <w:t xml:space="preserve">bite, because it is a closed block and no coupling had to be grounded for want</w:t>
      </w:r>
      <w:r>
        <w:t xml:space="preserve"> </w:t>
      </w:r>
      <w:r>
        <w:t xml:space="preserve">of a partner.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BodyText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2"/>
      </w:pPr>
      <w:bookmarkStart w:id="38" w:name="X54baadc05f82e88550dfa21181b0dc243d0d400"/>
      <w:r>
        <w:t xml:space="preserve">7. How many response bits the design files decide</w:t>
      </w:r>
      <w:bookmarkEnd w:id="38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needs no arithmetic. Sixteen instances of one macro share their internal</w:t>
      </w:r>
      <w:r>
        <w:t xml:space="preserve"> </w:t>
      </w:r>
      <w:r>
        <w:t xml:space="preserve">routing, so every pair’s routing offset is zero, every bit is decided by</w:t>
      </w:r>
      <w:r>
        <w:t xml:space="preserve"> </w:t>
      </w:r>
      <w:r>
        <w:t xml:space="preserve">mismatch alone, and the design files predict none of them. That is 8.00 bits</w:t>
      </w:r>
      <w:r>
        <w:t xml:space="preserve"> </w:t>
      </w:r>
      <w:r>
        <w:t xml:space="preserve">against Arm A’s 0.46, from the same source through the same flow on the same</w:t>
      </w:r>
      <w:r>
        <w:t xml:space="preserve"> </w:t>
      </w:r>
      <w:r>
        <w:t xml:space="preserve">die.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2"/>
      </w:pPr>
      <w:bookmarkStart w:id="40" w:name="matched-macro-arm"/>
      <w:r>
        <w:t xml:space="preserve">8. Matched-macro arm</w:t>
      </w:r>
      <w:bookmarkEnd w:id="40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MHz, which is what the 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5 and 6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The</w:t>
      </w:r>
      <w:r>
        <w:t xml:space="preserve"> </w:t>
      </w:r>
      <w:r>
        <w:t xml:space="preserve">simulation establishes only the internal-layout contribution under nominal</w:t>
      </w:r>
      <w:r>
        <w:t xml:space="preserve"> </w:t>
      </w:r>
      <w:r>
        <w:t xml:space="preserve">device parameters. 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Arm A of the candidate build (5.53% peak to peak) beside the matched-macro reference line.</w:t>
      </w:r>
    </w:p>
    <w:p>
      <w:pPr>
        <w:pStyle w:val="Heading2"/>
      </w:pPr>
      <w:bookmarkStart w:id="43" w:name="planned-silicon-test"/>
      <w:r>
        <w:t xml:space="preserve">9. Planned silicon test</w:t>
      </w:r>
      <w:bookmarkEnd w:id="43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44" w:name="limitations"/>
      <w:r>
        <w:t xml:space="preserve">10. Limitations</w:t>
      </w:r>
      <w:bookmarkEnd w:id="44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not, and the Arm B macro has not been re-extracted</w:t>
      </w:r>
      <w:r>
        <w:t xml:space="preserve"> </w:t>
      </w:r>
      <w:r>
        <w:t xml:space="preserve">that way.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They also cover Arm A alone. Arm B has one instance at</w:t>
      </w:r>
      <w:r>
        <w:t xml:space="preserve"> </w:t>
      </w:r>
      <w:r>
        <w:t xml:space="preserve">all three corners and the other fifteen only at nominal, so the corner range in</w:t>
      </w:r>
      <w:r>
        <w:t xml:space="preserve"> </w:t>
      </w:r>
      <w:r>
        <w:t xml:space="preserve">Section 5.4 is not a chip-wide range and I do not have the measurement that would</w:t>
      </w:r>
      <w:r>
        <w:t xml:space="preserve"> </w:t>
      </w:r>
      <w:r>
        <w:t xml:space="preserve">make it one. The boundary behaviour of the oscillator-clocked ripple counter is</w:t>
      </w:r>
      <w:r>
        <w:t xml:space="preserve"> </w:t>
      </w:r>
      <w:r>
        <w:t xml:space="preserve">checked at both nominal and the fast corner, which is where the shorter period</w:t>
      </w:r>
      <w:r>
        <w:t xml:space="preserve"> </w:t>
      </w:r>
      <w:r>
        <w:t xml:space="preserve">makes it hardest, and the selector path feeding it has now been validated as a</w:t>
      </w:r>
      <w:r>
        <w:t xml:space="preserve"> </w:t>
      </w:r>
      <w:r>
        <w:t xml:space="preserve">whole chain at 888 MHz, though at the stopping boundary only three of the 32</w:t>
      </w:r>
      <w:r>
        <w:t xml:space="preserve"> </w:t>
      </w:r>
      <w:r>
        <w:t xml:space="preserve">paths were swept. None of this erases the modelled dispersion; it bounds what can</w:t>
      </w:r>
      <w:r>
        <w:t xml:space="preserve"> </w:t>
      </w:r>
      <w:r>
        <w:t xml:space="preserve">be concluded from it.</w:t>
      </w:r>
    </w:p>
    <w:p>
      <w:pPr>
        <w:pStyle w:val="BodyText"/>
      </w:pPr>
      <w:r>
        <w:t xml:space="preserve">The predictability result of Section 7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45" w:name="conclusion"/>
      <w:r>
        <w:t xml:space="preserve">11. Conclusion</w:t>
      </w:r>
      <w:bookmarkEnd w:id="45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The same die carries the mitigation. Sixteen instances of one hardened macro</w:t>
      </w:r>
      <w:r>
        <w:t xml:space="preserve"> </w:t>
      </w:r>
      <w:r>
        <w:t xml:space="preserve">share their internal routing, which sets every pair’s routing offset to zero and</w:t>
      </w:r>
      <w:r>
        <w:t xml:space="preserve"> </w:t>
      </w:r>
      <w:r>
        <w:t xml:space="preserve">gives all 8 bits back to mismatch. It is not free. The matched arm has</w:t>
      </w:r>
      <w:r>
        <w:t xml:space="preserve"> </w:t>
      </w:r>
      <w:r>
        <w:t xml:space="preserve">integration asymmetries of its own, and its 569.5 MHz reference is one</w:t>
      </w:r>
      <w:r>
        <w:t xml:space="preserve"> </w:t>
      </w:r>
      <w:r>
        <w:t xml:space="preserve">simulation rather than sixteen.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46" w:name="references"/>
      <w:r>
        <w:t xml:space="preserve">References</w:t>
      </w:r>
      <w:bookmarkEnd w:id="46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J. Aljafar, Z. Ul Abideen, A. Peetermans, B. Gierlichs, and S. Pagliarini,</w:t>
      </w:r>
      <w:r>
        <w:t xml:space="preserve"> </w:t>
      </w:r>
      <w:r>
        <w:t xml:space="preserve">“</w:t>
      </w:r>
      <w:r>
        <w:t xml:space="preserve">SCALLER: Standard Cell Assembled and Local Layout Effect-Based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 pp. 493-496,</w:t>
      </w:r>
      <w:r>
        <w:t xml:space="preserve"> </w:t>
      </w:r>
      <w:r>
        <w:t xml:space="preserve">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2026-08-08T16:29:35Z</dcterms:created>
  <dcterms:modified xsi:type="dcterms:W3CDTF">2026-08-08T16:29:35Z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