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3.png" ContentType="image/png"/>
  <Override PartName="/word/media/rId29.png" ContentType="image/png"/>
  <Override PartName="/word/media/rId25.png" ContentType="image/png"/>
  <Override PartName="/word/media/rId35.png" ContentType="image/png"/>
  <Override PartName="/word/media/rId36.png" ContentType="image/png"/>
  <Override PartName="/word/media/rId32.png" ContentType="image/png"/>
  <Override PartName="/word/media/rId25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d656bcc2a3775fd3ed2c642ddd2647a0b2b3d7"/>
      <w:r>
        <w:t xml:space="preserve">Deterministic Layout Bias in a Ring-Oscillator PUF: A Pre-Silicon Study on the Open SKY130 Flow</w:t>
      </w:r>
      <w:bookmarkEnd w:id="20"/>
    </w:p>
    <w:p>
      <w:pPr>
        <w:pStyle w:val="FirstParagraph"/>
      </w:pPr>
      <w:r>
        <w:rPr>
          <w:b/>
        </w:rPr>
        <w:t xml:space="preserve">Nikoloz Demetrashvili</w:t>
      </w:r>
      <w:r>
        <w:t xml:space="preserve"> </w:t>
      </w:r>
      <w:r>
        <w:t xml:space="preserve">· Independent researcher · Georgia</w:t>
      </w:r>
    </w:p>
    <w:p>
      <w:pPr>
        <w:pStyle w:val="BodyText"/>
      </w:pPr>
      <w:r>
        <w:t xml:space="preserve">Draft, 2026-07-23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abstract"/>
      <w:r>
        <w:t xml:space="preserve">Abstract</w:t>
      </w:r>
      <w:bookmarkEnd w:id="21"/>
    </w:p>
    <w:p>
      <w:pPr>
        <w:pStyle w:val="FirstParagraph"/>
      </w:pPr>
      <w:r>
        <w:t xml:space="preserve">A ring-oscillator physical unclonable function (RO-PUF) turns manufacturing</w:t>
      </w:r>
      <w:r>
        <w:t xml:space="preserve"> </w:t>
      </w:r>
      <w:r>
        <w:t xml:space="preserve">variation between nominally identical oscillators into a device secret. The</w:t>
      </w:r>
      <w:r>
        <w:t xml:space="preserve"> </w:t>
      </w:r>
      <w:r>
        <w:t xml:space="preserve">physical implementation can add a deterministic frequency pattern of its own</w:t>
      </w:r>
      <w:r>
        <w:t xml:space="preserve"> </w:t>
      </w:r>
      <w:r>
        <w:t xml:space="preserve">on top of that variation. I isolate this implementation contribution for</w:t>
      </w:r>
      <w:r>
        <w:t xml:space="preserve"> </w:t>
      </w:r>
      <w:r>
        <w:t xml:space="preserve">layouts produced by the OpenLane/OpenROAD flow with the open SKY130 process</w:t>
      </w:r>
      <w:r>
        <w:t xml:space="preserve"> </w:t>
      </w:r>
      <w:r>
        <w:t xml:space="preserve">design kit, by simulating routed netlists and extracted capacitances at the</w:t>
      </w:r>
      <w:r>
        <w:t xml:space="preserve"> </w:t>
      </w:r>
      <w:r>
        <w:t xml:space="preserve">nominal device corner. No fabricated devices have been measured yet.</w:t>
      </w:r>
    </w:p>
    <w:p>
      <w:pPr>
        <w:pStyle w:val="BodyText"/>
      </w:pPr>
      <w:r>
        <w:t xml:space="preserve">In a coherent build from the current RTL, one that passes Magic DRC, KLayout</w:t>
      </w:r>
      <w:r>
        <w:t xml:space="preserve"> </w:t>
      </w:r>
      <w:r>
        <w:t xml:space="preserve">DRC, XOR, LVS, antenna, and power grid with zero violations, the 16</w:t>
      </w:r>
      <w:r>
        <w:t xml:space="preserve"> </w:t>
      </w:r>
      <w:r>
        <w:t xml:space="preserve">automatically placed oscillators of Arm A spread 10.5% peak to peak in nominal</w:t>
      </w:r>
      <w:r>
        <w:t xml:space="preserve"> </w:t>
      </w:r>
      <w:r>
        <w:t xml:space="preserve">post-layout simulation. Two earlier builds show the same effect at 8.8%</w:t>
      </w:r>
      <w:r>
        <w:t xml:space="preserve"> </w:t>
      </w:r>
      <w:r>
        <w:t xml:space="preserve">(a 32-oscillator layout) and 5.4% (an archived dual-arm snapshot). The three</w:t>
      </w:r>
      <w:r>
        <w:t xml:space="preserve"> </w:t>
      </w:r>
      <w:r>
        <w:t xml:space="preserve">builds produced different frequency patterns, which fits placement and routing</w:t>
      </w:r>
      <w:r>
        <w:t xml:space="preserve"> </w:t>
      </w:r>
      <w:r>
        <w:t xml:space="preserve">setting the bias run by run. Within this lumped-capacitance model the spread</w:t>
      </w:r>
      <w:r>
        <w:t xml:space="preserve"> </w:t>
      </w:r>
      <w:r>
        <w:t xml:space="preserve">is almost entirely explained by the extracted ring capacitance the model puts</w:t>
      </w:r>
      <w:r>
        <w:t xml:space="preserve"> </w:t>
      </w:r>
      <w:r>
        <w:t xml:space="preserve">back in as a load (Pearson</w:t>
      </w:r>
      <w:r>
        <w:t xml:space="preserve"> </w:t>
      </w:r>
      <w:r>
        <w:rPr>
          <w:i/>
        </w:rPr>
        <w:t xml:space="preserve">r</w:t>
      </w:r>
      <w:r>
        <w:t xml:space="preserve"> </w:t>
      </w:r>
      <w:r>
        <w:t xml:space="preserve">near -0.999), so the result worth keeping is</w:t>
      </w:r>
      <w:r>
        <w:t xml:space="preserve"> </w:t>
      </w:r>
      <w:r>
        <w:t xml:space="preserve">the size of the spread and its physical cause, not the coefficient.</w:t>
      </w:r>
      <w:r>
        <w:t xml:space="preserve"> </w:t>
      </w:r>
      <w:r>
        <w:t xml:space="preserve">The comparison arm, Arm B, uses one hardened oscillator macro sixteen times.</w:t>
      </w:r>
      <w:r>
        <w:t xml:space="preserve"> </w:t>
      </w:r>
      <w:r>
        <w:t xml:space="preserve">A single extraction of that macro gives a 569.5 MHz reference for the shared</w:t>
      </w:r>
      <w:r>
        <w:t xml:space="preserve"> </w:t>
      </w:r>
      <w:r>
        <w:t xml:space="preserve">internal layout, which removes internal-layout variation by construction but</w:t>
      </w:r>
      <w:r>
        <w:t xml:space="preserve"> </w:t>
      </w:r>
      <w:r>
        <w:t xml:space="preserve">does not on its own prove a smaller total spread once the chips are made.</w:t>
      </w:r>
    </w:p>
    <w:p>
      <w:pPr>
        <w:pStyle w:val="BodyText"/>
      </w:pPr>
      <w:r>
        <w:t xml:space="preserve">The contribution is a pre-fabrication diagnostic, traceable in the</w:t>
      </w:r>
      <w:r>
        <w:t xml:space="preserve"> </w:t>
      </w:r>
      <w:r>
        <w:t xml:space="preserve">repository, that separates nominal layout bias from the variation a PUF is</w:t>
      </w:r>
      <w:r>
        <w:t xml:space="preserve"> </w:t>
      </w:r>
      <w:r>
        <w:t xml:space="preserve">supposed to use. Whether the layout pattern repeats across dies, reduces</w:t>
      </w:r>
      <w:r>
        <w:t xml:space="preserve"> </w:t>
      </w:r>
      <w:r>
        <w:t xml:space="preserve">uniqueness, or enables a practical prediction attack is left for the silicon</w:t>
      </w:r>
      <w:r>
        <w:t xml:space="preserve"> </w:t>
      </w:r>
      <w:r>
        <w:t xml:space="preserve">phase, not claimed here.</w:t>
      </w:r>
    </w:p>
    <w:p>
      <w:pPr>
        <w:pStyle w:val="Heading2"/>
      </w:pPr>
      <w:bookmarkStart w:id="22" w:name="introduction"/>
      <w:r>
        <w:t xml:space="preserve">1. Introduction</w:t>
      </w:r>
      <w:bookmarkEnd w:id="22"/>
    </w:p>
    <w:p>
      <w:pPr>
        <w:pStyle w:val="FirstParagraph"/>
      </w:pPr>
      <w:r>
        <w:t xml:space="preserve">An RO-PUF compares the frequencies of nominally identical ring oscillators</w:t>
      </w:r>
      <w:r>
        <w:t xml:space="preserve"> </w:t>
      </w:r>
      <w:r>
        <w:t xml:space="preserve">and converts comparisons into response bits [1]. Ideally the useful</w:t>
      </w:r>
      <w:r>
        <w:t xml:space="preserve"> </w:t>
      </w:r>
      <w:r>
        <w:t xml:space="preserve">chip-to-chip differences come from manufacturing variation. In practice,</w:t>
      </w:r>
      <w:r>
        <w:t xml:space="preserve"> </w:t>
      </w:r>
      <w:r>
        <w:t xml:space="preserve">placement and routing give instances different parasitic loads, which adds a</w:t>
      </w:r>
      <w:r>
        <w:t xml:space="preserve"> </w:t>
      </w:r>
      <w:r>
        <w:t xml:space="preserve">deterministic component to the comparison.</w:t>
      </w:r>
    </w:p>
    <w:p>
      <w:pPr>
        <w:pStyle w:val="BodyText"/>
      </w:pPr>
      <w:r>
        <w:t xml:space="preserve">A fixed layout pattern is not automatically a security failure. Random</w:t>
      </w:r>
      <w:r>
        <w:t xml:space="preserve"> </w:t>
      </w:r>
      <w:r>
        <w:t xml:space="preserve">mismatch may be larger, comparisons may cancel shared structure, and response</w:t>
      </w:r>
      <w:r>
        <w:t xml:space="preserve"> </w:t>
      </w:r>
      <w:r>
        <w:t xml:space="preserve">processing may absorb bias. But a layout component that repeats across chips</w:t>
      </w:r>
      <w:r>
        <w:t xml:space="preserve"> </w:t>
      </w:r>
      <w:r>
        <w:t xml:space="preserve">could reduce uniqueness or make some comparisons predictable, and deciding</w:t>
      </w:r>
      <w:r>
        <w:t xml:space="preserve"> </w:t>
      </w:r>
      <w:r>
        <w:t xml:space="preserve">between those outcomes takes measurements from multiple fabricated devices.</w:t>
      </w:r>
    </w:p>
    <w:p>
      <w:pPr>
        <w:pStyle w:val="BodyText"/>
      </w:pPr>
      <w:r>
        <w:t xml:space="preserve">This paper reports the pre-silicon part of that investigation. The question</w:t>
      </w:r>
      <w:r>
        <w:t xml:space="preserve"> </w:t>
      </w:r>
      <w:r>
        <w:t xml:space="preserve">is narrow: with transistor parameters held fixed, how much frequency</w:t>
      </w:r>
      <w:r>
        <w:t xml:space="preserve"> </w:t>
      </w:r>
      <w:r>
        <w:t xml:space="preserve">variation does the physical implementation of one open-source RO-PUF design</w:t>
      </w:r>
      <w:r>
        <w:t xml:space="preserve"> </w:t>
      </w:r>
      <w:r>
        <w:t xml:space="preserve">introduce? I contribute nominal post-layout results for two automatically</w:t>
      </w:r>
      <w:r>
        <w:t xml:space="preserve"> </w:t>
      </w:r>
      <w:r>
        <w:t xml:space="preserve">placed oscillator arrays, a capacitance-based explanation for the observed</w:t>
      </w:r>
      <w:r>
        <w:t xml:space="preserve"> </w:t>
      </w:r>
      <w:r>
        <w:t xml:space="preserve">spread, a matched-macro arm that gives every instance the same internal</w:t>
      </w:r>
      <w:r>
        <w:t xml:space="preserve"> </w:t>
      </w:r>
      <w:r>
        <w:t xml:space="preserve">geometry, the scripts to run the same diagnostic before any fabrication, and</w:t>
      </w:r>
      <w:r>
        <w:t xml:space="preserve"> </w:t>
      </w:r>
      <w:r>
        <w:t xml:space="preserve">the specific predictions I plan to test once chips come back.</w:t>
      </w:r>
    </w:p>
    <w:p>
      <w:pPr>
        <w:pStyle w:val="Heading2"/>
      </w:pPr>
      <w:bookmarkStart w:id="23" w:name="background-and-related-work"/>
      <w:r>
        <w:t xml:space="preserve">2. Background and related work</w:t>
      </w:r>
      <w:bookmarkEnd w:id="23"/>
    </w:p>
    <w:p>
      <w:pPr>
        <w:pStyle w:val="FirstParagraph"/>
      </w:pPr>
      <w:r>
        <w:t xml:space="preserve">Suh and Devadas introduced the widely used RO-PUF construction [1]. Maiti and</w:t>
      </w:r>
      <w:r>
        <w:t xml:space="preserve"> </w:t>
      </w:r>
      <w:r>
        <w:t xml:space="preserve">Schaumont examined improved ring-oscillator PUF designs and compensation for</w:t>
      </w:r>
      <w:r>
        <w:t xml:space="preserve"> </w:t>
      </w:r>
      <w:r>
        <w:t xml:space="preserve">systematic effects [2], and later FPGA studies mapped spatial variation and</w:t>
      </w:r>
      <w:r>
        <w:t xml:space="preserve"> </w:t>
      </w:r>
      <w:r>
        <w:t xml:space="preserve">placement-dependent behaviour [3, 5]. Other work proposes statistical bias</w:t>
      </w:r>
      <w:r>
        <w:t xml:space="preserve"> </w:t>
      </w:r>
      <w:r>
        <w:t xml:space="preserve">reduction, configurable structures, and placement-aware designs [5-8].</w:t>
      </w:r>
      <w:r>
        <w:t xml:space="preserve"> </w:t>
      </w:r>
      <w:r>
        <w:t xml:space="preserve">Katzenbeisser et al. evaluated several PUF constructions, including ring</w:t>
      </w:r>
      <w:r>
        <w:t xml:space="preserve"> </w:t>
      </w:r>
      <w:r>
        <w:t xml:space="preserve">oscillators, across 96 ASICs [12].</w:t>
      </w:r>
    </w:p>
    <w:p>
      <w:pPr>
        <w:pStyle w:val="BodyText"/>
      </w:pPr>
      <w:r>
        <w:t xml:space="preserve">The literature does not support a simple rule that any systematic structure</w:t>
      </w:r>
      <w:r>
        <w:t xml:space="preserve"> </w:t>
      </w:r>
      <w:r>
        <w:t xml:space="preserve">makes an RO-PUF predictable. Wilde, Hiller, and Pehl found that</w:t>
      </w:r>
      <w:r>
        <w:t xml:space="preserve"> </w:t>
      </w:r>
      <w:r>
        <w:t xml:space="preserve">adjacent-oscillator comparisons reduced exploitable spatial structure in</w:t>
      </w:r>
      <w:r>
        <w:t xml:space="preserve"> </w:t>
      </w:r>
      <w:r>
        <w:t xml:space="preserve">their data, and that the estimated covariance was too small for their</w:t>
      </w:r>
      <w:r>
        <w:t xml:space="preserve"> </w:t>
      </w:r>
      <w:r>
        <w:t xml:space="preserve">predictor to beat the relevant baseline [4]. That is important</w:t>
      </w:r>
      <w:r>
        <w:t xml:space="preserve"> </w:t>
      </w:r>
      <w:r>
        <w:t xml:space="preserve">counterevidence: layout bias has to be judged together with the comparison</w:t>
      </w:r>
      <w:r>
        <w:t xml:space="preserve"> </w:t>
      </w:r>
      <w:r>
        <w:t xml:space="preserve">scheme, the mismatch distribution, and the attacker model.</w:t>
      </w:r>
    </w:p>
    <w:p>
      <w:pPr>
        <w:pStyle w:val="BodyText"/>
      </w:pPr>
      <w:r>
        <w:t xml:space="preserve">Open-source ASIC flows allow an experiment that closed flows make awkward:</w:t>
      </w:r>
      <w:r>
        <w:t xml:space="preserve"> </w:t>
      </w:r>
      <w:r>
        <w:t xml:space="preserve">the designer can read the routed netlist and the parasitic extraction before</w:t>
      </w:r>
      <w:r>
        <w:t xml:space="preserve"> </w:t>
      </w:r>
      <w:r>
        <w:t xml:space="preserve">fabrication instead of treating the implementation as opaque.</w:t>
      </w:r>
      <w:r>
        <w:t xml:space="preserve"> </w:t>
      </w:r>
      <w:r>
        <w:t xml:space="preserve">OpenLane/OpenROAD [9] and the open SKY130 PDK [10] provide that setting, and</w:t>
      </w:r>
      <w:r>
        <w:t xml:space="preserve"> </w:t>
      </w:r>
      <w:r>
        <w:t xml:space="preserve">a TinyTapeout RO-PUF project shows the circuit family works in the same</w:t>
      </w:r>
      <w:r>
        <w:t xml:space="preserve"> </w:t>
      </w:r>
      <w:r>
        <w:t xml:space="preserve">ecosystem [11]. What I did not find is the measurement this paper makes: the</w:t>
      </w:r>
      <w:r>
        <w:t xml:space="preserve"> </w:t>
      </w:r>
      <w:r>
        <w:t xml:space="preserve">nominal frequency component tied to instance-dependent routing in one</w:t>
      </w:r>
      <w:r>
        <w:t xml:space="preserve"> </w:t>
      </w:r>
      <w:r>
        <w:t xml:space="preserve">automated ASIC layout, quantified from the flow’s own extraction.</w:t>
      </w:r>
    </w:p>
    <w:p>
      <w:pPr>
        <w:pStyle w:val="Heading2"/>
      </w:pPr>
      <w:bookmarkStart w:id="24" w:name="design-under-test"/>
      <w:r>
        <w:t xml:space="preserve">3. Design under test</w:t>
      </w:r>
      <w:bookmarkEnd w:id="24"/>
    </w:p>
    <w:p>
      <w:pPr>
        <w:pStyle w:val="FirstParagraph"/>
      </w:pPr>
      <w:r>
        <w:t xml:space="preserve">The candidate design,</w:t>
      </w:r>
      <w:r>
        <w:t xml:space="preserve"> </w:t>
      </w:r>
      <w:r>
        <w:rPr>
          <w:rStyle w:val="VerbatimChar"/>
        </w:rPr>
        <w:t xml:space="preserve">tt_um_nikodemetrashvili20_ro_puf</w:t>
      </w:r>
      <w:r>
        <w:t xml:space="preserve">, occupies a</w:t>
      </w:r>
      <w:r>
        <w:t xml:space="preserve"> </w:t>
      </w:r>
      <w:r>
        <w:t xml:space="preserve">TinyTapeout 2x2 tile. It holds two 16-oscillator arms and a shared serial</w:t>
      </w:r>
      <w:r>
        <w:t xml:space="preserve"> </w:t>
      </w:r>
      <w:r>
        <w:t xml:space="preserve">measurement core that enables one oscillator at a time and counts its edges</w:t>
      </w:r>
      <w:r>
        <w:t xml:space="preserve"> </w:t>
      </w:r>
      <w:r>
        <w:t xml:space="preserve">over a fixed window.</w:t>
      </w:r>
    </w:p>
    <w:p>
      <w:pPr>
        <w:pStyle w:val="BodyText"/>
      </w:pPr>
      <w:r>
        <w:t xml:space="preserve">Each oscillator is a 31-stage ring of SKY130 standard cells: an enable NAND,</w:t>
      </w:r>
      <w:r>
        <w:t xml:space="preserve"> </w:t>
      </w:r>
      <w:r>
        <w:t xml:space="preserve">30 inverters, and an isolating output buffer tapped near the middle of the</w:t>
      </w:r>
      <w:r>
        <w:t xml:space="preserve"> </w:t>
      </w:r>
      <w:r>
        <w:t xml:space="preserve">chain. A nominal pre-layout SPICE control sits near 633 MHz. Arm A lets the</w:t>
      </w:r>
      <w:r>
        <w:t xml:space="preserve"> </w:t>
      </w:r>
      <w:r>
        <w:t xml:space="preserve">flow place and route each oscillator with the surrounding logic. Arm B</w:t>
      </w:r>
      <w:r>
        <w:t xml:space="preserve"> </w:t>
      </w:r>
      <w:r>
        <w:t xml:space="preserve">places 16 copies of one hardened oscillator macro on a regular grid. The</w:t>
      </w:r>
      <w:r>
        <w:t xml:space="preserve"> </w:t>
      </w:r>
      <w:r>
        <w:t xml:space="preserve">logical circuit is identical in both arms; the physical implementation</w:t>
      </w:r>
      <w:r>
        <w:t xml:space="preserve"> </w:t>
      </w:r>
      <w:r>
        <w:t xml:space="preserve">method is the experimental variable. Figure 1 summarizes the design.</w:t>
      </w:r>
    </w:p>
    <w:p>
      <w:pPr>
        <w:pStyle w:val="CaptionedFigure"/>
      </w:pPr>
      <w:r>
        <w:drawing>
          <wp:inline>
            <wp:extent cx="5334000" cy="2712638"/>
            <wp:effectExtent b="0" l="0" r="0" t="0"/>
            <wp:docPr descr="Figure 1. Block diagram of the two-arm design. Arm A lets the flow place and route each oscillator separately; Arm B repeats one hardened macro with a common internal layout." title="" id="1" name="Picture"/>
            <a:graphic>
              <a:graphicData uri="http://schemas.openxmlformats.org/drawingml/2006/picture">
                <pic:pic>
                  <pic:nvPicPr>
                    <pic:cNvPr descr="figures/chip_bloc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2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Block diagram of the two-arm design. Arm A lets the flow place and route each oscillator separately; Arm B repeats one hardened macro with a common internal layout.</w:t>
      </w:r>
    </w:p>
    <w:p>
      <w:pPr>
        <w:pStyle w:val="BodyText"/>
      </w:pPr>
      <w:r>
        <w:t xml:space="preserve">One caveat matters for interpretation: the two arms are not identical apart</w:t>
      </w:r>
      <w:r>
        <w:t xml:space="preserve"> </w:t>
      </w:r>
      <w:r>
        <w:t xml:space="preserve">from internal-layout matching. Hardening inserts input and output delay</w:t>
      </w:r>
      <w:r>
        <w:t xml:space="preserve"> </w:t>
      </w:r>
      <w:r>
        <w:t xml:space="preserve">buffers at the Arm B macro boundary that Arm A does not have, the sixteen</w:t>
      </w:r>
      <w:r>
        <w:t xml:space="preserve"> </w:t>
      </w:r>
      <w:r>
        <w:t xml:space="preserve">Arm B macros occupy a regular block on one side of the tile while Arm A fills</w:t>
      </w:r>
      <w:r>
        <w:t xml:space="preserve"> </w:t>
      </w:r>
      <w:r>
        <w:t xml:space="preserve">the rest, and the two arms differ in local decap and power-delivery geometry.</w:t>
      </w:r>
      <w:r>
        <w:t xml:space="preserve"> </w:t>
      </w:r>
      <w:r>
        <w:t xml:space="preserve">The honest description is therefore a matched hardened-macro implementation</w:t>
      </w:r>
      <w:r>
        <w:t xml:space="preserve"> </w:t>
      </w:r>
      <w:r>
        <w:t xml:space="preserve">against a conventional automated standard-cell implementation, not two circuits</w:t>
      </w:r>
      <w:r>
        <w:t xml:space="preserve"> </w:t>
      </w:r>
      <w:r>
        <w:t xml:space="preserve">that differ only in internal routing; the ring loops themselves stay logically</w:t>
      </w:r>
      <w:r>
        <w:t xml:space="preserve"> </w:t>
      </w:r>
      <w:r>
        <w:t xml:space="preserve">equivalent. The main results below come from a coherent build of the current</w:t>
      </w:r>
      <w:r>
        <w:t xml:space="preserve"> </w:t>
      </w:r>
      <w:r>
        <w:t xml:space="preserve">RTL that passes the physical checks (Magic and KLayout DRC, XOR, LVS, antenna,</w:t>
      </w:r>
      <w:r>
        <w:t xml:space="preserve"> </w:t>
      </w:r>
      <w:r>
        <w:t xml:space="preserve">detailed route, power grid) with zero violations; two earlier builds, an</w:t>
      </w:r>
      <w:r>
        <w:t xml:space="preserve"> </w:t>
      </w:r>
      <w:r>
        <w:t xml:space="preserve">archived dual-arm snapshot and a 32-oscillator layout, are reported for</w:t>
      </w:r>
      <w:r>
        <w:t xml:space="preserve"> </w:t>
      </w:r>
      <w:r>
        <w:t xml:space="preserve">contrast (see SIGNOFF.md in the repository).</w:t>
      </w:r>
    </w:p>
    <w:p>
      <w:pPr>
        <w:pStyle w:val="Heading2"/>
      </w:pPr>
      <w:bookmarkStart w:id="26" w:name="method"/>
      <w:r>
        <w:t xml:space="preserve">4. Method</w:t>
      </w:r>
      <w:bookmarkEnd w:id="26"/>
    </w:p>
    <w:p>
      <w:pPr>
        <w:pStyle w:val="FirstParagraph"/>
      </w:pPr>
      <w:r>
        <w:t xml:space="preserve">The analysis starts from the routed gate-level netlist and the OpenROAD SPEF</w:t>
      </w:r>
      <w:r>
        <w:t xml:space="preserve"> </w:t>
      </w:r>
      <w:r>
        <w:t xml:space="preserve">at the nominal corner. A generator identifies each oscillator, takes the</w:t>
      </w:r>
      <w:r>
        <w:t xml:space="preserve"> </w:t>
      </w:r>
      <w:r>
        <w:t xml:space="preserve">total extracted capacitance from each ring net’s SPEF</w:t>
      </w:r>
      <w:r>
        <w:t xml:space="preserve"> </w:t>
      </w:r>
      <w:r>
        <w:rPr>
          <w:rStyle w:val="VerbatimChar"/>
        </w:rPr>
        <w:t xml:space="preserve">*D_NET</w:t>
      </w:r>
      <w:r>
        <w:t xml:space="preserve"> </w:t>
      </w:r>
      <w:r>
        <w:t xml:space="preserve">record, and</w:t>
      </w:r>
      <w:r>
        <w:t xml:space="preserve"> </w:t>
      </w:r>
      <w:r>
        <w:t xml:space="preserve">places it as a grounded lumped load. It emits two ngspice decks per</w:t>
      </w:r>
      <w:r>
        <w:t xml:space="preserve"> </w:t>
      </w:r>
      <w:r>
        <w:t xml:space="preserve">automatically placed oscillator: a control deck without parasitics and a</w:t>
      </w:r>
      <w:r>
        <w:t xml:space="preserve"> </w:t>
      </w:r>
      <w:r>
        <w:t xml:space="preserve">post-layout deck with them. Device models stay at the nominal corner, which</w:t>
      </w:r>
      <w:r>
        <w:t xml:space="preserve"> </w:t>
      </w:r>
      <w:r>
        <w:t xml:space="preserve">isolates the layout contribution instead of simulating a population of</w:t>
      </w:r>
      <w:r>
        <w:t xml:space="preserve"> </w:t>
      </w:r>
      <w:r>
        <w:t xml:space="preserve">fabricated parts.</w:t>
      </w:r>
    </w:p>
    <w:p>
      <w:pPr>
        <w:pStyle w:val="BodyText"/>
      </w:pPr>
      <w:r>
        <w:t xml:space="preserve">Only one oscillator runs at a time in a real measurement, so coupling to</w:t>
      </w:r>
      <w:r>
        <w:t xml:space="preserve"> </w:t>
      </w:r>
      <w:r>
        <w:t xml:space="preserve">inactive neighbours is treated as a fixed grounded load, and distributed</w:t>
      </w:r>
      <w:r>
        <w:t xml:space="preserve"> </w:t>
      </w:r>
      <w:r>
        <w:t xml:space="preserve">wire resistance is omitted; a separate estimate put its stage-delay effect</w:t>
      </w:r>
      <w:r>
        <w:t xml:space="preserve"> </w:t>
      </w:r>
      <w:r>
        <w:t xml:space="preserve">below 0.1% for these nets. Each oscillator starts disabled and is released</w:t>
      </w:r>
      <w:r>
        <w:t xml:space="preserve"> </w:t>
      </w:r>
      <w:r>
        <w:t xml:space="preserve">by an enable pulse, which avoids a simulation artefact where an artificial</w:t>
      </w:r>
      <w:r>
        <w:t xml:space="preserve"> </w:t>
      </w:r>
      <w:r>
        <w:t xml:space="preserve">initial condition excited an unintended ring mode. Frequency is measured</w:t>
      </w:r>
      <w:r>
        <w:t xml:space="preserve"> </w:t>
      </w:r>
      <w:r>
        <w:t xml:space="preserve">over 20 periods after startup.</w:t>
      </w:r>
    </w:p>
    <w:p>
      <w:pPr>
        <w:pStyle w:val="BodyText"/>
      </w:pPr>
      <w:r>
        <w:t xml:space="preserve">For the matched arm, the hardened macro is extracted and simulated once.</w:t>
      </w:r>
      <w:r>
        <w:t xml:space="preserve"> </w:t>
      </w:r>
      <w:r>
        <w:t xml:space="preserve">The 16 instances share one internal GDS, so this single result serves as</w:t>
      </w:r>
      <w:r>
        <w:t xml:space="preserve"> </w:t>
      </w:r>
      <w:r>
        <w:t xml:space="preserve">the internal-layout reference for all of them.</w:t>
      </w:r>
    </w:p>
    <w:p>
      <w:pPr>
        <w:pStyle w:val="BodyText"/>
      </w:pPr>
      <w:r>
        <w:t xml:space="preserve">For each automatically placed array I report mean, standard deviation,</w:t>
      </w:r>
      <w:r>
        <w:t xml:space="preserve"> </w:t>
      </w:r>
      <w:r>
        <w:t xml:space="preserve">range, peak-to-peak spread relative to the mean, and the Pearson correlation</w:t>
      </w:r>
      <w:r>
        <w:t xml:space="preserve"> </w:t>
      </w:r>
      <w:r>
        <w:t xml:space="preserve">between frequency and extracted ring capacitance. Instances inside one</w:t>
      </w:r>
      <w:r>
        <w:t xml:space="preserve"> </w:t>
      </w:r>
      <w:r>
        <w:t xml:space="preserve">routed design are not independent samples from a chip population, so these</w:t>
      </w:r>
      <w:r>
        <w:t xml:space="preserve"> </w:t>
      </w:r>
      <w:r>
        <w:t xml:space="preserve">are descriptive statistics for that layout. Standard deviations are</w:t>
      </w:r>
      <w:r>
        <w:t xml:space="preserve"> </w:t>
      </w:r>
      <w:r>
        <w:t xml:space="preserve">population values across those instances, which are the complete set for a</w:t>
      </w:r>
      <w:r>
        <w:t xml:space="preserve"> </w:t>
      </w:r>
      <w:r>
        <w:t xml:space="preserve">layout, not a sample from a wider population. The extracted capacitance is also</w:t>
      </w:r>
      <w:r>
        <w:t xml:space="preserve"> </w:t>
      </w:r>
      <w:r>
        <w:t xml:space="preserve">the only spread-producing input to the model, so a strong frequency-capacitance correlation is expected almost by construction. The coefficient</w:t>
      </w:r>
      <w:r>
        <w:t xml:space="preserve"> </w:t>
      </w:r>
      <w:r>
        <w:t xml:space="preserve">confirms the model behaves; the spread it produces, and the slope, are the</w:t>
      </w:r>
      <w:r>
        <w:t xml:space="preserve"> </w:t>
      </w:r>
      <w:r>
        <w:t xml:space="preserve">physically interesting parts.</w:t>
      </w:r>
    </w:p>
    <w:p>
      <w:pPr>
        <w:pStyle w:val="Heading2"/>
      </w:pPr>
      <w:bookmarkStart w:id="27" w:name="automatically-placed-arrays"/>
      <w:r>
        <w:t xml:space="preserve">5. Automatically placed arrays</w:t>
      </w:r>
      <w:bookmarkEnd w:id="27"/>
    </w:p>
    <w:p>
      <w:pPr>
        <w:pStyle w:val="Heading3"/>
      </w:pPr>
      <w:bookmarkStart w:id="28" w:name="earlier-32-oscillator-layout"/>
      <w:r>
        <w:t xml:space="preserve">5.1 Earlier 32-oscillator layout</w:t>
      </w:r>
      <w:bookmarkEnd w:id="28"/>
    </w:p>
    <w:p>
      <w:pPr>
        <w:pStyle w:val="FirstParagraph"/>
      </w:pPr>
      <w:r>
        <w:t xml:space="preserve">The earlier build placed all 32 oscillators automatically. In the</w:t>
      </w:r>
      <w:r>
        <w:t xml:space="preserve"> </w:t>
      </w:r>
      <w:r>
        <w:t xml:space="preserve">no-parasitic control every deck produced the same nominal frequency,</w:t>
      </w:r>
      <w:r>
        <w:t xml:space="preserve"> </w:t>
      </w:r>
      <w:r>
        <w:t xml:space="preserve">approximately 633.640 MHz, which checks the generator itself. With extracted</w:t>
      </w:r>
      <w:r>
        <w:t xml:space="preserve"> </w:t>
      </w:r>
      <w:r>
        <w:t xml:space="preserve">capacitance the mean was 567.6 MHz with a population standard deviation of</w:t>
      </w:r>
      <w:r>
        <w:t xml:space="preserve"> </w:t>
      </w:r>
      <w:r>
        <w:t xml:space="preserve">10.8 MHz (1.90%).</w:t>
      </w:r>
      <w:r>
        <w:t xml:space="preserve"> </w:t>
      </w:r>
      <w:r>
        <w:t xml:space="preserve">Frequencies ranged from about 539 to 589 MHz, a 50.2 MHz or 8.8%</w:t>
      </w:r>
      <w:r>
        <w:t xml:space="preserve"> </w:t>
      </w:r>
      <w:r>
        <w:t xml:space="preserve">peak-to-peak spread.</w:t>
      </w:r>
    </w:p>
    <w:p>
      <w:pPr>
        <w:pStyle w:val="BodyText"/>
      </w:pPr>
      <w:r>
        <w:t xml:space="preserve">Extracted ring capacitance ranged from 7.4 to 17.8 fF. Frequency and</w:t>
      </w:r>
      <w:r>
        <w:t xml:space="preserve"> </w:t>
      </w:r>
      <w:r>
        <w:t xml:space="preserve">capacitance had Pearson</w:t>
      </w:r>
      <w:r>
        <w:t xml:space="preserve"> </w:t>
      </w:r>
      <w:r>
        <w:rPr>
          <w:i/>
        </w:rPr>
        <w:t xml:space="preserve">r</w:t>
      </w:r>
      <w:r>
        <w:t xml:space="preserve"> </w:t>
      </w:r>
      <w:r>
        <w:t xml:space="preserve">= -0.997 with a fitted slope of about</w:t>
      </w:r>
      <w:r>
        <w:t xml:space="preserve"> </w:t>
      </w:r>
      <w:r>
        <w:t xml:space="preserve">-4.93 MHz/fF (Figure 2a). Correlations with placement coordinates were much</w:t>
      </w:r>
      <w:r>
        <w:t xml:space="preserve"> </w:t>
      </w:r>
      <w:r>
        <w:t xml:space="preserve">weaker (|</w:t>
      </w:r>
      <w:r>
        <w:rPr>
          <w:i/>
        </w:rPr>
        <w:t xml:space="preserve">r</w:t>
      </w:r>
      <w:r>
        <w:t xml:space="preserve">| &lt; 0.27; Figure 2b). For this layout the spread behaves like an</w:t>
      </w:r>
      <w:r>
        <w:t xml:space="preserve"> </w:t>
      </w:r>
      <w:r>
        <w:t xml:space="preserve">instance-specific routing load, not a smooth die-wide gradient.</w:t>
      </w:r>
    </w:p>
    <w:p>
      <w:pPr>
        <w:pStyle w:val="CaptionedFigure"/>
      </w:pPr>
      <w:r>
        <w:drawing>
          <wp:inline>
            <wp:extent cx="5334000" cy="2264727"/>
            <wp:effectExtent b="0" l="0" r="0" t="0"/>
            <wp:docPr descr="Figure 2. Nominal post-layout results for the earlier 32-oscillator layout: frequency versus extracted ring capacitance with the no-parasitic control, and a spatial frequency map." title="" id="1" name="Picture"/>
            <a:graphic>
              <a:graphicData uri="http://schemas.openxmlformats.org/drawingml/2006/picture">
                <pic:pic>
                  <pic:nvPicPr>
                    <pic:cNvPr descr="../sim/spice/gono/ro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4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Nominal post-layout results for the earlier 32-oscillator layout: frequency versus extracted ring capacitance with the no-parasitic control, and a spatial frequency map.</w:t>
      </w:r>
    </w:p>
    <w:p>
      <w:pPr>
        <w:pStyle w:val="Heading3"/>
      </w:pPr>
      <w:bookmarkStart w:id="30" w:name="coherent-dual-arm-build"/>
      <w:r>
        <w:t xml:space="preserve">5.2 Coherent dual-arm build</w:t>
      </w:r>
      <w:bookmarkEnd w:id="30"/>
    </w:p>
    <w:p>
      <w:pPr>
        <w:pStyle w:val="FirstParagraph"/>
      </w:pPr>
      <w:r>
        <w:t xml:space="preserve">Arm A of the coherent dual-arm build contains 16 automatically placed</w:t>
      </w:r>
      <w:r>
        <w:t xml:space="preserve"> </w:t>
      </w:r>
      <w:r>
        <w:t xml:space="preserve">oscillators. Their nominal post-layout frequencies have a mean of 551.7 MHz</w:t>
      </w:r>
      <w:r>
        <w:t xml:space="preserve"> </w:t>
      </w:r>
      <w:r>
        <w:t xml:space="preserve">and a 58.0 MHz peak-to-peak range, 10.5% of the mean, with</w:t>
      </w:r>
      <w:r>
        <w:t xml:space="preserve"> </w:t>
      </w:r>
      <w:r>
        <w:rPr>
          <w:i/>
        </w:rPr>
        <w:t xml:space="preserve">r</w:t>
      </w:r>
      <w:r>
        <w:t xml:space="preserve"> </w:t>
      </w:r>
      <w:r>
        <w:t xml:space="preserve">= -0.999</w:t>
      </w:r>
      <w:r>
        <w:t xml:space="preserve"> </w:t>
      </w:r>
      <w:r>
        <w:t xml:space="preserve">against extracted ring capacitance (Figure 4). One oscillator picked up an</w:t>
      </w:r>
      <w:r>
        <w:t xml:space="preserve"> </w:t>
      </w:r>
      <w:r>
        <w:t xml:space="preserve">unusually heavy routing load and sits well below the rest, so the peak-to-peak</w:t>
      </w:r>
      <w:r>
        <w:t xml:space="preserve"> </w:t>
      </w:r>
      <w:r>
        <w:t xml:space="preserve">figure is outlier-sensitive; the standard deviation is 2.36% and the median</w:t>
      </w:r>
      <w:r>
        <w:t xml:space="preserve"> </w:t>
      </w:r>
      <w:r>
        <w:t xml:space="preserve">absolute deviation is smaller still. That outlier is itself an automated-layout</w:t>
      </w:r>
      <w:r>
        <w:t xml:space="preserve"> </w:t>
      </w:r>
      <w:r>
        <w:t xml:space="preserve">artifact, not a measurement error, but the distribution matters more than the</w:t>
      </w:r>
      <w:r>
        <w:t xml:space="preserve"> </w:t>
      </w:r>
      <w:r>
        <w:t xml:space="preserve">single peak-to-peak number. This build passes Magic DRC, KLayout DRC, XOR, LVS,</w:t>
      </w:r>
      <w:r>
        <w:t xml:space="preserve"> </w:t>
      </w:r>
      <w:r>
        <w:t xml:space="preserve">antenna, and power grid with zero violations, so the spread and the</w:t>
      </w:r>
      <w:r>
        <w:t xml:space="preserve"> </w:t>
      </w:r>
      <w:r>
        <w:t xml:space="preserve">manufacturable GDS come from the same run.</w:t>
      </w:r>
    </w:p>
    <w:p>
      <w:pPr>
        <w:pStyle w:val="BodyText"/>
      </w:pPr>
      <w:r>
        <w:t xml:space="preserve">The three builds do not share a frequency pattern or a spread: 10.5% here,</w:t>
      </w:r>
      <w:r>
        <w:t xml:space="preserve"> </w:t>
      </w:r>
      <w:r>
        <w:t xml:space="preserve">5.4% in an earlier archived dual-arm snapshot, and 8.8% in the 32-oscillator</w:t>
      </w:r>
      <w:r>
        <w:t xml:space="preserve"> </w:t>
      </w:r>
      <w:r>
        <w:t xml:space="preserve">build. A handful of layouts is not a distribution, but differences this large</w:t>
      </w:r>
      <w:r>
        <w:t xml:space="preserve"> </w:t>
      </w:r>
      <w:r>
        <w:t xml:space="preserve">fit placement and routing setting the bias for each run, and mean a single</w:t>
      </w:r>
      <w:r>
        <w:t xml:space="preserve"> </w:t>
      </w:r>
      <w:r>
        <w:t xml:space="preserve">layout cannot say what fraction of the response will be common across dies.</w:t>
      </w:r>
      <w:r>
        <w:t xml:space="preserve"> </w:t>
      </w:r>
      <w:r>
        <w:t xml:space="preserve">Usefully, the 32-oscillator build’s capacitance fit predicts this build’s mean</w:t>
      </w:r>
      <w:r>
        <w:t xml:space="preserve"> </w:t>
      </w:r>
      <w:r>
        <w:t xml:space="preserve">to 0.04%, so the mechanism carries across builds even though the pattern does</w:t>
      </w:r>
      <w:r>
        <w:t xml:space="preserve"> </w:t>
      </w:r>
      <w:r>
        <w:t xml:space="preserve">not.</w:t>
      </w:r>
    </w:p>
    <w:p>
      <w:pPr>
        <w:pStyle w:val="Heading2"/>
      </w:pPr>
      <w:bookmarkStart w:id="31" w:name="matched-macro-arm"/>
      <w:r>
        <w:t xml:space="preserve">6. Matched-macro arm</w:t>
      </w:r>
      <w:bookmarkEnd w:id="31"/>
    </w:p>
    <w:p>
      <w:pPr>
        <w:pStyle w:val="FirstParagraph"/>
      </w:pPr>
      <w:r>
        <w:t xml:space="preserve">The matched construction hardens one oscillator as a 60 x 40 micrometre</w:t>
      </w:r>
      <w:r>
        <w:t xml:space="preserve"> </w:t>
      </w:r>
      <w:r>
        <w:t xml:space="preserve">macro. The macro layout passes the available DRC, LVS, antenna, and</w:t>
      </w:r>
      <w:r>
        <w:t xml:space="preserve"> </w:t>
      </w:r>
      <w:r>
        <w:t xml:space="preserve">connectivity checks, and Arm B places 16 instances of it on a regular grid.</w:t>
      </w:r>
    </w:p>
    <w:p>
      <w:pPr>
        <w:pStyle w:val="BodyText"/>
      </w:pPr>
      <w:r>
        <w:t xml:space="preserve">The extracted macro carries about 11.0 fF of total ring capacitance. One</w:t>
      </w:r>
      <w:r>
        <w:t xml:space="preserve"> </w:t>
      </w:r>
      <w:r>
        <w:t xml:space="preserve">nominal post-layout simulation gives 569.5 MHz against a no-parasitic</w:t>
      </w:r>
      <w:r>
        <w:t xml:space="preserve"> </w:t>
      </w:r>
      <w:r>
        <w:t xml:space="preserve">control of 633.15 MHz. The earlier Arm A capacitance fit predicts 570.2 MHz</w:t>
      </w:r>
      <w:r>
        <w:t xml:space="preserve"> </w:t>
      </w:r>
      <w:r>
        <w:t xml:space="preserve">at that load, 0.12% away, a useful cross-check on the model. The macro</w:t>
      </w:r>
      <w:r>
        <w:t xml:space="preserve"> </w:t>
      </w:r>
      <w:r>
        <w:t xml:space="preserve">result also lands within 0.35% of the earlier Arm A mean, so matching did</w:t>
      </w:r>
      <w:r>
        <w:t xml:space="preserve"> </w:t>
      </w:r>
      <w:r>
        <w:t xml:space="preserve">not move the operating point.</w:t>
      </w:r>
    </w:p>
    <w:p>
      <w:pPr>
        <w:pStyle w:val="BodyText"/>
      </w:pPr>
      <w:r>
        <w:t xml:space="preserve">Figures 3 and 4 draw Arm B as a single horizontal reference line at</w:t>
      </w:r>
      <w:r>
        <w:t xml:space="preserve"> </w:t>
      </w:r>
      <w:r>
        <w:t xml:space="preserve">569.5 MHz, because the sixteen instances share one internal layout and there</w:t>
      </w:r>
      <w:r>
        <w:t xml:space="preserve"> </w:t>
      </w:r>
      <w:r>
        <w:t xml:space="preserve">is only one extracted simulation behind it. By construction the internal</w:t>
      </w:r>
      <w:r>
        <w:t xml:space="preserve"> </w:t>
      </w:r>
      <w:r>
        <w:t xml:space="preserve">layout contributes zero spread; fabricated Arm B instances will still differ</w:t>
      </w:r>
      <w:r>
        <w:t xml:space="preserve"> </w:t>
      </w:r>
      <w:r>
        <w:t xml:space="preserve">through device mismatch, top-level routing, supply, and temperature. So the</w:t>
      </w:r>
      <w:r>
        <w:t xml:space="preserve"> </w:t>
      </w:r>
      <w:r>
        <w:t xml:space="preserve">honest pre-silicon claim is narrow. The matched arm removes the internal-layout term, and whether that gives a smaller total spread than Arm A is the</w:t>
      </w:r>
      <w:r>
        <w:t xml:space="preserve"> </w:t>
      </w:r>
      <w:r>
        <w:t xml:space="preserve">measurement the chip exists to make, not something these simulations show.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3. The earlier 32-oscillator array beside the matched-macro reference line at 569.5 MHz." title="" id="1" name="Picture"/>
            <a:graphic>
              <a:graphicData uri="http://schemas.openxmlformats.org/drawingml/2006/picture">
                <pic:pic>
                  <pic:nvPicPr>
                    <pic:cNvPr descr="../sim/spice/gono/armB_predic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The earlier 32-oscillator array beside the matched-macro reference line at 569.5 MHz.</w:t>
      </w:r>
    </w:p>
    <w:p>
      <w:pPr>
        <w:pStyle w:val="CaptionedFigure"/>
      </w:pPr>
      <w:r>
        <w:drawing>
          <wp:inline>
            <wp:extent cx="5334000" cy="2319130"/>
            <wp:effectExtent b="0" l="0" r="0" t="0"/>
            <wp:docPr descr="Figure 4. Arm A of the coherent dual-arm build (10.5% peak to peak) beside the matched-macro reference line." title="" id="1" name="Picture"/>
            <a:graphic>
              <a:graphicData uri="http://schemas.openxmlformats.org/drawingml/2006/picture">
                <pic:pic>
                  <pic:nvPicPr>
                    <pic:cNvPr descr="../sim/spice/gono/dualarm_gon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9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Arm A of the coherent dual-arm build (10.5% peak to peak) beside the matched-macro reference line.</w:t>
      </w:r>
    </w:p>
    <w:p>
      <w:pPr>
        <w:pStyle w:val="Heading2"/>
      </w:pPr>
      <w:bookmarkStart w:id="34" w:name="Xdf9d62539b6016707a830fb3665a87ae4fa1b53"/>
      <w:r>
        <w:t xml:space="preserve">7. Security interpretation and planned silicon test</w:t>
      </w:r>
      <w:bookmarkEnd w:id="34"/>
    </w:p>
    <w:p>
      <w:pPr>
        <w:pStyle w:val="Heading3"/>
      </w:pPr>
      <w:bookmarkStart w:id="35" w:name="parametric-examples"/>
      <w:r>
        <w:t xml:space="preserve">7.1 Parametric examples</w:t>
      </w:r>
      <w:bookmarkEnd w:id="35"/>
    </w:p>
    <w:p>
      <w:pPr>
        <w:pStyle w:val="FirstParagraph"/>
      </w:pPr>
      <w:r>
        <w:t xml:space="preserve">The repository includes a simple virtual-population model in which each</w:t>
      </w:r>
      <w:r>
        <w:t xml:space="preserve"> </w:t>
      </w:r>
      <w:r>
        <w:t xml:space="preserve">oscillator frequency is a shared layout term plus an independent mismatch</w:t>
      </w:r>
      <w:r>
        <w:t xml:space="preserve"> </w:t>
      </w:r>
      <w:r>
        <w:t xml:space="preserve">term. Its behaviour is governed mainly by one dimensionless quantity, the</w:t>
      </w:r>
      <w:r>
        <w:t xml:space="preserve"> </w:t>
      </w:r>
      <w:r>
        <w:t xml:space="preserve">ratio of the shared layout amplitude to the mismatch amplitude: as that ratio</w:t>
      </w:r>
      <w:r>
        <w:t xml:space="preserve"> </w:t>
      </w:r>
      <w:r>
        <w:t xml:space="preserve">grows, the modelled inter-chip Hamming distance falls below the ideal and a</w:t>
      </w:r>
      <w:r>
        <w:t xml:space="preserve"> </w:t>
      </w:r>
      <w:r>
        <w:t xml:space="preserve">position-based predictor beats its per-bit baseline. I use the model only to</w:t>
      </w:r>
      <w:r>
        <w:t xml:space="preserve"> </w:t>
      </w:r>
      <w:r>
        <w:t xml:space="preserve">show that dependence. The specific percentages it produces are outputs of the</w:t>
      </w:r>
      <w:r>
        <w:t xml:space="preserve"> </w:t>
      </w:r>
      <w:r>
        <w:t xml:space="preserve">assumed amplitudes, not measurements, so I keep them out of the results and</w:t>
      </w:r>
      <w:r>
        <w:t xml:space="preserve"> </w:t>
      </w:r>
      <w:r>
        <w:t xml:space="preserve">leave the real ratio to silicon.</w:t>
      </w:r>
    </w:p>
    <w:p>
      <w:pPr>
        <w:pStyle w:val="Heading3"/>
      </w:pPr>
      <w:bookmarkStart w:id="36" w:name="mismatch-scale-estimate"/>
      <w:r>
        <w:t xml:space="preserve">7.2 Mismatch scale estimate</w:t>
      </w:r>
      <w:bookmarkEnd w:id="36"/>
    </w:p>
    <w:p>
      <w:pPr>
        <w:pStyle w:val="FirstParagraph"/>
      </w:pPr>
      <w:r>
        <w:t xml:space="preserve">A 40-run ngspice Monte Carlo exercise with the PDK’s global mismatch draw</w:t>
      </w:r>
      <w:r>
        <w:t xml:space="preserve"> </w:t>
      </w:r>
      <w:r>
        <w:t xml:space="preserve">gave a frequency standard deviation of 0.345%. Dividing by</w:t>
      </w:r>
      <w:r>
        <w:t xml:space="preserve"> </w:t>
      </w:r>
      <w:r>
        <w:rPr>
          <w:rStyle w:val="VerbatimChar"/>
        </w:rPr>
        <w:t xml:space="preserve">sqrt(31)</w:t>
      </w:r>
      <w:r>
        <w:t xml:space="preserve"> </w:t>
      </w:r>
      <w:r>
        <w:t xml:space="preserve">gives</w:t>
      </w:r>
      <w:r>
        <w:t xml:space="preserve"> </w:t>
      </w:r>
      <w:r>
        <w:t xml:space="preserve">0.062% as a first-order estimate of the per-ring contribution from 31</w:t>
      </w:r>
      <w:r>
        <w:t xml:space="preserve"> </w:t>
      </w:r>
      <w:r>
        <w:t xml:space="preserve">similar stages, with a sampling-only interval of roughly 0.051% to 0.080%.</w:t>
      </w:r>
      <w:r>
        <w:t xml:space="preserve"> </w:t>
      </w:r>
      <w:r>
        <w:t xml:space="preserve">The scaling assumes equal, independent stage sensitivities, which the NAND</w:t>
      </w:r>
      <w:r>
        <w:t xml:space="preserve"> </w:t>
      </w:r>
      <w:r>
        <w:t xml:space="preserve">stage in particular violates, and 40 global draws are not independent local</w:t>
      </w:r>
      <w:r>
        <w:t xml:space="preserve"> </w:t>
      </w:r>
      <w:r>
        <w:t xml:space="preserve">mismatch. On this estimate the archived Arm A layout spread is roughly</w:t>
      </w:r>
      <w:r>
        <w:t xml:space="preserve"> </w:t>
      </w:r>
      <w:r>
        <w:t xml:space="preserve">twenty times the mismatch scale by standard deviation. I treat that ratio as</w:t>
      </w:r>
      <w:r>
        <w:t xml:space="preserve"> </w:t>
      </w:r>
      <w:r>
        <w:t xml:space="preserve">an argument that the layout term is large enough to be worth measuring, not</w:t>
      </w:r>
      <w:r>
        <w:t xml:space="preserve"> </w:t>
      </w:r>
      <w:r>
        <w:t xml:space="preserve">as a measured entropy figure. Because the sqrt(31) step rests on assumptions</w:t>
      </w:r>
      <w:r>
        <w:t xml:space="preserve"> </w:t>
      </w:r>
      <w:r>
        <w:t xml:space="preserve">the PDK draw does not support, this estimate belongs in supplementary material,</w:t>
      </w:r>
      <w:r>
        <w:t xml:space="preserve"> </w:t>
      </w:r>
      <w:r>
        <w:t xml:space="preserve">not the headline; silicon will measure the denominator directly.</w:t>
      </w:r>
    </w:p>
    <w:p>
      <w:pPr>
        <w:pStyle w:val="Heading3"/>
      </w:pPr>
      <w:bookmarkStart w:id="37" w:name="what-silicon-has-to-show"/>
      <w:r>
        <w:t xml:space="preserve">7.3 What silicon has to show</w:t>
      </w:r>
      <w:bookmarkEnd w:id="37"/>
    </w:p>
    <w:p>
      <w:pPr>
        <w:pStyle w:val="FirstParagraph"/>
      </w:pPr>
      <w:r>
        <w:t xml:space="preserve">The main question for silicon is whether Arm A retains more of its nominal</w:t>
      </w:r>
      <w:r>
        <w:t xml:space="preserve"> </w:t>
      </w:r>
      <w:r>
        <w:t xml:space="preserve">layout pattern across dies than Arm B. The threat model I have in mind is</w:t>
      </w:r>
      <w:r>
        <w:t xml:space="preserve"> </w:t>
      </w:r>
      <w:r>
        <w:t xml:space="preserve">concrete: an attacker knows the public design and mask and holds measurements</w:t>
      </w:r>
      <w:r>
        <w:t xml:space="preserve"> </w:t>
      </w:r>
      <w:r>
        <w:t xml:space="preserve">from other dies of the same design, but none from the target die, and asks</w:t>
      </w:r>
      <w:r>
        <w:t xml:space="preserve"> </w:t>
      </w:r>
      <w:r>
        <w:t xml:space="preserve">whether the shared deterministic layout component lets them predict the target</w:t>
      </w:r>
      <w:r>
        <w:t xml:space="preserve"> </w:t>
      </w:r>
      <w:r>
        <w:t xml:space="preserve">die’s pair ordering above the relevant per-bit baseline. Predictor accuracy is</w:t>
      </w:r>
      <w:r>
        <w:t xml:space="preserve"> </w:t>
      </w:r>
      <w:r>
        <w:t xml:space="preserve">then judged against that baseline with whole chips held out, not against 50%. Testing it needs multiple chip IDs, repeated</w:t>
      </w:r>
      <w:r>
        <w:t xml:space="preserve"> </w:t>
      </w:r>
      <w:r>
        <w:t xml:space="preserve">measurements, matched voltage and temperature settings, and a fixed</w:t>
      </w:r>
      <w:r>
        <w:t xml:space="preserve"> </w:t>
      </w:r>
      <w:r>
        <w:t xml:space="preserve">comparison rule; the firmware records chip and condition labels so groups</w:t>
      </w:r>
      <w:r>
        <w:t xml:space="preserve"> </w:t>
      </w:r>
      <w:r>
        <w:t xml:space="preserve">stay separate. The planned metrics are repeatability within chip and</w:t>
      </w:r>
      <w:r>
        <w:t xml:space="preserve"> </w:t>
      </w:r>
      <w:r>
        <w:t xml:space="preserve">condition, centered pattern correlation across chips under the same</w:t>
      </w:r>
      <w:r>
        <w:t xml:space="preserve"> </w:t>
      </w:r>
      <w:r>
        <w:t xml:space="preserve">condition, inter-chip Hamming distance for a predeclared set of adjacent</w:t>
      </w:r>
      <w:r>
        <w:t xml:space="preserve"> </w:t>
      </w:r>
      <w:r>
        <w:t xml:space="preserve">comparison pairs, and within-chip response changes across voltage and</w:t>
      </w:r>
      <w:r>
        <w:t xml:space="preserve"> </w:t>
      </w:r>
      <w:r>
        <w:t xml:space="preserve">temperature. Results count only when the grouping and completeness</w:t>
      </w:r>
      <w:r>
        <w:t xml:space="preserve"> </w:t>
      </w:r>
      <w:r>
        <w:t xml:space="preserve">requirements are met; a single chip or an incomplete oscillator vector does</w:t>
      </w:r>
      <w:r>
        <w:t xml:space="preserve"> </w:t>
      </w:r>
      <w:r>
        <w:t xml:space="preserve">not support a population claim.</w:t>
      </w:r>
    </w:p>
    <w:p>
      <w:pPr>
        <w:pStyle w:val="Heading2"/>
      </w:pPr>
      <w:bookmarkStart w:id="38" w:name="limitations"/>
      <w:r>
        <w:t xml:space="preserve">8. Limitations</w:t>
      </w:r>
      <w:bookmarkEnd w:id="38"/>
    </w:p>
    <w:p>
      <w:pPr>
        <w:pStyle w:val="FirstParagraph"/>
      </w:pPr>
      <w:r>
        <w:t xml:space="preserve">This study is pre-silicon, and its model is deliberately simple. Nominal</w:t>
      </w:r>
      <w:r>
        <w:t xml:space="preserve"> </w:t>
      </w:r>
      <w:r>
        <w:t xml:space="preserve">transistor models carry no random local mismatch. Lumped capacitance omits</w:t>
      </w:r>
      <w:r>
        <w:t xml:space="preserve"> </w:t>
      </w:r>
      <w:r>
        <w:t xml:space="preserve">distributed RC and dynamic coupling; a distributed-RC extraction would test</w:t>
      </w:r>
      <w:r>
        <w:t xml:space="preserve"> </w:t>
      </w:r>
      <w:r>
        <w:t xml:space="preserve">whether the frequency ordering and the spread survive a fuller electrical</w:t>
      </w:r>
      <w:r>
        <w:t xml:space="preserve"> </w:t>
      </w:r>
      <w:r>
        <w:t xml:space="preserve">model, and running it on the fresh build is the obvious next check. The three</w:t>
      </w:r>
      <w:r>
        <w:t xml:space="preserve"> </w:t>
      </w:r>
      <w:r>
        <w:t xml:space="preserve">builds reported here are not a controlled replicate set; they differ in source</w:t>
      </w:r>
      <w:r>
        <w:t xml:space="preserve"> </w:t>
      </w:r>
      <w:r>
        <w:t xml:space="preserve">revision and tool settings as well as seed, so I do not aggregate their spreads</w:t>
      </w:r>
      <w:r>
        <w:t xml:space="preserve"> </w:t>
      </w:r>
      <w:r>
        <w:t xml:space="preserve">into one distribution. A planned multi-seed study that varies only the</w:t>
      </w:r>
      <w:r>
        <w:t xml:space="preserve"> </w:t>
      </w:r>
      <w:r>
        <w:t xml:space="preserve">place-and-route seed from one frozen source, config, and toolchain will give a</w:t>
      </w:r>
      <w:r>
        <w:t xml:space="preserve"> </w:t>
      </w:r>
      <w:r>
        <w:t xml:space="preserve">proper spread distribution at essentially no cost next to fabrication. Instances</w:t>
      </w:r>
      <w:r>
        <w:t xml:space="preserve"> </w:t>
      </w:r>
      <w:r>
        <w:t xml:space="preserve">within a single layout are also related observations, so instance-level</w:t>
      </w:r>
      <w:r>
        <w:t xml:space="preserve"> </w:t>
      </w:r>
      <w:r>
        <w:t xml:space="preserve">confidence intervals would overstate the evidence. The Arm B reference is</w:t>
      </w:r>
      <w:r>
        <w:t xml:space="preserve"> </w:t>
      </w:r>
      <w:r>
        <w:t xml:space="preserve">one simulation of one macro and cannot quantify fabricated Arm B variation.</w:t>
      </w:r>
      <w:r>
        <w:t xml:space="preserve"> </w:t>
      </w:r>
      <w:r>
        <w:t xml:space="preserve">The 40-run global Monte Carlo cannot reproduce independent local device</w:t>
      </w:r>
      <w:r>
        <w:t xml:space="preserve"> </w:t>
      </w:r>
      <w:r>
        <w:t xml:space="preserve">mismatch. Voltage, temperature, supply noise, ageing, package, and</w:t>
      </w:r>
      <w:r>
        <w:t xml:space="preserve"> </w:t>
      </w:r>
      <w:r>
        <w:t xml:space="preserve">measurement-system effects are uncharacterized until chips exist, and</w:t>
      </w:r>
      <w:r>
        <w:t xml:space="preserve"> </w:t>
      </w:r>
      <w:r>
        <w:t xml:space="preserve">uniqueness, reliability, min-entropy, and attack success all need a</w:t>
      </w:r>
      <w:r>
        <w:t xml:space="preserve"> </w:t>
      </w:r>
      <w:r>
        <w:t xml:space="preserve">multi-chip data set with a stated threat model. The ripple counter is clocked by the oscillator itself, and its behaviour at</w:t>
      </w:r>
      <w:r>
        <w:t xml:space="preserve"> </w:t>
      </w:r>
      <w:r>
        <w:t xml:space="preserve">the fastest corner is checked only in behavioural simulation; the standard-cell flop at the oscillator-to-counter boundary still needs extracted,</w:t>
      </w:r>
      <w:r>
        <w:t xml:space="preserve"> </w:t>
      </w:r>
      <w:r>
        <w:t xml:space="preserve">across-corner timing before I trust the fast end of the range. None of this</w:t>
      </w:r>
      <w:r>
        <w:t xml:space="preserve"> </w:t>
      </w:r>
      <w:r>
        <w:t xml:space="preserve">erases the observed nominal layout component; it bounds what can be concluded</w:t>
      </w:r>
      <w:r>
        <w:t xml:space="preserve"> </w:t>
      </w:r>
      <w:r>
        <w:t xml:space="preserve">from it.</w:t>
      </w:r>
    </w:p>
    <w:p>
      <w:pPr>
        <w:pStyle w:val="Heading2"/>
      </w:pPr>
      <w:bookmarkStart w:id="39" w:name="conclusion"/>
      <w:r>
        <w:t xml:space="preserve">9. Conclusion</w:t>
      </w:r>
      <w:bookmarkEnd w:id="39"/>
    </w:p>
    <w:p>
      <w:pPr>
        <w:pStyle w:val="FirstParagraph"/>
      </w:pPr>
      <w:r>
        <w:t xml:space="preserve">Three automatically placed SKY130 RO arrays show a nominal post-layout</w:t>
      </w:r>
      <w:r>
        <w:t xml:space="preserve"> </w:t>
      </w:r>
      <w:r>
        <w:t xml:space="preserve">frequency pattern that tracks extracted ring capacitance closely: 10.5% peak</w:t>
      </w:r>
      <w:r>
        <w:t xml:space="preserve"> </w:t>
      </w:r>
      <w:r>
        <w:t xml:space="preserve">to peak with</w:t>
      </w:r>
      <w:r>
        <w:t xml:space="preserve"> </w:t>
      </w:r>
      <w:r>
        <w:rPr>
          <w:i/>
        </w:rPr>
        <w:t xml:space="preserve">r</w:t>
      </w:r>
      <w:r>
        <w:t xml:space="preserve"> </w:t>
      </w:r>
      <w:r>
        <w:t xml:space="preserve">= -0.999 in a coherent build of the current RTL, and 8.8%</w:t>
      </w:r>
      <w:r>
        <w:t xml:space="preserve"> </w:t>
      </w:r>
      <w:r>
        <w:t xml:space="preserve">and 5.4% in two earlier builds. A hardened macro provides a 569.5 MHz</w:t>
      </w:r>
      <w:r>
        <w:t xml:space="preserve"> </w:t>
      </w:r>
      <w:r>
        <w:t xml:space="preserve">shared-internal-layout reference for Arm B. The supported conclusion is that</w:t>
      </w:r>
      <w:r>
        <w:t xml:space="preserve"> </w:t>
      </w:r>
      <w:r>
        <w:t xml:space="preserve">the automated physical implementation introduced a sizeable deterministic</w:t>
      </w:r>
      <w:r>
        <w:t xml:space="preserve"> </w:t>
      </w:r>
      <w:r>
        <w:t xml:space="preserve">component in these routed designs, and that the mechanism, capacitive routing</w:t>
      </w:r>
      <w:r>
        <w:t xml:space="preserve"> </w:t>
      </w:r>
      <w:r>
        <w:t xml:space="preserve">load, carries between builds while the pattern itself does not.</w:t>
      </w:r>
    </w:p>
    <w:p>
      <w:pPr>
        <w:pStyle w:val="BodyText"/>
      </w:pPr>
      <w:r>
        <w:t xml:space="preserve">The stronger claims stay open on purpose. Whether the pattern survives</w:t>
      </w:r>
      <w:r>
        <w:t xml:space="preserve"> </w:t>
      </w:r>
      <w:r>
        <w:t xml:space="preserve">fabrication, dominates mismatch, reduces uniqueness, or supports a real</w:t>
      </w:r>
      <w:r>
        <w:t xml:space="preserve"> </w:t>
      </w:r>
      <w:r>
        <w:t xml:space="preserve">attack will be settled by measuring both arms of the fabricated chip under</w:t>
      </w:r>
      <w:r>
        <w:t xml:space="preserve"> </w:t>
      </w:r>
      <w:r>
        <w:t xml:space="preserve">the measurement protocol in the firmware.</w:t>
      </w:r>
    </w:p>
    <w:p>
      <w:pPr>
        <w:pStyle w:val="Heading2"/>
      </w:pPr>
      <w:bookmarkStart w:id="40" w:name="references"/>
      <w:r>
        <w:t xml:space="preserve">References</w:t>
      </w:r>
      <w:bookmarkEnd w:id="40"/>
    </w:p>
    <w:p>
      <w:pPr>
        <w:pStyle w:val="FirstParagraph"/>
      </w:pPr>
      <w:r>
        <w:t xml:space="preserve">[1] G. E. Suh and S. Devadas,</w:t>
      </w:r>
      <w:r>
        <w:t xml:space="preserve"> </w:t>
      </w:r>
      <w:r>
        <w:t xml:space="preserve">“</w:t>
      </w:r>
      <w:r>
        <w:t xml:space="preserve">Physical Unclonable Functions for Device</w:t>
      </w:r>
      <w:r>
        <w:t xml:space="preserve"> </w:t>
      </w:r>
      <w:r>
        <w:t xml:space="preserve">Authentication and Secret Key Generation,</w:t>
      </w:r>
      <w:r>
        <w:t xml:space="preserve">”</w:t>
      </w:r>
      <w:r>
        <w:t xml:space="preserve"> </w:t>
      </w:r>
      <w:r>
        <w:rPr>
          <w:i/>
        </w:rPr>
        <w:t xml:space="preserve">Proceedings of the 44th ACM/IEEE</w:t>
      </w:r>
      <w:r>
        <w:rPr>
          <w:i/>
        </w:rPr>
        <w:t xml:space="preserve"> </w:t>
      </w:r>
      <w:r>
        <w:rPr>
          <w:i/>
        </w:rPr>
        <w:t xml:space="preserve">Design Automation Conference (DAC)</w:t>
      </w:r>
      <w:r>
        <w:t xml:space="preserve">, pp. 9-14, 2007.</w:t>
      </w:r>
      <w:r>
        <w:t xml:space="preserve"> </w:t>
      </w:r>
      <w:r>
        <w:t xml:space="preserve">https://doi.org/10.1145/1278480.1278484</w:t>
      </w:r>
    </w:p>
    <w:p>
      <w:pPr>
        <w:pStyle w:val="BodyText"/>
      </w:pPr>
      <w:r>
        <w:t xml:space="preserve">[2] A. Maiti and P. Schaumont,</w:t>
      </w:r>
      <w:r>
        <w:t xml:space="preserve"> </w:t>
      </w:r>
      <w:r>
        <w:t xml:space="preserve">“</w:t>
      </w:r>
      <w:r>
        <w:t xml:space="preserve">Improved Ring Oscillator PUF: An</w:t>
      </w:r>
      <w:r>
        <w:t xml:space="preserve"> </w:t>
      </w:r>
      <w:r>
        <w:t xml:space="preserve">FPGA-Friendly Secure Primitive,</w:t>
      </w:r>
      <w:r>
        <w:t xml:space="preserve">”</w:t>
      </w:r>
      <w:r>
        <w:t xml:space="preserve"> </w:t>
      </w:r>
      <w:r>
        <w:rPr>
          <w:i/>
        </w:rPr>
        <w:t xml:space="preserve">Journal of Cryptology</w:t>
      </w:r>
      <w:r>
        <w:t xml:space="preserve">, vol. 24,</w:t>
      </w:r>
      <w:r>
        <w:t xml:space="preserve"> </w:t>
      </w:r>
      <w:r>
        <w:t xml:space="preserve">pp. 375-397, 2011. https://doi.org/10.1007/s00145-010-9088-4</w:t>
      </w:r>
    </w:p>
    <w:p>
      <w:pPr>
        <w:pStyle w:val="BodyText"/>
      </w:pPr>
      <w:r>
        <w:t xml:space="preserve">[3] A. Maiti, J. Casarona, L. McHale, and P. Schaumont,</w:t>
      </w:r>
      <w:r>
        <w:t xml:space="preserve"> </w:t>
      </w:r>
      <w:r>
        <w:t xml:space="preserve">“</w:t>
      </w:r>
      <w:r>
        <w:t xml:space="preserve">A Large Scale</w:t>
      </w:r>
      <w:r>
        <w:t xml:space="preserve"> </w:t>
      </w:r>
      <w:r>
        <w:t xml:space="preserve">Characterization of RO-PUF,</w:t>
      </w:r>
      <w:r>
        <w:t xml:space="preserve">”</w:t>
      </w:r>
      <w:r>
        <w:t xml:space="preserve"> </w:t>
      </w:r>
      <w:r>
        <w:rPr>
          <w:i/>
        </w:rPr>
        <w:t xml:space="preserve">IEEE International Symposium on</w:t>
      </w:r>
      <w:r>
        <w:rPr>
          <w:i/>
        </w:rPr>
        <w:t xml:space="preserve"> </w:t>
      </w:r>
      <w:r>
        <w:rPr>
          <w:i/>
        </w:rPr>
        <w:t xml:space="preserve">Hardware-Oriented Security and Trust (HOST)</w:t>
      </w:r>
      <w:r>
        <w:t xml:space="preserve">, pp. 66-71, 2010.</w:t>
      </w:r>
      <w:r>
        <w:t xml:space="preserve"> </w:t>
      </w:r>
      <w:r>
        <w:t xml:space="preserve">https://schaumont.dyn.wpi.edu/schaum/pdf/papers/2010hostm.pdf</w:t>
      </w:r>
    </w:p>
    <w:p>
      <w:pPr>
        <w:pStyle w:val="BodyText"/>
      </w:pPr>
      <w:r>
        <w:t xml:space="preserve">[4] F. Wilde, M. Hiller, and M. Pehl,</w:t>
      </w:r>
      <w:r>
        <w:t xml:space="preserve"> </w:t>
      </w:r>
      <w:r>
        <w:t xml:space="preserve">“</w:t>
      </w:r>
      <w:r>
        <w:t xml:space="preserve">Statistic-Based Security Analysis of</w:t>
      </w:r>
      <w:r>
        <w:t xml:space="preserve"> </w:t>
      </w:r>
      <w:r>
        <w:t xml:space="preserve">Ring Oscillator PUFs,</w:t>
      </w:r>
      <w:r>
        <w:t xml:space="preserve">”</w:t>
      </w:r>
      <w:r>
        <w:t xml:space="preserve"> </w:t>
      </w:r>
      <w:r>
        <w:rPr>
          <w:i/>
        </w:rPr>
        <w:t xml:space="preserve">2014 International Symposium on Integrated Circuits</w:t>
      </w:r>
      <w:r>
        <w:rPr>
          <w:i/>
        </w:rPr>
        <w:t xml:space="preserve"> </w:t>
      </w:r>
      <w:r>
        <w:rPr>
          <w:i/>
        </w:rPr>
        <w:t xml:space="preserve">(ISIC)</w:t>
      </w:r>
      <w:r>
        <w:t xml:space="preserve">, pp. 148-151, 2014. https://doi.org/10.1109/ISICIR.2014.7029528</w:t>
      </w:r>
    </w:p>
    <w:p>
      <w:pPr>
        <w:pStyle w:val="BodyText"/>
      </w:pPr>
      <w:r>
        <w:t xml:space="preserve">[5] A. S. Chauhan, V. Sahula, and A. S. Mandal,</w:t>
      </w:r>
      <w:r>
        <w:t xml:space="preserve"> </w:t>
      </w:r>
      <w:r>
        <w:t xml:space="preserve">“</w:t>
      </w:r>
      <w:r>
        <w:t xml:space="preserve">Novel Randomized Placement</w:t>
      </w:r>
      <w:r>
        <w:t xml:space="preserve"> </w:t>
      </w:r>
      <w:r>
        <w:t xml:space="preserve">for FPGA Based Robust ROPUF with Improved Uniqueness,</w:t>
      </w:r>
      <w:r>
        <w:t xml:space="preserve">”</w:t>
      </w:r>
      <w:r>
        <w:t xml:space="preserve"> </w:t>
      </w:r>
      <w:r>
        <w:rPr>
          <w:i/>
        </w:rPr>
        <w:t xml:space="preserve">Journal of</w:t>
      </w:r>
      <w:r>
        <w:rPr>
          <w:i/>
        </w:rPr>
        <w:t xml:space="preserve"> </w:t>
      </w:r>
      <w:r>
        <w:rPr>
          <w:i/>
        </w:rPr>
        <w:t xml:space="preserve">Electronic Testing</w:t>
      </w:r>
      <w:r>
        <w:t xml:space="preserve">, vol. 35, no. 5, pp. 581-601, 2019.</w:t>
      </w:r>
      <w:r>
        <w:t xml:space="preserve"> </w:t>
      </w:r>
      <w:r>
        <w:t xml:space="preserve">https://doi.org/10.1007/s10836-019-05829-5</w:t>
      </w:r>
    </w:p>
    <w:p>
      <w:pPr>
        <w:pStyle w:val="BodyText"/>
      </w:pPr>
      <w:r>
        <w:t xml:space="preserve">[6] K. A. Asha, L. E. Hsu, A. Patyal, and H.-M. Chen,</w:t>
      </w:r>
      <w:r>
        <w:t xml:space="preserve"> </w:t>
      </w:r>
      <w:r>
        <w:t xml:space="preserve">“</w:t>
      </w:r>
      <w:r>
        <w:t xml:space="preserve">Improving the Quality</w:t>
      </w:r>
      <w:r>
        <w:t xml:space="preserve"> </w:t>
      </w:r>
      <w:r>
        <w:t xml:space="preserve">of FPGA RO-PUF by Principal Component Analysis (PCA),</w:t>
      </w:r>
      <w:r>
        <w:t xml:space="preserve">”</w:t>
      </w:r>
      <w:r>
        <w:t xml:space="preserve"> </w:t>
      </w:r>
      <w:r>
        <w:rPr>
          <w:i/>
        </w:rPr>
        <w:t xml:space="preserve">ACM Journal on</w:t>
      </w:r>
      <w:r>
        <w:rPr>
          <w:i/>
        </w:rPr>
        <w:t xml:space="preserve"> </w:t>
      </w:r>
      <w:r>
        <w:rPr>
          <w:i/>
        </w:rPr>
        <w:t xml:space="preserve">Emerging Technologies in Computing Systems</w:t>
      </w:r>
      <w:r>
        <w:t xml:space="preserve">, vol. 17, no. 3, article 34,</w:t>
      </w:r>
      <w:r>
        <w:t xml:space="preserve"> </w:t>
      </w:r>
      <w:r>
        <w:t xml:space="preserve">2021. https://doi.org/10.1145/3442444</w:t>
      </w:r>
    </w:p>
    <w:p>
      <w:pPr>
        <w:pStyle w:val="BodyText"/>
      </w:pPr>
      <w:r>
        <w:t xml:space="preserve">[7] W.-C. Wang, Z. Li, J. Skudlarek, M. Larouche, M. Chen, and P. Gupta,</w:t>
      </w:r>
      <w:r>
        <w:t xml:space="preserve"> </w:t>
      </w:r>
      <w:r>
        <w:t xml:space="preserve">“</w:t>
      </w:r>
      <w:r>
        <w:t xml:space="preserve">UNBIAS PUF: A Physical Implementation Bias Agnostic Strong PUF,</w:t>
      </w:r>
      <w:r>
        <w:t xml:space="preserve">”</w:t>
      </w:r>
      <w:r>
        <w:t xml:space="preserve"> </w:t>
      </w:r>
      <w:r>
        <w:t xml:space="preserve">arXiv:1703.10725, 2017. https://arxiv.org/abs/1703.10725</w:t>
      </w:r>
    </w:p>
    <w:p>
      <w:pPr>
        <w:pStyle w:val="BodyText"/>
      </w:pPr>
      <w:r>
        <w:t xml:space="preserve">[8] J. Miskelly, C. Gu, Q. Ma, Y. Cui, W. Liu, and M. O’Neill,</w:t>
      </w:r>
      <w:r>
        <w:t xml:space="preserve"> </w:t>
      </w:r>
      <w:r>
        <w:t xml:space="preserve">“</w:t>
      </w:r>
      <w:r>
        <w:t xml:space="preserve">Modelling</w:t>
      </w:r>
      <w:r>
        <w:t xml:space="preserve"> </w:t>
      </w:r>
      <w:r>
        <w:t xml:space="preserve">Attack Analysis of Configurable Ring Oscillator (CRO) PUF Designs,</w:t>
      </w:r>
      <w:r>
        <w:t xml:space="preserve">”</w:t>
      </w:r>
      <w:r>
        <w:t xml:space="preserve"> </w:t>
      </w:r>
      <w:r>
        <w:rPr>
          <w:i/>
        </w:rPr>
        <w:t xml:space="preserve">2018</w:t>
      </w:r>
      <w:r>
        <w:rPr>
          <w:i/>
        </w:rPr>
        <w:t xml:space="preserve"> </w:t>
      </w:r>
      <w:r>
        <w:rPr>
          <w:i/>
        </w:rPr>
        <w:t xml:space="preserve">IEEE 23rd International Conference on Digital Signal Processing (DSP)</w:t>
      </w:r>
      <w:r>
        <w:t xml:space="preserve">,</w:t>
      </w:r>
      <w:r>
        <w:t xml:space="preserve"> </w:t>
      </w:r>
      <w:r>
        <w:t xml:space="preserve">pp. 1-5, 2018. https://doi.org/10.1109/ICDSP.2018.8631638</w:t>
      </w:r>
    </w:p>
    <w:p>
      <w:pPr>
        <w:pStyle w:val="BodyText"/>
      </w:pPr>
      <w:r>
        <w:t xml:space="preserve">[9] M. Shalan and T. Edwards,</w:t>
      </w:r>
      <w:r>
        <w:t xml:space="preserve"> </w:t>
      </w:r>
      <w:r>
        <w:t xml:space="preserve">“</w:t>
      </w:r>
      <w:r>
        <w:t xml:space="preserve">Building OpenLANE: A 130nm OpenROAD-based</w:t>
      </w:r>
      <w:r>
        <w:t xml:space="preserve"> </w:t>
      </w:r>
      <w:r>
        <w:t xml:space="preserve">Tapeout-Proven Flow,</w:t>
      </w:r>
      <w:r>
        <w:t xml:space="preserve">”</w:t>
      </w:r>
      <w:r>
        <w:t xml:space="preserve"> </w:t>
      </w:r>
      <w:r>
        <w:rPr>
          <w:i/>
        </w:rPr>
        <w:t xml:space="preserve">2020 IEEE/ACM International Conference on Computer</w:t>
      </w:r>
      <w:r>
        <w:rPr>
          <w:i/>
        </w:rPr>
        <w:t xml:space="preserve"> </w:t>
      </w:r>
      <w:r>
        <w:rPr>
          <w:i/>
        </w:rPr>
        <w:t xml:space="preserve">Aided Design (ICCAD)</w:t>
      </w:r>
      <w:r>
        <w:t xml:space="preserve">, article 110, pp. 1-6, 2020.</w:t>
      </w:r>
      <w:r>
        <w:t xml:space="preserve"> </w:t>
      </w:r>
      <w:r>
        <w:t xml:space="preserve">https://doi.org/10.1145/3400302.3415735</w:t>
      </w:r>
    </w:p>
    <w:p>
      <w:pPr>
        <w:pStyle w:val="BodyText"/>
      </w:pPr>
      <w:r>
        <w:t xml:space="preserve">[10] SkyWater Technology and Google,</w:t>
      </w:r>
      <w:r>
        <w:t xml:space="preserve"> </w:t>
      </w:r>
      <w:r>
        <w:t xml:space="preserve">“</w:t>
      </w:r>
      <w:r>
        <w:t xml:space="preserve">SkyWater Open Source PDK (SKY130).</w:t>
      </w:r>
      <w:r>
        <w:t xml:space="preserve">”</w:t>
      </w:r>
      <w:r>
        <w:t xml:space="preserve"> </w:t>
      </w:r>
      <w:r>
        <w:t xml:space="preserve">https://github.com/google/skywater-pdk</w:t>
      </w:r>
    </w:p>
    <w:p>
      <w:pPr>
        <w:pStyle w:val="BodyText"/>
      </w:pPr>
      <w:r>
        <w:t xml:space="preserve">[11] litneet64,</w:t>
      </w:r>
      <w:r>
        <w:t xml:space="preserve"> </w:t>
      </w:r>
      <w:r>
        <w:t xml:space="preserve">“</w:t>
      </w:r>
      <w:r>
        <w:t xml:space="preserve">RO-based Physically Unclonable Function in sky130</w:t>
      </w:r>
      <w:r>
        <w:t xml:space="preserve"> </w:t>
      </w:r>
      <w:r>
        <w:t xml:space="preserve">(TinyTapeout tt07).</w:t>
      </w:r>
      <w:r>
        <w:t xml:space="preserve">”</w:t>
      </w:r>
      <w:r>
        <w:t xml:space="preserve"> </w:t>
      </w:r>
      <w:r>
        <w:t xml:space="preserve">https://github.com/litneet64/tt07-RO-based-PUF</w:t>
      </w:r>
    </w:p>
    <w:p>
      <w:pPr>
        <w:pStyle w:val="BodyText"/>
      </w:pPr>
      <w:r>
        <w:t xml:space="preserve">[12] S. Katzenbeisser, U. Kocabas, V. Rozic, A.-R. Sadeghi, I. Verbauwhede,</w:t>
      </w:r>
      <w:r>
        <w:t xml:space="preserve"> </w:t>
      </w:r>
      <w:r>
        <w:t xml:space="preserve">and C. Wachsmann,</w:t>
      </w:r>
      <w:r>
        <w:t xml:space="preserve"> </w:t>
      </w:r>
      <w:r>
        <w:t xml:space="preserve">“</w:t>
      </w:r>
      <w:r>
        <w:t xml:space="preserve">PUFs: Myth, Fact or Busted? A Security Evaluation of</w:t>
      </w:r>
      <w:r>
        <w:t xml:space="preserve"> </w:t>
      </w:r>
      <w:r>
        <w:t xml:space="preserve">Physically Unclonable Functions (PUFs) Cast in Silicon,</w:t>
      </w:r>
      <w:r>
        <w:t xml:space="preserve">”</w:t>
      </w:r>
      <w:r>
        <w:t xml:space="preserve"> </w:t>
      </w:r>
      <w:r>
        <w:rPr>
          <w:i/>
        </w:rPr>
        <w:t xml:space="preserve">Cryptographic</w:t>
      </w:r>
      <w:r>
        <w:rPr>
          <w:i/>
        </w:rPr>
        <w:t xml:space="preserve"> </w:t>
      </w:r>
      <w:r>
        <w:rPr>
          <w:i/>
        </w:rPr>
        <w:t xml:space="preserve">Hardware and Embedded Systems (CHES 2012)</w:t>
      </w:r>
      <w:r>
        <w:t xml:space="preserve">, LNCS 7428, pp. 283-301, 2012.</w:t>
      </w:r>
      <w:r>
        <w:t xml:space="preserve"> </w:t>
      </w:r>
      <w:r>
        <w:t xml:space="preserve">https://doi.org/10.1007/978-3-642-33027-8_17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000000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0000"/>
      <w:b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000000"/>
      <w:i/>
    </w:rPr>
  </w:style>
  <w:style w:type="character" w:customStyle="1" w:styleId="DocumentationTok">
    <w:name w:val="DocumentationTok"/>
    <w:basedOn w:val="VerbatimChar"/>
    <w:rPr>
      <w:color w:val="000000"/>
      <w:i/>
    </w:rPr>
  </w:style>
  <w:style w:type="character" w:customStyle="1" w:styleId="AnnotationTok">
    <w:name w:val="AnnotationTok"/>
    <w:basedOn w:val="VerbatimChar"/>
    <w:rPr>
      <w:color w:val="000000"/>
      <w:b/>
      <w:i/>
    </w:rPr>
  </w:style>
  <w:style w:type="character" w:customStyle="1" w:styleId="CommentVarTok">
    <w:name w:val="CommentVarTok"/>
    <w:basedOn w:val="VerbatimChar"/>
    <w:rPr>
      <w:color w:val="000000"/>
      <w:b/>
      <w:i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color w:val="000000"/>
      <w:b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000000"/>
      <w:b/>
      <w:i/>
    </w:rPr>
  </w:style>
  <w:style w:type="character" w:customStyle="1" w:styleId="WarningTok">
    <w:name w:val="WarningTok"/>
    <w:basedOn w:val="VerbatimChar"/>
    <w:rPr>
      <w:color w:val="000000"/>
      <w:b/>
      <w:i/>
    </w:rPr>
  </w:style>
  <w:style w:type="character" w:customStyle="1" w:styleId="AlertTok">
    <w:name w:val="AlertTok"/>
    <w:basedOn w:val="VerbatimChar"/>
    <w:rPr>
      <w:color w:val="000000"/>
      <w:b/>
    </w:rPr>
  </w:style>
  <w:style w:type="character" w:customStyle="1" w:styleId="ErrorTok">
    <w:name w:val="ErrorTok"/>
    <w:basedOn w:val="VerbatimChar"/>
    <w:rPr>
      <w:color w:val="00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33" Target="media/rId33.png" /><Relationship Type="http://schemas.openxmlformats.org/officeDocument/2006/relationships/image" Id="rId29" Target="media/rId29.png" /><Relationship Type="http://schemas.openxmlformats.org/officeDocument/2006/relationships/image" Id="rId25" Target="media/rId25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2026-07-23T16:36:17Z</dcterms:created>
  <dcterms:modified xsi:type="dcterms:W3CDTF">2026-07-23T16:36:17Z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