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7.png" ContentType="image/png"/>
  <Override PartName="/word/media/rId38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14d4897d5826f8b5f5ce788894ce6873f71a1a"/>
      <w:r>
        <w:t xml:space="preserve">Quantifying Routing-Induced Frequency Dispersion in an Open-Source SKY130 Ring-Oscillator PUF: A Pre-Silicon Study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2026-07-27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The</w:t>
      </w:r>
      <w:r>
        <w:t xml:space="preserve"> </w:t>
      </w:r>
      <w:r>
        <w:t xml:space="preserve">physical implementation can add a frequency pattern of its own on top of that</w:t>
      </w:r>
      <w:r>
        <w:t xml:space="preserve"> </w:t>
      </w:r>
      <w:r>
        <w:t xml:space="preserve">variation. This paper quantifies one component of that pattern, the</w:t>
      </w:r>
      <w:r>
        <w:t xml:space="preserve"> </w:t>
      </w:r>
      <w:r>
        <w:t xml:space="preserve">instance-to-instance routing capacitance assigned by the automated</w:t>
      </w:r>
      <w:r>
        <w:t xml:space="preserve"> </w:t>
      </w:r>
      <w:r>
        <w:t xml:space="preserve">OpenLane/OpenROAD flow on the open SKY130 process design kit, using a reduced</w:t>
      </w:r>
      <w:r>
        <w:t xml:space="preserve"> </w:t>
      </w:r>
      <w:r>
        <w:t xml:space="preserve">model: nominal transistor-level models of the verified post-route oscillator</w:t>
      </w:r>
      <w:r>
        <w:t xml:space="preserve"> </w:t>
      </w:r>
      <w:r>
        <w:t xml:space="preserve">topology, loaded with each ring net’s total extracted capacitance from the</w:t>
      </w:r>
      <w:r>
        <w:t xml:space="preserve"> </w:t>
      </w:r>
      <w:r>
        <w:t xml:space="preserve">final SPEF. No fabricated devices have been measured yet, and distributed</w:t>
      </w:r>
      <w:r>
        <w:t xml:space="preserve"> </w:t>
      </w:r>
      <w:r>
        <w:t xml:space="preserve">resistance and coupling are not represented.</w:t>
      </w:r>
    </w:p>
    <w:p>
      <w:pPr>
        <w:pStyle w:val="BodyText"/>
      </w:pPr>
      <w:r>
        <w:t xml:space="preserve">Under this model, the 16 automatically placed oscillators of Arm A in the</w:t>
      </w:r>
      <w:r>
        <w:t xml:space="preserve"> </w:t>
      </w:r>
      <w:r>
        <w:t xml:space="preserve">candidate build spread 5.53% peak to peak (population SD 1.65%, mean</w:t>
      </w:r>
      <w:r>
        <w:t xml:space="preserve"> </w:t>
      </w:r>
      <w:r>
        <w:t xml:space="preserve">554.7 MHz), with extracted ring capacitance running from 10.9 to 17.0 fF.</w:t>
      </w:r>
      <w:r>
        <w:t xml:space="preserve"> </w:t>
      </w:r>
      <w:r>
        <w:t xml:space="preserve">Because a single build only shows one draw of the router, I repeated the whole</w:t>
      </w:r>
      <w:r>
        <w:t xml:space="preserve"> </w:t>
      </w:r>
      <w:r>
        <w:t xml:space="preserve">flow nine times over a narrow band of placement density with the source,</w:t>
      </w:r>
      <w:r>
        <w:t xml:space="preserve"> </w:t>
      </w:r>
      <w:r>
        <w:t xml:space="preserve">floorplan, constraints, tool, and PDK frozen. Dispersion across those nine</w:t>
      </w:r>
      <w:r>
        <w:t xml:space="preserve"> </w:t>
      </w:r>
      <w:r>
        <w:t xml:space="preserve">builds has a median of 5.75% and a range of 4.19% to 6.99%. What does not move</w:t>
      </w:r>
      <w:r>
        <w:t xml:space="preserve"> </w:t>
      </w:r>
      <w:r>
        <w:t xml:space="preserve">is the mechanism: every build gives a frequency-capacitance correlation of</w:t>
      </w:r>
      <w:r>
        <w:t xml:space="preserve"> </w:t>
      </w:r>
      <w:r>
        <w:t xml:space="preserve">about -0.999, and the fitted slope of -4.94 MHz/fF in the candidate build</w:t>
      </w:r>
      <w:r>
        <w:t xml:space="preserve"> </w:t>
      </w:r>
      <w:r>
        <w:t xml:space="preserve">matches the -4.93 MHz/fF obtained earlier from an independent 32-oscillator</w:t>
      </w:r>
      <w:r>
        <w:t xml:space="preserve"> </w:t>
      </w:r>
      <w:r>
        <w:t xml:space="preserve">layout. That earlier fit also predicts this build’s 16 individual frequencies</w:t>
      </w:r>
      <w:r>
        <w:t xml:space="preserve"> </w:t>
      </w:r>
      <w:r>
        <w:t xml:space="preserve">to a mean absolute error near 0.1%. An older build reported 10.5%, well above</w:t>
      </w:r>
      <w:r>
        <w:t xml:space="preserve"> </w:t>
      </w:r>
      <w:r>
        <w:t xml:space="preserve">the sweep, and it owed most of that range to one oscillator the router had</w:t>
      </w:r>
      <w:r>
        <w:t xml:space="preserve"> </w:t>
      </w:r>
      <w:r>
        <w:t xml:space="preserve">loaded with 24.4 fF; no oscillator in the candidate build is loaded that way. So</w:t>
      </w:r>
      <w:r>
        <w:t xml:space="preserve"> </w:t>
      </w:r>
      <w:r>
        <w:t xml:space="preserve">a peak-to-peak number describes the build it came from, and I report the nine</w:t>
      </w:r>
      <w:r>
        <w:t xml:space="preserve"> </w:t>
      </w:r>
      <w:r>
        <w:t xml:space="preserve">builds together for that reason.</w:t>
      </w:r>
    </w:p>
    <w:p>
      <w:pPr>
        <w:pStyle w:val="BodyText"/>
      </w:pPr>
      <w:r>
        <w:t xml:space="preserve">The comparison arm, Arm B, uses one hardened oscillator macro sixteen times.</w:t>
      </w:r>
      <w:r>
        <w:t xml:space="preserve"> </w:t>
      </w:r>
      <w:r>
        <w:t xml:space="preserve">A single extraction of that macro gives a 569.5 MHz reference for the shared</w:t>
      </w:r>
      <w:r>
        <w:t xml:space="preserve"> </w:t>
      </w:r>
      <w:r>
        <w:t xml:space="preserve">internal layout, which removes internal-layout variation by construction but</w:t>
      </w:r>
      <w:r>
        <w:t xml:space="preserve"> </w:t>
      </w:r>
      <w:r>
        <w:t xml:space="preserve">does not on its own prove a smaller total spread once the chips are made.</w:t>
      </w:r>
    </w:p>
    <w:p>
      <w:pPr>
        <w:pStyle w:val="BodyText"/>
      </w:pPr>
      <w:r>
        <w:t xml:space="preserve">Sweeping the same arm over supply and temperature shows that the sensitivity is</w:t>
      </w:r>
      <w:r>
        <w:t xml:space="preserve"> </w:t>
      </w:r>
      <w:r>
        <w:t xml:space="preserve">almost entirely common to the sixteen oscillators. Ten percent supply excursions</w:t>
      </w:r>
      <w:r>
        <w:t xml:space="preserve"> </w:t>
      </w:r>
      <w:r>
        <w:t xml:space="preserve">leave a ring-to-ring departure of 0.03 percent, and the temperature coefficient</w:t>
      </w:r>
      <w:r>
        <w:t xml:space="preserve"> </w:t>
      </w:r>
      <w:r>
        <w:t xml:space="preserve">at 1.80 V is close to zero because the stage sits near the crossover between the</w:t>
      </w:r>
      <w:r>
        <w:t xml:space="preserve"> </w:t>
      </w:r>
      <w:r>
        <w:t xml:space="preserve">threshold-voltage and mobility effects, which a supply sweep confirms by moving</w:t>
      </w:r>
      <w:r>
        <w:t xml:space="preserve"> </w:t>
      </w:r>
      <w:r>
        <w:t xml:space="preserve">that coefficient from +0.053 to -0.024 percent per degree.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 percent, 48 times below the mismatch scale.</w:t>
      </w:r>
    </w:p>
    <w:p>
      <w:pPr>
        <w:pStyle w:val="BodyText"/>
      </w:pPr>
      <w:r>
        <w:t xml:space="preserve">The contribution is a pre-fabrication diagnostic, traceable in the</w:t>
      </w:r>
      <w:r>
        <w:t xml:space="preserve"> </w:t>
      </w:r>
      <w:r>
        <w:t xml:space="preserve">repository, that separates nominal layout bias from the variation a PUF is</w:t>
      </w:r>
      <w:r>
        <w:t xml:space="preserve"> </w:t>
      </w:r>
      <w:r>
        <w:t xml:space="preserve">supposed to use. Whether the layout pattern repeats across dies, reduces</w:t>
      </w:r>
      <w:r>
        <w:t xml:space="preserve"> </w:t>
      </w:r>
      <w:r>
        <w:t xml:space="preserve">uniqueness, or enables a practical prediction attack is left for the silicon</w:t>
      </w:r>
      <w:r>
        <w:t xml:space="preserve"> </w:t>
      </w:r>
      <w:r>
        <w:t xml:space="preserve">phase, not claimed here.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</w:t>
      </w:r>
      <w:r>
        <w:t xml:space="preserve"> </w:t>
      </w:r>
      <w:r>
        <w:t xml:space="preserve">and converts comparisons into response bits [1]. Ideally the useful</w:t>
      </w:r>
      <w:r>
        <w:t xml:space="preserve"> </w:t>
      </w:r>
      <w:r>
        <w:t xml:space="preserve">chip-to-chip differences come from manufacturing variation. In practice,</w:t>
      </w:r>
      <w:r>
        <w:t xml:space="preserve"> </w:t>
      </w:r>
      <w:r>
        <w:t xml:space="preserve">placement and routing give instances different parasitic loads, which adds a</w:t>
      </w:r>
      <w:r>
        <w:t xml:space="preserve"> </w:t>
      </w:r>
      <w:r>
        <w:t xml:space="preserve">deterministic component to the comparison.</w:t>
      </w:r>
    </w:p>
    <w:p>
      <w:pPr>
        <w:pStyle w:val="BodyText"/>
      </w:pPr>
      <w:r>
        <w:t xml:space="preserve">A fixed layout pattern is not automatically a security failure. Random</w:t>
      </w:r>
      <w:r>
        <w:t xml:space="preserve"> </w:t>
      </w:r>
      <w:r>
        <w:t xml:space="preserve">mismatch may be larger, comparisons may cancel shared structure, and response</w:t>
      </w:r>
      <w:r>
        <w:t xml:space="preserve"> </w:t>
      </w:r>
      <w:r>
        <w:t xml:space="preserve">processing may absorb bias. But a layout component that repeats across chips</w:t>
      </w:r>
      <w:r>
        <w:t xml:space="preserve"> </w:t>
      </w:r>
      <w:r>
        <w:t xml:space="preserve">could reduce uniqueness or make some comparisons predictable, and deciding</w:t>
      </w:r>
      <w:r>
        <w:t xml:space="preserve"> </w:t>
      </w:r>
      <w:r>
        <w:t xml:space="preserve">between those outcomes takes measurements from multiple fabricated devices.</w:t>
      </w:r>
    </w:p>
    <w:p>
      <w:pPr>
        <w:pStyle w:val="BodyText"/>
      </w:pPr>
      <w:r>
        <w:t xml:space="preserve">This paper reports the pre-silicon part of that investigation. The question</w:t>
      </w:r>
      <w:r>
        <w:t xml:space="preserve"> </w:t>
      </w:r>
      <w:r>
        <w:t xml:space="preserve">is narrow: with transistor parameters held fixed, how much frequency</w:t>
      </w:r>
      <w:r>
        <w:t xml:space="preserve"> </w:t>
      </w:r>
      <w:r>
        <w:t xml:space="preserve">variation does the physical implementation of one open-source RO-PUF design</w:t>
      </w:r>
      <w:r>
        <w:t xml:space="preserve"> </w:t>
      </w:r>
      <w:r>
        <w:t xml:space="preserve">introduce? I contribute nominal post-layout results for two automatically</w:t>
      </w:r>
      <w:r>
        <w:t xml:space="preserve"> </w:t>
      </w:r>
      <w:r>
        <w:t xml:space="preserve">placed oscillator arrays, a capacitance-based explanation for the observed</w:t>
      </w:r>
      <w:r>
        <w:t xml:space="preserve"> </w:t>
      </w:r>
      <w:r>
        <w:t xml:space="preserve">spread, a matched-macro arm that gives every instance the same internal</w:t>
      </w:r>
      <w:r>
        <w:t xml:space="preserve"> </w:t>
      </w:r>
      <w:r>
        <w:t xml:space="preserve">geometry, the scripts to run the same diagnostic before any fabrication, and</w:t>
      </w:r>
      <w:r>
        <w:t xml:space="preserve"> </w:t>
      </w:r>
      <w:r>
        <w:t xml:space="preserve">the specific predictions I plan to test once chips come back.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Open-source ASIC flows allow an experiment that closed flows make awkward:</w:t>
      </w:r>
      <w:r>
        <w:t xml:space="preserve"> </w:t>
      </w:r>
      <w:r>
        <w:t xml:space="preserve">the designer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measurement this paper makes: the</w:t>
      </w:r>
      <w:r>
        <w:t xml:space="preserve"> </w:t>
      </w:r>
      <w:r>
        <w:t xml:space="preserve">nominal frequency component tied to instance-dependent routing in one</w:t>
      </w:r>
      <w:r>
        <w:t xml:space="preserve"> </w:t>
      </w:r>
      <w:r>
        <w:t xml:space="preserve">automated ASIC layout, quantified from the flow’s own extraction.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automatically-placed-arrays"/>
      <w:r>
        <w:t xml:space="preserve">5.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4).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5).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All</w:t>
      </w:r>
      <w:r>
        <w:t xml:space="preserve"> </w:t>
      </w:r>
      <w:r>
        <w:t xml:space="preserve">sixteen oscillators start at every corner, including the slow low-voltage one, and</w:t>
      </w:r>
      <w:r>
        <w:t xml:space="preserve"> </w:t>
      </w:r>
      <w:r>
        <w:t xml:space="preserve">the no-parasitic control decks return a single identical frequency per corner</w:t>
      </w:r>
      <w:r>
        <w:t xml:space="preserve"> </w:t>
      </w:r>
      <w:r>
        <w:t xml:space="preserve">(323.140, 633.640 and 987.948 MHz), which is what validates 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47 to 62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To test it I rebuilt all sixteen oscillators from the extraction’s own network,</w:t>
      </w:r>
      <w:r>
        <w:t xml:space="preserve"> </w:t>
      </w:r>
      <w:r>
        <w:t xml:space="preserve">with per-node capacitances, the series resistors as extracted, and node-to-node</w:t>
      </w:r>
      <w:r>
        <w:t xml:space="preserve"> </w:t>
      </w:r>
      <w:r>
        <w:t xml:space="preserve">capacitors wherever both ends lie inside the oscillator, then simulated the lumped</w:t>
      </w:r>
      <w:r>
        <w:t xml:space="preserve"> </w:t>
      </w:r>
      <w:r>
        <w:t xml:space="preserve">and distributed versions of each ring under otherwise identical conditions. The</w:t>
      </w:r>
      <w:r>
        <w:t xml:space="preserve"> </w:t>
      </w:r>
      <w:r>
        <w:t xml:space="preserve">reconstruction accounts for the whole of every net’s declared capacitance.</w:t>
      </w:r>
    </w:p>
    <w:p>
      <w:pPr>
        <w:pStyle w:val="BodyText"/>
      </w:pPr>
      <w:r>
        <w:t xml:space="preserve">Every oscillator is slower under the fuller model, by 2.16% to 5.69%,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-0.589). Because the heavier</w:t>
      </w:r>
      <w:r>
        <w:t xml:space="preserve"> </w:t>
      </w:r>
      <w:r>
        <w:t xml:space="preserve">rings lose the most, the dispersion widens rather than shrinking: 5.55%</w:t>
      </w:r>
      <w:r>
        <w:t xml:space="preserve"> </w:t>
      </w:r>
      <w:r>
        <w:t xml:space="preserve">peak-to-peak becomes 7.60%. The simplification is therefore conservative with</w:t>
      </w:r>
      <w:r>
        <w:t xml:space="preserve"> </w:t>
      </w:r>
      <w:r>
        <w:t xml:space="preserve">respect to the paper’s central claim. It understates the layout contribution by</w:t>
      </w:r>
      <w:r>
        <w:t xml:space="preserve"> </w:t>
      </w:r>
      <w:r>
        <w:t xml:space="preserve">roughly a third instead of manufacturing it, which is the opposite of the failure</w:t>
      </w:r>
      <w:r>
        <w:t xml:space="preserve"> </w:t>
      </w:r>
      <w:r>
        <w:t xml:space="preserve">mode a reduced model is usually suspected of.</w:t>
      </w:r>
    </w:p>
    <w:p>
      <w:pPr>
        <w:pStyle w:val="BodyText"/>
      </w:pPr>
      <w:r>
        <w:t xml:space="preserve">The per-oscillator pattern also survives. Rank correlation between the two models</w:t>
      </w:r>
      <w:r>
        <w:t xml:space="preserve"> </w:t>
      </w:r>
      <w:r>
        <w:t xml:space="preserve">is 0.912 and the fastest ring is the same under both. The slowest label moves</w:t>
      </w:r>
      <w:r>
        <w:t xml:space="preserve"> </w:t>
      </w:r>
      <w:r>
        <w:t xml:space="preserve">between two oscillators that the lumped model separated by 0.7%, which is a near-tie</w:t>
      </w:r>
      <w:r>
        <w:t xml:space="preserve"> </w:t>
      </w:r>
      <w:r>
        <w:t xml:space="preserve">changing hands rather than the fingerprint dissolving.</w:t>
      </w:r>
    </w:p>
    <w:p>
      <w:pPr>
        <w:pStyle w:val="BodyText"/>
      </w:pPr>
      <w:r>
        <w:t xml:space="preserve">Where the fuller model does change the answer is in the individual response bits.</w:t>
      </w:r>
      <w:r>
        <w:t xml:space="preserve"> </w:t>
      </w:r>
      <w:r>
        <w:t xml:space="preserve">The design forms bits by comparing neighbouring oscillators, and two of the eight</w:t>
      </w:r>
      <w:r>
        <w:t xml:space="preserve"> </w:t>
      </w:r>
      <w:r>
        <w:t xml:space="preserve">comparisons reverse. Both involved pairs separated by 0.28% and 0.32% under the</w:t>
      </w:r>
      <w:r>
        <w:t xml:space="preserve"> </w:t>
      </w:r>
      <w:r>
        <w:t xml:space="preserve">lumped model, while every pair separated by 0.69% or more kept its ordering. So</w:t>
      </w:r>
      <w:r>
        <w:t xml:space="preserve"> </w:t>
      </w:r>
      <w:r>
        <w:t xml:space="preserve">predicted bits from closely matched pairs are model-dependent and are not reported</w:t>
      </w:r>
      <w:r>
        <w:t xml:space="preserve"> </w:t>
      </w:r>
      <w:r>
        <w:t xml:space="preserve">here as predictions; the analysis code already flags such pairs as low-margin when</w:t>
      </w:r>
      <w:r>
        <w:t xml:space="preserve"> </w:t>
      </w:r>
      <w:r>
        <w:t xml:space="preserve">scoring measured silicon, and this gives an independent pre-silicon reason to</w:t>
      </w:r>
      <w:r>
        <w:t xml:space="preserve"> </w:t>
      </w:r>
      <w:r>
        <w:t xml:space="preserve">expect which ones will be fragile.</w:t>
      </w:r>
    </w:p>
    <w:p>
      <w:pPr>
        <w:pStyle w:val="BodyText"/>
      </w:pPr>
      <w:r>
        <w:t xml:space="preserve">Two limits on this check. The Arm B macro has a separate extraction and has not</w:t>
      </w:r>
      <w:r>
        <w:t xml:space="preserve"> </w:t>
      </w:r>
      <w:r>
        <w:t xml:space="preserve">been redone this way, so its 569.5 MHz reference remains a lumped-model result.</w:t>
      </w:r>
      <w:r>
        <w:t xml:space="preserve"> </w:t>
      </w:r>
      <w:r>
        <w:t xml:space="preserve">And the extraction itself is a reduced per-net network rather than a field</w:t>
      </w:r>
      <w:r>
        <w:t xml:space="preserve"> </w:t>
      </w:r>
      <w:r>
        <w:t xml:space="preserve">solution, with coupling to nets outside a given oscillator still grounded, which</w:t>
      </w:r>
      <w:r>
        <w:t xml:space="preserve"> </w:t>
      </w:r>
      <w:r>
        <w:t xml:space="preserve">ranges from four such nets on the lightest ring to seventy-two on the heaviest.</w:t>
      </w:r>
    </w:p>
    <w:p>
      <w:pPr>
        <w:pStyle w:val="Heading3"/>
      </w:pPr>
      <w:bookmarkStart w:id="35" w:name="what-a-single-reading-can-resolve"/>
      <w:r>
        <w:t xml:space="preserve">5.6 What a single reading can resolve</w:t>
      </w:r>
      <w:bookmarkEnd w:id="35"/>
    </w:p>
    <w:p>
      <w:pPr>
        <w:pStyle w:val="FirstParagraph"/>
      </w:pPr>
      <w:r>
        <w:t xml:space="preserve">The residual left by Section 5.5 and the mismatch scale of Section 7 are both</w:t>
      </w:r>
      <w:r>
        <w:t xml:space="preserve"> </w:t>
      </w:r>
      <w:r>
        <w:t xml:space="preserve">small, and neither means anything unless a measurement can resolve them. Three</w:t>
      </w:r>
      <w:r>
        <w:t xml:space="preserve"> </w:t>
      </w:r>
      <w:r>
        <w:t xml:space="preserve">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 They read the shipped</w:t>
      </w:r>
      <w:r>
        <w:t xml:space="preserve"> </w:t>
      </w:r>
      <w:r>
        <w:t xml:space="preserve">netlist and SPEF used everywhere else in this work and they call the same ring</w:t>
      </w:r>
      <w:r>
        <w:t xml:space="preserve"> </w:t>
      </w:r>
      <w:r>
        <w:t xml:space="preserve">builder, and the 1.80 V deck is the nominal deck of Section 5.2 under a</w:t>
      </w:r>
      <w:r>
        <w:t xml:space="preserve"> </w:t>
      </w:r>
      <w:r>
        <w:t xml:space="preserve">different title, which the analysis verifies against the archived log before</w:t>
      </w:r>
      <w:r>
        <w:t xml:space="preserve"> </w:t>
      </w:r>
      <w:r>
        <w:t xml:space="preserve">reporting anything.</w:t>
      </w:r>
    </w:p>
    <w:p>
      <w:pPr>
        <w:pStyle w:val="BodyText"/>
      </w:pPr>
      <w:r>
        <w:t xml:space="preserve">Supply comes first. Between 1.62 and 1.98 V the fitted pushing figure is 105.9</w:t>
      </w:r>
      <w:r>
        <w:t xml:space="preserve"> </w:t>
      </w:r>
      <w:r>
        <w:t xml:space="preserve">percent per volt, so a ten millivolt change moves a ring by about one percent,</w:t>
      </w:r>
      <w:r>
        <w:t xml:space="preserve"> </w:t>
      </w:r>
      <w:r>
        <w:t xml:space="preserve">seventeen times the mismatch scale. A response bit is the sign of a difference</w:t>
      </w:r>
      <w:r>
        <w:t xml:space="preserve"> </w:t>
      </w:r>
      <w:r>
        <w:t xml:space="preserve">between two rings sharing one supply, so only the part of the shift that is not</w:t>
      </w:r>
      <w:r>
        <w:t xml:space="preserve"> </w:t>
      </w:r>
      <w:r>
        <w:t xml:space="preserve">common can affect it. The sixteen pushing figures span 105.57 to 106.17 percent</w:t>
      </w:r>
      <w:r>
        <w:t xml:space="preserve"> </w:t>
      </w:r>
      <w:r>
        <w:t xml:space="preserve">per volt. After removing a single common scaling at each point, the rings depart</w:t>
      </w:r>
      <w:r>
        <w:t xml:space="preserve"> </w:t>
      </w:r>
      <w:r>
        <w:t xml:space="preserve">from one another by 0.027 percent standard deviation at 1.62 V and 0.034 percent</w:t>
      </w:r>
      <w:r>
        <w:t xml:space="preserve"> </w:t>
      </w:r>
      <w:r>
        <w:t xml:space="preserve">at 1.98 V, with worst-ring departures of 0.048 and 0.063 percent. Ten percent</w:t>
      </w:r>
      <w:r>
        <w:t xml:space="preserve"> </w:t>
      </w:r>
      <w:r>
        <w:t xml:space="preserve">supply excursions therefore leave the differential term below the 0.062 percent</w:t>
      </w:r>
      <w:r>
        <w:t xml:space="preserve"> </w:t>
      </w:r>
      <w:r>
        <w:t xml:space="preserve">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 A ring oscillator with almost no temperature coefficient is a reason to</w:t>
      </w:r>
      <w:r>
        <w:t xml:space="preserve"> </w:t>
      </w:r>
      <w:r>
        <w:t xml:space="preserve">suspect the simulator. Two checks rule that out. Every log states the</w:t>
      </w:r>
      <w:r>
        <w:t xml:space="preserve"> </w:t>
      </w:r>
      <w:r>
        <w:t xml:space="preserve">temperature ngspice used and each matches its deck, and four minimal decks that</w:t>
      </w:r>
      <w:r>
        <w:t xml:space="preserve"> </w:t>
      </w:r>
      <w:r>
        <w:t xml:space="preserve">request 125 C by different mechanisms all read 125 C back through a resistor of</w:t>
      </w:r>
      <w:r>
        <w:t xml:space="preserve"> </w:t>
      </w:r>
      <w:r>
        <w:t xml:space="preserve">known 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 Dispersion is steadier than the mean, moving only</w:t>
      </w:r>
      <w:r>
        <w:t xml:space="preserve"> </w:t>
      </w:r>
      <w:r>
        <w:t xml:space="preserve">from 5.66 to 5.36 percent across the five temperatures, so the routing signature</w:t>
      </w:r>
      <w:r>
        <w:t xml:space="preserve"> </w:t>
      </w:r>
      <w:r>
        <w:t xml:space="preserve">is nearly independent of temperature over the range a bench measurement will</w:t>
      </w:r>
      <w:r>
        <w:t xml:space="preserve"> </w:t>
      </w:r>
      <w:r>
        <w:t xml:space="preserve">see.</w:t>
      </w:r>
    </w:p>
    <w:p>
      <w:pPr>
        <w:pStyle w:val="BodyText"/>
      </w:pPr>
      <w:r>
        <w:t xml:space="preserve">Across all eleven operating points, which include both supply extremes, both</w:t>
      </w:r>
      <w:r>
        <w:t xml:space="preserve"> </w:t>
      </w:r>
      <w:r>
        <w:t xml:space="preserve">temperature extremes and the four combinations of them, the eight Arm A</w:t>
      </w:r>
      <w:r>
        <w:t xml:space="preserve"> </w:t>
      </w:r>
      <w:r>
        <w:t xml:space="preserve">adjacent-pair bits keep their sign. The margin is real but not large. The</w:t>
      </w:r>
      <w:r>
        <w:t xml:space="preserve"> </w:t>
      </w:r>
      <w:r>
        <w:t xml:space="preserve">closest pair is separated by 0.270 percent of the arm mean and the largest</w:t>
      </w:r>
      <w:r>
        <w:t xml:space="preserve"> </w:t>
      </w:r>
      <w:r>
        <w:t xml:space="preserve">ring-to-ring departure in the box is 0.150 percent, a factor of 1.8. This is a</w:t>
      </w:r>
      <w:r>
        <w:t xml:space="preserve"> </w:t>
      </w:r>
      <w:r>
        <w:t xml:space="preserve">statement about one simulated layout at nominal process and not a reliability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Thermal noise is estimated rather than simulated. A separate deck measures dV/dt</w:t>
      </w:r>
      <w:r>
        <w:t xml:space="preserve"> </w:t>
      </w:r>
      <w:r>
        <w:t xml:space="preserve">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 The result is 0.94, 0.78 and 0.78 ps of period jitter.</w:t>
      </w:r>
      <w:r>
        <w:t xml:space="preserve"> </w:t>
      </w:r>
      <w:r>
        <w:t xml:space="preserve">Both inputs are chosen to overstate it, with gamma set to 2 and the capacitance</w:t>
      </w:r>
      <w:r>
        <w:t xml:space="preserve"> </w:t>
      </w:r>
      <w:r>
        <w:t xml:space="preserve">taken as the extracted wire capacitance alone, which is less than the real node</w:t>
      </w:r>
      <w:r>
        <w:t xml:space="preserve"> </w:t>
      </w:r>
      <w:r>
        <w:t xml:space="preserve">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Taking the larger of the two, the resolution floor is</w:t>
      </w:r>
      <w:r>
        <w:t xml:space="preserve"> </w:t>
      </w:r>
      <w:r>
        <w:t xml:space="preserve">0.00130 percent, which sits 48 times below the mismatch scale, 207 times below</w:t>
      </w:r>
      <w:r>
        <w:t xml:space="preserve"> </w:t>
      </w:r>
      <w:r>
        <w:t xml:space="preserve">the closest pair separation and 640 times below the compensation residual.</w:t>
      </w:r>
    </w:p>
    <w:p>
      <w:pPr>
        <w:pStyle w:val="Heading2"/>
      </w:pPr>
      <w:bookmarkStart w:id="36" w:name="matched-macro-arm"/>
      <w:r>
        <w:t xml:space="preserve">6. Matched-macro arm</w:t>
      </w:r>
      <w:bookmarkEnd w:id="36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One</w:t>
      </w:r>
      <w:r>
        <w:t xml:space="preserve"> </w:t>
      </w:r>
      <w:r>
        <w:t xml:space="preserve">nominal post-layout simulation gives 569.5 MHz against a no-parasitic</w:t>
      </w:r>
      <w:r>
        <w:t xml:space="preserve"> </w:t>
      </w:r>
      <w:r>
        <w:t xml:space="preserve">control of 633.15 MHz. The earlier Arm A capacitance fit predicts 570.2 MHz</w:t>
      </w:r>
      <w:r>
        <w:t xml:space="preserve"> </w:t>
      </w:r>
      <w:r>
        <w:t xml:space="preserve">at that load, 0.12% away, a useful cross-check on the model. The macro</w:t>
      </w:r>
      <w:r>
        <w:t xml:space="preserve"> </w:t>
      </w:r>
      <w:r>
        <w:t xml:space="preserve">result also lands within 0.35% of the earlier Arm A mean, so matching did</w:t>
      </w:r>
      <w:r>
        <w:t xml:space="preserve"> </w:t>
      </w:r>
      <w:r>
        <w:t xml:space="preserve">not move the operating point.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MHz, which is what the 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3 and 4 draw Arm B as a single horizontal reference line at</w:t>
      </w:r>
      <w:r>
        <w:t xml:space="preserve"> </w:t>
      </w:r>
      <w:r>
        <w:t xml:space="preserve">569.5 MHz, because the sixteen instances share one internal layout and there</w:t>
      </w:r>
      <w:r>
        <w:t xml:space="preserve"> </w:t>
      </w:r>
      <w:r>
        <w:t xml:space="preserve">is only one extracted simulation behind it. By construction the internal</w:t>
      </w:r>
      <w:r>
        <w:t xml:space="preserve"> </w:t>
      </w:r>
      <w:r>
        <w:t xml:space="preserve">layout contributes zero spread; fabricated Arm B instances will still differ</w:t>
      </w:r>
      <w:r>
        <w:t xml:space="preserve"> </w:t>
      </w:r>
      <w:r>
        <w:t xml:space="preserve">through device mismatch, top-level routing, supply, and temperature. The</w:t>
      </w:r>
      <w:r>
        <w:t xml:space="preserve"> </w:t>
      </w:r>
      <w:r>
        <w:t xml:space="preserve">simulation establishes only the internal-layout contribution under nominal</w:t>
      </w:r>
      <w:r>
        <w:t xml:space="preserve"> </w:t>
      </w:r>
      <w:r>
        <w:t xml:space="preserve">device parameters. 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3. The earlier 32-oscillator array beside the matched-macro reference line at 569.5 MHz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The earlier 32-oscillator array beside the matched-macro reference line at 569.5 MHz.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 of the candidate build (5.53% peak to peak) beside the matched-macro reference line.</w:t>
      </w:r>
    </w:p>
    <w:p>
      <w:pPr>
        <w:pStyle w:val="Heading2"/>
      </w:pPr>
      <w:bookmarkStart w:id="39" w:name="planned-silicon-test"/>
      <w:r>
        <w:t xml:space="preserve">7. Planned silicon test</w:t>
      </w:r>
      <w:bookmarkEnd w:id="39"/>
    </w:p>
    <w:p>
      <w:pPr>
        <w:pStyle w:val="FirstParagraph"/>
      </w:pPr>
      <w:r>
        <w:t xml:space="preserve">Why could a repeatable mask-defined pattern matter to a PUF at all? A layout</w:t>
      </w:r>
      <w:r>
        <w:t xml:space="preserve"> </w:t>
      </w:r>
      <w:r>
        <w:t xml:space="preserve">component shared across dies can reduce uniqueness or make some comparisons</w:t>
      </w:r>
      <w:r>
        <w:t xml:space="preserve"> </w:t>
      </w:r>
      <w:r>
        <w:t xml:space="preserve">predictable, but prior work also shows systematic structure is not</w:t>
      </w:r>
      <w:r>
        <w:t xml:space="preserve"> </w:t>
      </w:r>
      <w:r>
        <w:t xml:space="preserve">automatically exploitable: Wilde, Hiller, and Pehl found adjacent-oscillator</w:t>
      </w:r>
      <w:r>
        <w:t xml:space="preserve"> </w:t>
      </w:r>
      <w:r>
        <w:t xml:space="preserve">comparisons suppressed the spatial structure in their data and their</w:t>
      </w:r>
      <w:r>
        <w:t xml:space="preserve"> </w:t>
      </w:r>
      <w:r>
        <w:t xml:space="preserve">predictor could not beat its baseline [4]. Which way this design falls is a</w:t>
      </w:r>
      <w:r>
        <w:t xml:space="preserve"> </w:t>
      </w:r>
      <w:r>
        <w:t xml:space="preserve">question for fabricated dies, not for the nominal model. A toy population</w:t>
      </w:r>
      <w:r>
        <w:t xml:space="preserve"> </w:t>
      </w:r>
      <w:r>
        <w:t xml:space="preserve">model and a first-order mismatch-scale estimate live in the repository’s</w:t>
      </w:r>
      <w:r>
        <w:t xml:space="preserve"> </w:t>
      </w:r>
      <w:r>
        <w:t xml:space="preserve">supplementary material (</w:t>
      </w:r>
      <w:r>
        <w:rPr>
          <w:rStyle w:val="VerbatimChar"/>
        </w:rPr>
        <w:t xml:space="preserve">sim/montecarlo.py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sim/spice/mc/</w:t>
      </w:r>
      <w:r>
        <w:t xml:space="preserve">); their outputs</w:t>
      </w:r>
      <w:r>
        <w:t xml:space="preserve"> </w:t>
      </w:r>
      <w:r>
        <w:t xml:space="preserve">depend on assumed amplitudes and a sqrt(31) scaling that the PDK’s global</w:t>
      </w:r>
      <w:r>
        <w:t xml:space="preserve"> </w:t>
      </w:r>
      <w:r>
        <w:t xml:space="preserve">mismatch draw does not really support, so no number from them appears here.</w:t>
      </w:r>
    </w:p>
    <w:p>
      <w:pPr>
        <w:pStyle w:val="BodyText"/>
      </w:pPr>
      <w:r>
        <w:t xml:space="preserve">The question for silicon is whether Arm A retains more of its nominal</w:t>
      </w:r>
      <w:r>
        <w:t xml:space="preserve"> </w:t>
      </w:r>
      <w:r>
        <w:t xml:space="preserve">layout pattern across dies than Arm B. The threat model I have in mind is</w:t>
      </w:r>
      <w:r>
        <w:t xml:space="preserve"> </w:t>
      </w:r>
      <w:r>
        <w:t xml:space="preserve">concrete: an attacker knows the public design and mask and holds measurements</w:t>
      </w:r>
      <w:r>
        <w:t xml:space="preserve"> </w:t>
      </w:r>
      <w:r>
        <w:t xml:space="preserve">from other dies of the same design, but none from the target die, and asks</w:t>
      </w:r>
      <w:r>
        <w:t xml:space="preserve"> </w:t>
      </w:r>
      <w:r>
        <w:t xml:space="preserve">whether the shared deterministic layout component lets them predict the target</w:t>
      </w:r>
      <w:r>
        <w:t xml:space="preserve"> </w:t>
      </w:r>
      <w:r>
        <w:t xml:space="preserve">die’s pair ordering above the relevant per-bit baseline. Predictor accuracy is</w:t>
      </w:r>
      <w:r>
        <w:t xml:space="preserve"> </w:t>
      </w:r>
      <w:r>
        <w:t xml:space="preserve">then judged against that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40" w:name="limitations"/>
      <w:r>
        <w:t xml:space="preserve">8. Limitations</w:t>
      </w:r>
      <w:bookmarkEnd w:id="40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not, and the Arm B macro has not been re-extracted</w:t>
      </w:r>
      <w:r>
        <w:t xml:space="preserve"> </w:t>
      </w:r>
      <w:r>
        <w:t xml:space="preserve">that way.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characterized. The corner simulations in</w:t>
      </w:r>
      <w:r>
        <w:t xml:space="preserve"> </w:t>
      </w:r>
      <w:r>
        <w:t xml:space="preserve">Section 5.4 bound the frequency range and the counter margin, and Section 5.6</w:t>
      </w:r>
      <w:r>
        <w:t xml:space="preserve"> </w:t>
      </w:r>
      <w:r>
        <w:t xml:space="preserve">measures how the arm responds to supply and temperature and where the resolution</w:t>
      </w:r>
      <w:r>
        <w:t xml:space="preserve"> </w:t>
      </w:r>
      <w:r>
        <w:t xml:space="preserve">floor of a single reading sits. Its supply points are static offsets rather than</w:t>
      </w:r>
      <w:r>
        <w:t xml:space="preserve"> </w:t>
      </w:r>
      <w:r>
        <w:t xml:space="preserve">a ripple that varies during a reading and reaches different oscillators at</w:t>
      </w:r>
      <w:r>
        <w:t xml:space="preserve"> </w:t>
      </w:r>
      <w:r>
        <w:t xml:space="preserve">different phases, and its thermal-noise figure is a first-order estimate from</w:t>
      </w:r>
      <w:r>
        <w:t xml:space="preserve"> </w:t>
      </w:r>
      <w:r>
        <w:t xml:space="preserve">node slopes and capacitances rather than a transient noise simulation. Ageing,</w:t>
      </w:r>
      <w:r>
        <w:t xml:space="preserve"> </w:t>
      </w:r>
      <w:r>
        <w:t xml:space="preserve">package effects and the measurement instrument itself remain unknown until chips</w:t>
      </w:r>
      <w:r>
        <w:t xml:space="preserve"> </w:t>
      </w:r>
      <w:r>
        <w:t xml:space="preserve">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The boundary behaviour of the oscillator-clocked ripple</w:t>
      </w:r>
      <w:r>
        <w:t xml:space="preserve"> </w:t>
      </w:r>
      <w:r>
        <w:t xml:space="preserve">counter is checked at both nominal and the fast corner, which is where the shorter</w:t>
      </w:r>
      <w:r>
        <w:t xml:space="preserve"> </w:t>
      </w:r>
      <w:r>
        <w:t xml:space="preserve">period makes it hardest, though the selector path feeding it has not yet been</w:t>
      </w:r>
      <w:r>
        <w:t xml:space="preserve"> </w:t>
      </w:r>
      <w:r>
        <w:t xml:space="preserve">validated as a whole chain at 888 MHz. None of this erases the modelled</w:t>
      </w:r>
      <w:r>
        <w:t xml:space="preserve"> </w:t>
      </w:r>
      <w:r>
        <w:t xml:space="preserve">dispersion; it bounds what can be concluded from it.</w:t>
      </w:r>
    </w:p>
    <w:p>
      <w:pPr>
        <w:pStyle w:val="Heading2"/>
      </w:pPr>
      <w:bookmarkStart w:id="41" w:name="conclusion"/>
      <w:r>
        <w:t xml:space="preserve">9. Conclusion</w:t>
      </w:r>
      <w:bookmarkEnd w:id="41"/>
    </w:p>
    <w:p>
      <w:pPr>
        <w:pStyle w:val="FirstParagraph"/>
      </w:pPr>
      <w:r>
        <w:t xml:space="preserve">Under a reduced lumped-capacitance model of the verified post-route topology,</w:t>
      </w:r>
      <w:r>
        <w:t xml:space="preserve"> </w:t>
      </w:r>
      <w:r>
        <w:t xml:space="preserve">the automated flow gave the 16 oscillators of the candidate build a 5.53%</w:t>
      </w:r>
      <w:r>
        <w:t xml:space="preserve"> </w:t>
      </w:r>
      <w:r>
        <w:t xml:space="preserve">peak-to-peak nominal frequency dispersion (population SD 1.65%, mean</w:t>
      </w:r>
      <w:r>
        <w:t xml:space="preserve"> </w:t>
      </w:r>
      <w:r>
        <w:t xml:space="preserve">554.7 MHz). Nine builds that differ only in placement density put that figure</w:t>
      </w:r>
      <w:r>
        <w:t xml:space="preserve"> </w:t>
      </w:r>
      <w:r>
        <w:t xml:space="preserve">in context: median 5.75%, range 4.19% to 6.99%. Any single build reports one</w:t>
      </w:r>
      <w:r>
        <w:t xml:space="preserve"> </w:t>
      </w:r>
      <w:r>
        <w:t xml:space="preserve">draw of the router, which is why I no longer quote one of them on its own.</w:t>
      </w:r>
      <w:r>
        <w:t xml:space="preserve"> </w:t>
      </w:r>
      <w:r>
        <w:t xml:space="preserve">What repeats is the mechanism. Every build shows frequency tracking extracted</w:t>
      </w:r>
      <w:r>
        <w:t xml:space="preserve"> </w:t>
      </w:r>
      <w:r>
        <w:t xml:space="preserve">ring capacitance at about -0.999, the fitted slope stays near -4.94 MHz/fF</w:t>
      </w:r>
      <w:r>
        <w:t xml:space="preserve"> </w:t>
      </w:r>
      <w:r>
        <w:t xml:space="preserve">across independent layouts, and a fit trained on one build predicts another’s</w:t>
      </w:r>
      <w:r>
        <w:t xml:space="preserve"> </w:t>
      </w:r>
      <w:r>
        <w:t xml:space="preserve">individual frequencies to roughly 0.1%. A hardened macro provides a 569.5 MHz</w:t>
      </w:r>
      <w:r>
        <w:t xml:space="preserve"> </w:t>
      </w:r>
      <w:r>
        <w:t xml:space="preserve">shared-internal-layout reference for Arm B, ahead of the Arm A mean though not</w:t>
      </w:r>
      <w:r>
        <w:t xml:space="preserve"> </w:t>
      </w:r>
      <w:r>
        <w:t xml:space="preserve">of every Arm A instance. The finding is that the flow assigns materially</w:t>
      </w:r>
      <w:r>
        <w:t xml:space="preserve"> </w:t>
      </w:r>
      <w:r>
        <w:t xml:space="preserve">different routing capacitance to logically identical oscillators, and that</w:t>
      </w:r>
      <w:r>
        <w:t xml:space="preserve"> </w:t>
      </w:r>
      <w:r>
        <w:t xml:space="preserve">under nominal device assumptions this converts into a dispersion of several</w:t>
      </w:r>
      <w:r>
        <w:t xml:space="preserve"> </w:t>
      </w:r>
      <w:r>
        <w:t xml:space="preserve">percent through a relationship that holds from one routing run to the next.</w:t>
      </w:r>
    </w:p>
    <w:p>
      <w:pPr>
        <w:pStyle w:val="BodyText"/>
      </w:pPr>
      <w:r>
        <w:t xml:space="preserve">Uniqueness, reliability, min-entropy, and attack success are not evaluated</w:t>
      </w:r>
      <w:r>
        <w:t xml:space="preserve"> </w:t>
      </w:r>
      <w:r>
        <w:t xml:space="preserve">pre-silicon. Whether the mask-defined pattern survives fabrication, and how</w:t>
      </w:r>
      <w:r>
        <w:t xml:space="preserve"> </w:t>
      </w:r>
      <w:r>
        <w:t xml:space="preserve">it compares against real device mismatch, will be settled by measuring both</w:t>
      </w:r>
      <w:r>
        <w:t xml:space="preserve"> </w:t>
      </w:r>
      <w:r>
        <w:t xml:space="preserve">arms of the fabricated chips under the protocol in the firmware.</w:t>
      </w:r>
    </w:p>
    <w:p>
      <w:pPr>
        <w:pStyle w:val="Heading2"/>
      </w:pPr>
      <w:bookmarkStart w:id="42" w:name="references"/>
      <w:r>
        <w:t xml:space="preserve">References</w:t>
      </w:r>
      <w:bookmarkEnd w:id="42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Rozic,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Proceedings of the IEEE International Symposium on Circuits</w:t>
      </w:r>
      <w:r>
        <w:rPr>
          <w:i/>
        </w:rPr>
        <w:t xml:space="preserve"> </w:t>
      </w:r>
      <w:r>
        <w:rPr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/>
        </w:rPr>
        <w:t xml:space="preserve">2009 IEEE International Workshop on Hardware-Oriented Security and Trust</w:t>
      </w:r>
      <w:r>
        <w:rPr>
          <w:i/>
        </w:rPr>
        <w:t xml:space="preserve"> </w:t>
      </w:r>
      <w:r>
        <w:rPr>
          <w:i/>
        </w:rPr>
        <w:t xml:space="preserve">(HOST)</w:t>
      </w:r>
      <w:r>
        <w:t xml:space="preserve">, pp. 36-42, 2009. https://doi.org/10.1109/HST.2009.5225055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2026-07-29T14:27:24Z</dcterms:created>
  <dcterms:modified xsi:type="dcterms:W3CDTF">2026-07-29T14:27:24Z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