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1.png" ContentType="image/png"/>
  <Override PartName="/word/media/rId42.png" ContentType="image/png"/>
  <Override PartName="/word/media/rId39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The</w:t>
      </w:r>
      <w:r>
        <w:t xml:space="preserve"> </w:t>
      </w:r>
      <w:r>
        <w:t xml:space="preserve">comparison arm places 16 copies of one hardened macro, which sets the routing</w:t>
      </w:r>
      <w:r>
        <w:t xml:space="preserve"> </w:t>
      </w:r>
      <w:r>
        <w:t xml:space="preserve">offset of every pair to zero by construction and hands all 8 bits back to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to</w:t>
      </w:r>
      <w:r>
        <w:t xml:space="preserve"> </w:t>
      </w:r>
      <w:r>
        <w:t xml:space="preserve">zero by construction,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 measured</w:t>
      </w:r>
      <w:r>
        <w:t xml:space="preserve"> </w:t>
      </w:r>
      <w:r>
        <w:t xml:space="preserve">38 identical Altera devices and traced the frequency biases they found to</w:t>
      </w:r>
      <w:r>
        <w:t xml:space="preserve"> </w:t>
      </w:r>
      <w:r>
        <w:t xml:space="preserve">internal LUT routing, oscillator location, and payload activity rather than to</w:t>
      </w:r>
      <w:r>
        <w:t xml:space="preserve"> </w:t>
      </w:r>
      <w:r>
        <w:t xml:space="preserve">anything device-specific [19]. That is the same phenomenon this paper reports,</w:t>
      </w:r>
      <w:r>
        <w:t xml:space="preserve"> </w:t>
      </w:r>
      <w:r>
        <w:t xml:space="preserve">one substrate over: the implementation, not the silicon, decides a large part of</w:t>
      </w:r>
      <w:r>
        <w:t xml:space="preserve"> </w:t>
      </w:r>
      <w:r>
        <w:t xml:space="preserve">the ordering. Two things separate the work below from it. Feiten et al. reach</w:t>
      </w:r>
      <w:r>
        <w:t xml:space="preserve"> </w:t>
      </w:r>
      <w:r>
        <w:t xml:space="preserve">the conclusion from a population of fabricated parts, where the bias has to be</w:t>
      </w:r>
      <w:r>
        <w:t xml:space="preserve"> </w:t>
      </w:r>
      <w:r>
        <w:t xml:space="preserve">inferred from measurements; on an open ASIC flow the same quantity is readable</w:t>
      </w:r>
      <w:r>
        <w:t xml:space="preserve"> </w:t>
      </w:r>
      <w:r>
        <w:t xml:space="preserve">from the design database before any part exists. And an FPGA’s routing is fixed</w:t>
      </w:r>
      <w:r>
        <w:t xml:space="preserve"> </w:t>
      </w:r>
      <w:r>
        <w:t xml:space="preserve">by a vendor fabric the designer does not control, whereas here the flow produces</w:t>
      </w:r>
      <w:r>
        <w:t xml:space="preserve"> </w:t>
      </w:r>
      <w:r>
        <w:t xml:space="preserve">a different layout on every run, which is what makes the nine-build sweep of</w:t>
      </w:r>
      <w:r>
        <w:t xml:space="preserve"> </w:t>
      </w:r>
      <w:r>
        <w:t xml:space="preserve">Section 5.3 and the matched-macro arm 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6).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BodyText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 Asha and colleagues remove systematic components with principal</w:t>
      </w:r>
      <w:r>
        <w:t xml:space="preserve"> </w:t>
      </w:r>
      <w:r>
        <w:t xml:space="preserve">component analysis rather than an explicit spatial surface [6], which does not</w:t>
      </w:r>
      <w:r>
        <w:t xml:space="preserve"> </w:t>
      </w:r>
      <w:r>
        <w:t xml:space="preserve">assume the bias is a smooth function of position, and Wang and colleagues take</w:t>
      </w:r>
      <w:r>
        <w:t xml:space="preserve"> </w:t>
      </w:r>
      <w:r>
        <w:t xml:space="preserve">the constructive route and design a PUF meant to be agnostic to implementation</w:t>
      </w:r>
      <w:r>
        <w:t xml:space="preserve"> </w:t>
      </w:r>
      <w:r>
        <w:t xml:space="preserve">bias 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 The matched-macro arm is this paper’s</w:t>
      </w:r>
      <w:r>
        <w:t xml:space="preserve"> </w:t>
      </w:r>
      <w:r>
        <w:t xml:space="preserve">version of the second answer, arrived at 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2"/>
      </w:pPr>
      <w:bookmarkStart w:id="38" w:name="X54baadc05f82e88550dfa21181b0dc243d0d400"/>
      <w:r>
        <w:t xml:space="preserve">7. How many response bits the design files decide</w:t>
      </w:r>
      <w:bookmarkEnd w:id="38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needs no arithmetic. Sixteen instances of one macro share their internal</w:t>
      </w:r>
      <w:r>
        <w:t xml:space="preserve"> </w:t>
      </w:r>
      <w:r>
        <w:t xml:space="preserve">routing, so every pair’s routing offset is zero, every bit is decided by</w:t>
      </w:r>
      <w:r>
        <w:t xml:space="preserve"> </w:t>
      </w:r>
      <w:r>
        <w:t xml:space="preserve">mismatch alone, and the design files predict none of them. That is 8.00 bits</w:t>
      </w:r>
      <w:r>
        <w:t xml:space="preserve"> </w:t>
      </w:r>
      <w:r>
        <w:t xml:space="preserve">against Arm A’s 0.46, from the same source through the same flow on the same</w:t>
      </w:r>
      <w:r>
        <w:t xml:space="preserve"> </w:t>
      </w:r>
      <w:r>
        <w:t xml:space="preserve">die.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2"/>
      </w:pPr>
      <w:bookmarkStart w:id="40" w:name="matched-macro-arm"/>
      <w:r>
        <w:t xml:space="preserve">8. Matched-macro arm</w:t>
      </w:r>
      <w:bookmarkEnd w:id="40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 question,</w:t>
      </w:r>
      <w:r>
        <w:t xml:space="preserve"> </w:t>
      </w:r>
      <w:r>
        <w:t xml:space="preserve">so this section names all three rather than picking one and leaving the others</w:t>
      </w:r>
      <w:r>
        <w:t xml:space="preserve"> </w:t>
      </w:r>
      <w:r>
        <w:t xml:space="preserve">to look like errors. 569.5 MHz is the lumped model as originally generated.</w:t>
      </w:r>
      <w:r>
        <w:t xml:space="preserve"> </w:t>
      </w:r>
      <w:r>
        <w:t xml:space="preserve">570.62 MHz is the same lumped model rebuilt for the Section 5.5 comparison; it</w:t>
      </w:r>
      <w:r>
        <w:t xml:space="preserve"> </w:t>
      </w:r>
      <w:r>
        <w:t xml:space="preserve">reproduces the independent ideal-supply figure to seven significant figures, and</w:t>
      </w:r>
      <w:r>
        <w:t xml:space="preserve"> </w:t>
      </w:r>
      <w:r>
        <w:t xml:space="preserve">the 1.1 MHz between the two rebuilds is timestep rather than physics. 566.05 MHz</w:t>
      </w:r>
      <w:r>
        <w:t xml:space="preserve"> </w:t>
      </w:r>
      <w:r>
        <w:t xml:space="preserve">is the full RC network of Section 5.5.</w:t>
      </w:r>
      <w:r>
        <w:t xml:space="preserve"> </w:t>
      </w:r>
      <w:r>
        <w:rPr>
          <w:b/>
        </w:rPr>
        <w:t xml:space="preserve">The distributed figure is the one to</w:t>
      </w:r>
      <w:r>
        <w:rPr>
          <w:b/>
        </w:rPr>
        <w:t xml:space="preserve"> </w:t>
      </w:r>
      <w:r>
        <w:rPr>
          <w:b/>
        </w:rPr>
        <w:t xml:space="preserve">carry forward</w:t>
      </w:r>
      <w:r>
        <w:t xml:space="preserve">, and it is what Section 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5 and 6 draw Arm B as a single horizontal reference line at</w:t>
      </w:r>
      <w:r>
        <w:t xml:space="preserve"> </w:t>
      </w:r>
      <w:r>
        <w:t xml:space="preserve">569.5 MHz, because the sixteen instances share one internal layout. That line</w:t>
      </w:r>
      <w:r>
        <w:t xml:space="preserve"> </w:t>
      </w:r>
      <w:r>
        <w:t xml:space="preserve">is no longer the only evidence behind it. All sixteen instances have since been</w:t>
      </w:r>
      <w:r>
        <w:t xml:space="preserve"> </w:t>
      </w:r>
      <w:r>
        <w:t xml:space="preserve">extracted separately, each carrying the enable and output route it actually</w:t>
      </w:r>
      <w:r>
        <w:t xml:space="preserve"> </w:t>
      </w:r>
      <w:r>
        <w:t xml:space="preserve">has at the top level, and simulated at all three corners. They spread 0.0025%</w:t>
      </w:r>
      <w:r>
        <w:t xml:space="preserve"> </w:t>
      </w:r>
      <w:r>
        <w:t xml:space="preserve">peak to peak at tt, 0.0001% at ss and 0.0009% at ff, which is 0.57, 0.02 and</w:t>
      </w:r>
      <w:r>
        <w:t xml:space="preserve"> </w:t>
      </w:r>
      <w:r>
        <w:t xml:space="preserve">0.30 of a single counter count and between three and four orders of magnitude</w:t>
      </w:r>
      <w:r>
        <w:t xml:space="preserve"> </w:t>
      </w:r>
      <w:r>
        <w:t xml:space="preserve">under Arm A at the same corner. The chip cannot resolve the difference between</w:t>
      </w:r>
      <w:r>
        <w:t xml:space="preserve"> </w:t>
      </w:r>
      <w:r>
        <w:t xml:space="preserve">them even in principle. Read the ss digits as an upper bound rather than a</w:t>
      </w:r>
      <w:r>
        <w:t xml:space="preserve"> </w:t>
      </w:r>
      <w:r>
        <w:t xml:space="preserve">measurement: at that corner the spread is 1.3e-6 of the mean and the log’s two</w:t>
      </w:r>
      <w:r>
        <w:t xml:space="preserve"> </w:t>
      </w:r>
      <w:r>
        <w:t xml:space="preserve">definitions of frequency disagree at 1.6e-7, so the third significant figure</w:t>
      </w:r>
      <w:r>
        <w:t xml:space="preserve"> </w:t>
      </w:r>
      <w:r>
        <w:t xml:space="preserve">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The earlier 32-oscillator array beside the matched-macro reference line at 569.5 MHz, both under the lumped-capacitance model. The macro’s distributed-RC figure is 566.05 MHz; see Section 5.5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Arm A of the candidate build (5.53% peak to peak) beside the matched-macro reference line.</w:t>
      </w:r>
    </w:p>
    <w:p>
      <w:pPr>
        <w:pStyle w:val="Heading2"/>
      </w:pPr>
      <w:bookmarkStart w:id="43" w:name="planned-silicon-test"/>
      <w:r>
        <w:t xml:space="preserve">9. Planned silicon test</w:t>
      </w:r>
      <w:bookmarkEnd w:id="43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4" w:name="limitations"/>
      <w:r>
        <w:t xml:space="preserve">10. Limitations</w:t>
      </w:r>
      <w:bookmarkEnd w:id="44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not. The Arm B macro has since been re-extracted</w:t>
      </w:r>
      <w:r>
        <w:t xml:space="preserve"> </w:t>
      </w:r>
      <w:r>
        <w:t xml:space="preserve">the same way and shifts 0.801% to 566.05 MHz, so both arms are now quoted from</w:t>
      </w:r>
      <w:r>
        <w:t xml:space="preserve"> </w:t>
      </w:r>
      <w:r>
        <w:t xml:space="preserve">the same parasitic model rather than one from each.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Section 5.4 reports Arm A alone and says so, so its</w:t>
      </w:r>
      <w:r>
        <w:t xml:space="preserve"> </w:t>
      </w:r>
      <w:r>
        <w:t xml:space="preserve">absolute frequency ranges are not chip-wide numbers. Arm B is covered at the</w:t>
      </w:r>
      <w:r>
        <w:t xml:space="preserve"> </w:t>
      </w:r>
      <w:r>
        <w:t xml:space="preserve">same three corners by a separate run rather than left at nominal: all sixteen</w:t>
      </w:r>
      <w:r>
        <w:t xml:space="preserve"> </w:t>
      </w:r>
      <w:r>
        <w:t xml:space="preserve">instances start at ss, tt and ff carrying the top-level routes they actually</w:t>
      </w:r>
      <w:r>
        <w:t xml:space="preserve"> </w:t>
      </w:r>
      <w:r>
        <w:t xml:space="preserve">have, and spread 0.0001%, 0.0025% and 0.0009% peak to peak against Arm A’s</w:t>
      </w:r>
      <w:r>
        <w:t xml:space="preserve"> </w:t>
      </w:r>
      <w:r>
        <w:t xml:space="preserve">5.46%, 5.53% and 5.56% at the same corners. That is the comparison this chip</w:t>
      </w:r>
      <w:r>
        <w:t xml:space="preserve"> </w:t>
      </w:r>
      <w:r>
        <w:t xml:space="preserve">exists to test, and at this stage it is still a comparison between two models</w:t>
      </w:r>
      <w:r>
        <w:t xml:space="preserve"> </w:t>
      </w:r>
      <w:r>
        <w:t xml:space="preserve">and not between two measurements.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45" w:name="conclusion"/>
      <w:r>
        <w:t xml:space="preserve">11. Conclusion</w:t>
      </w:r>
      <w:bookmarkEnd w:id="45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The same die carries the mitigation. Sixteen instances of one hardened macro</w:t>
      </w:r>
      <w:r>
        <w:t xml:space="preserve"> </w:t>
      </w:r>
      <w:r>
        <w:t xml:space="preserve">share their internal routing, which sets every pair’s routing offset to zero and</w:t>
      </w:r>
      <w:r>
        <w:t xml:space="preserve"> </w:t>
      </w:r>
      <w:r>
        <w:t xml:space="preserve">gives all 8 bits back to mismatch. It is not free: the matched arm has</w:t>
      </w:r>
      <w:r>
        <w:t xml:space="preserve"> </w:t>
      </w:r>
      <w:r>
        <w:t xml:space="preserve">integration asymmetries of its own. Those asymmetries have now been simulated</w:t>
      </w:r>
      <w:r>
        <w:t xml:space="preserve"> </w:t>
      </w:r>
      <w:r>
        <w:t xml:space="preserve">rather than assumed. All sixteen instances were extracted with their real</w:t>
      </w:r>
      <w:r>
        <w:t xml:space="preserve"> </w:t>
      </w:r>
      <w:r>
        <w:t xml:space="preserve">top-level routes and run at three corners, and they spread at most 0.0025% peak</w:t>
      </w:r>
      <w:r>
        <w:t xml:space="preserve"> </w:t>
      </w:r>
      <w:r>
        <w:t xml:space="preserve">to peak, which is 0.57 of one counter count. The integration term is real and it</w:t>
      </w:r>
      <w:r>
        <w:t xml:space="preserve"> </w:t>
      </w:r>
      <w:r>
        <w:t xml:space="preserve">is far below what the chip can read.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46" w:name="references"/>
      <w:r>
        <w:t xml:space="preserve">References</w:t>
      </w:r>
      <w:bookmarkEnd w:id="46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 Feiten, J. Oesterle, T. Martin, M. Sauer, and B. Becker,</w:t>
      </w:r>
      <w:r>
        <w:t xml:space="preserve"> </w:t>
      </w:r>
      <w:r>
        <w:t xml:space="preserve">“</w:t>
      </w:r>
      <w:r>
        <w:t xml:space="preserve">Systemic</w:t>
      </w:r>
      <w:r>
        <w:t xml:space="preserve"> </w:t>
      </w:r>
      <w:r>
        <w:t xml:space="preserve">Frequency Biases in Ring Oscillator PUFs on FPGAs,</w:t>
      </w:r>
      <w:r>
        <w:t xml:space="preserve">”</w:t>
      </w:r>
      <w:r>
        <w:t xml:space="preserve"> </w:t>
      </w:r>
      <w:r>
        <w:rPr>
          <w:i/>
        </w:rPr>
        <w:t xml:space="preserve">IEEE Transactions on</w:t>
      </w:r>
      <w:r>
        <w:rPr>
          <w:i/>
        </w:rPr>
        <w:t xml:space="preserve"> </w:t>
      </w:r>
      <w:r>
        <w:rPr>
          <w:i/>
        </w:rPr>
        <w:t xml:space="preserve">Multi-Scale 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2026-08-11T14:34:22Z</dcterms:created>
  <dcterms:modified xsi:type="dcterms:W3CDTF">2026-08-11T14:34:22Z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