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MEDIA CHAIN CROSSLINK – INFORMATION GAP MAPPING</w:t>
      </w:r>
    </w:p>
    <w:p>
      <w:r>
        <w:t>This document traces patterns of suppressed or synchronized media silence around corruption events.</w:t>
      </w:r>
    </w:p>
    <w:p>
      <w:pPr>
        <w:pStyle w:val="Heading1"/>
      </w:pPr>
      <w:r>
        <w:t>📰 Known Filtered Topics:</w:t>
      </w:r>
    </w:p>
    <w:p>
      <w:r>
        <w:br/>
        <w:t xml:space="preserve">- Gold mining contract renewal  </w:t>
        <w:br/>
        <w:t xml:space="preserve">- Public protests over land usage  </w:t>
        <w:br/>
        <w:t xml:space="preserve">- EU funds discrepancy reports  </w:t>
        <w:br/>
        <w:t>- Questions raised in parliament with no follow-up</w:t>
        <w:br/>
      </w:r>
    </w:p>
    <w:p>
      <w:pPr>
        <w:pStyle w:val="Heading1"/>
      </w:pPr>
      <w:r>
        <w:t>📉 Pattern Detected:</w:t>
      </w:r>
    </w:p>
    <w:p>
      <w:r>
        <w:t>Media blackout or deflection appears 12–24 hours after contract activity is logged publicly.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