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B32" w14:textId="4A79AC10" w:rsidR="00AE6493" w:rsidRDefault="00AE6493">
      <w:pPr>
        <w:keepNext/>
        <w:keepLines/>
        <w:spacing w:before="240"/>
        <w:jc w:val="center"/>
      </w:pPr>
    </w:p>
    <w:p w14:paraId="2117F027" w14:textId="77777777" w:rsidR="00AE6493" w:rsidRDefault="0018643B">
      <w:pPr>
        <w:pStyle w:val="Title"/>
        <w:jc w:val="center"/>
      </w:pPr>
      <w:r>
        <w:t>Evidence-grounded RAG sistem za analizu bankarskih 10-K izveštaja</w:t>
      </w:r>
    </w:p>
    <w:p w14:paraId="2E64CA7B" w14:textId="5278FF7A" w:rsidR="00AE6493" w:rsidRDefault="00E5456F">
      <w:pPr>
        <w:pStyle w:val="Subtitle"/>
        <w:jc w:val="center"/>
      </w:pPr>
      <w:r>
        <w:t>BankScope</w:t>
      </w:r>
    </w:p>
    <w:p w14:paraId="6BB8A101" w14:textId="77777777" w:rsidR="00AE6493" w:rsidRDefault="0018643B">
      <w:pPr>
        <w:spacing w:before="520"/>
        <w:jc w:val="center"/>
      </w:pPr>
      <w:r>
        <w:rPr>
          <w:b/>
          <w:sz w:val="26"/>
        </w:rPr>
        <w:t>Nikola Bakić</w:t>
      </w:r>
    </w:p>
    <w:p w14:paraId="7154FE11" w14:textId="3C5BDF1F" w:rsidR="00AE6493" w:rsidRDefault="0018643B" w:rsidP="00D40902">
      <w:pPr>
        <w:jc w:val="center"/>
      </w:pPr>
      <w:r>
        <w:t>31. avgust 2026.</w:t>
      </w:r>
    </w:p>
    <w:p w14:paraId="64A3D287" w14:textId="0574AF4C" w:rsidR="00AE6493" w:rsidRDefault="0018643B">
      <w:pPr>
        <w:pStyle w:val="Heading1"/>
      </w:pPr>
      <w:bookmarkStart w:id="0" w:name="_Toc239083265"/>
      <w:bookmarkStart w:id="1" w:name="_Toc239416269"/>
      <w:r>
        <w:t>Sažetak</w:t>
      </w:r>
      <w:bookmarkEnd w:id="0"/>
      <w:bookmarkEnd w:id="1"/>
    </w:p>
    <w:p w14:paraId="7BD064B9" w14:textId="7C9F2BB1" w:rsidR="00AE6493" w:rsidRDefault="0018643B">
      <w:r>
        <w:t xml:space="preserve">BankScope je lokalni, single-user sistem za istraživanje godišnjih Form 10-K izveštaja deset američkih banaka. Njegov cilj </w:t>
      </w:r>
      <w:r w:rsidR="00485BDA">
        <w:t xml:space="preserve">je </w:t>
      </w:r>
      <w:r>
        <w:t>da svaku bankarsku tvrdnju veže za dokument koji korisnik može da otvori i proveri. Sistem zato tretira akviziciju, strukturu tabele, identitet izvora, retrieval i validaciju odgovora kao jedan povezan</w:t>
      </w:r>
      <w:r w:rsidR="00485BDA">
        <w:t>i</w:t>
      </w:r>
      <w:r>
        <w:t xml:space="preserve"> lanac.</w:t>
      </w:r>
    </w:p>
    <w:p w14:paraId="04B50BB1" w14:textId="156C94AC" w:rsidR="00AE6493" w:rsidRDefault="00485BDA">
      <w:r>
        <w:t>P</w:t>
      </w:r>
      <w:r w:rsidR="0018643B">
        <w:t>ipeline validira kompletnost primary SEC dokumenta, parsira ga pomoću sec2md 0.1.23, deli narativ u ograničene preklapajuće celine</w:t>
      </w:r>
      <w:r>
        <w:t xml:space="preserve"> (chunkove)</w:t>
      </w:r>
      <w:r w:rsidR="0018643B">
        <w:t xml:space="preserve"> i čuva svaku parser-emitted tabelu kao kompletan kanonski dokaz. Za pretragu se koristi kompaktan opis tabele, dok se pogodak pre generacije hidrira nazad u izvornu tabelu. Dense signal dolazi iz Qwen3-Embedding-0.6B vektora u lokalnom Qdrant indeksu, leksički signal iz BM25S-a, a rangovi se spajaju Reciprocal Rank Fusion metodom. Pitanja koja porede više banaka razlažu se na bank-owned podupite, pretražuju i validiraju nezavisno, pa tek zatim sintetišu.</w:t>
      </w:r>
    </w:p>
    <w:p w14:paraId="308E29CB" w14:textId="1BE146B6" w:rsidR="00AE6493" w:rsidRDefault="0018643B">
      <w:r>
        <w:t xml:space="preserve">Na frozen skupu od 32 answerable pitanja prihvaćeni mixed-hybrid retrieval postiže Hit@5 od 31/32, Hit@10 od 32/32 i MRR@10 od 0,63854. </w:t>
      </w:r>
      <w:r w:rsidR="00861726">
        <w:t>R</w:t>
      </w:r>
      <w:r>
        <w:t>epozitorijum dodatno prolazi 480 backend i 42 frontend testa, ESLint i produkcioni build. Pored formalnih skupova pitanja i metričkih gate-ova, rezultati su provereni sistematskom ručnom analizom odgovora, citata, kanonskih izvora, failure mode-ova i ključnih korisničkih tokova.</w:t>
      </w:r>
    </w:p>
    <w:p w14:paraId="58E615D4" w14:textId="1AB945D1" w:rsidR="00AE6493" w:rsidRDefault="0018643B" w:rsidP="00D40902">
      <w:pPr>
        <w:spacing w:after="0"/>
      </w:pPr>
      <w:r>
        <w:t>Projekat demonstrira da pouzdan RAG nastaje iz discipline čitavog sistema: validnih izvora, stabilnih identiteta, komplementarnog retrieval-a, fail-closed ugovora i merljivih acceptance gate-ova.</w:t>
      </w:r>
    </w:p>
    <w:p w14:paraId="6BA940C4" w14:textId="77777777" w:rsidR="00D44209" w:rsidRDefault="00D44209"/>
    <w:p w14:paraId="1EFC3F27" w14:textId="77777777" w:rsidR="00D44209" w:rsidRDefault="00D44209"/>
    <w:p w14:paraId="41034264" w14:textId="77777777" w:rsidR="00D44209" w:rsidRDefault="00D44209"/>
    <w:p w14:paraId="7E6AF9C9" w14:textId="77777777" w:rsidR="00D44209" w:rsidRDefault="00D44209"/>
    <w:p w14:paraId="62490A98" w14:textId="77777777" w:rsidR="00D44209" w:rsidRDefault="00D44209"/>
    <w:p w14:paraId="515BE8B2" w14:textId="77777777" w:rsidR="00D44209" w:rsidRDefault="00D44209"/>
    <w:p w14:paraId="2927642B" w14:textId="77777777" w:rsidR="00D44209" w:rsidRDefault="00D44209"/>
    <w:p w14:paraId="4B249028" w14:textId="77777777" w:rsidR="00D44209" w:rsidRDefault="00D44209"/>
    <w:p w14:paraId="2B5072F4" w14:textId="77777777" w:rsidR="00D44209" w:rsidRDefault="00D44209"/>
    <w:p w14:paraId="42201286" w14:textId="77777777" w:rsidR="00D44209" w:rsidRDefault="00D44209"/>
    <w:p w14:paraId="10D919B3" w14:textId="7F34D42E" w:rsidR="00AE6493" w:rsidRDefault="00D44209" w:rsidP="00D44209">
      <w:pPr>
        <w:pStyle w:val="Heading1"/>
        <w:pageBreakBefore/>
      </w:pPr>
      <w:bookmarkStart w:id="2" w:name="_Toc239416271"/>
      <w:r>
        <w:lastRenderedPageBreak/>
        <w:t>1. Uvod</w:t>
      </w:r>
      <w:bookmarkEnd w:id="2"/>
    </w:p>
    <w:p w14:paraId="73BBA58A" w14:textId="77777777" w:rsidR="00AE6493" w:rsidRPr="00766D6F" w:rsidRDefault="0018643B">
      <w:pPr>
        <w:pStyle w:val="Heading2"/>
      </w:pPr>
      <w:bookmarkStart w:id="3" w:name="_Toc239083269"/>
      <w:bookmarkStart w:id="4" w:name="_Toc239416272"/>
      <w:r w:rsidRPr="00766D6F">
        <w:t>1.1. Problem koji sistem rešava</w:t>
      </w:r>
      <w:bookmarkEnd w:id="3"/>
      <w:bookmarkEnd w:id="4"/>
    </w:p>
    <w:p w14:paraId="00CAA436" w14:textId="797BFB20" w:rsidR="00AE6493" w:rsidRDefault="0018643B">
      <w:r>
        <w:t>Form 10-K je istovremeno bogat i nezgodan izvor. Jedan filing sadrži stotine strana narativa, regulatorne i finansijske tabele, više pravnih entiteta, različite periode i pristupe merenju, ponovljene termine i vrednosti koje bez konteksta mogu izgledati kontradiktorno</w:t>
      </w:r>
      <w:r w:rsidR="0010085E">
        <w:t xml:space="preserve">. </w:t>
      </w:r>
      <w:r w:rsidR="0010085E" w:rsidRPr="0010085E">
        <w:t>Numeričko pitanje je jednoznačno tek kada su određeni banka, datum, pravni entitet i regulatorni pristup. Kod narativnih pitanja, svaka materijalna tvrdnja mora da se proveri u konkretnom delu 10-K izveštaja.</w:t>
      </w:r>
    </w:p>
    <w:p w14:paraId="790A4F81" w14:textId="0DD49D2B" w:rsidR="00AE6493" w:rsidRDefault="0018643B">
      <w:r>
        <w:t xml:space="preserve">RAG razdvaja parametarsko znanje modela od eksplicitne memorije koja se pretražuje pre odgovora [1]. Dense retriever omogućava semantičko pronalaženje [2], [3], dok BM25 ostaje snažan kada su akronimi, nazivi metrika, procenti i pravni entiteti glavni signal [4]. </w:t>
      </w:r>
      <w:r w:rsidR="00914591">
        <w:t>D</w:t>
      </w:r>
      <w:r>
        <w:t>okaz mora ostati potpun, bank-owned i proverljiv i nakon pretrage i generacije.</w:t>
      </w:r>
    </w:p>
    <w:p w14:paraId="1B99084B" w14:textId="77777777" w:rsidR="00AE6493" w:rsidRPr="00766D6F" w:rsidRDefault="0018643B">
      <w:pPr>
        <w:pStyle w:val="Heading2"/>
      </w:pPr>
      <w:bookmarkStart w:id="5" w:name="_Toc239083270"/>
      <w:bookmarkStart w:id="6" w:name="_Toc239416273"/>
      <w:r w:rsidRPr="00766D6F">
        <w:t>1.2. Cilj i istraživačka pitanja</w:t>
      </w:r>
      <w:bookmarkEnd w:id="5"/>
      <w:bookmarkEnd w:id="6"/>
    </w:p>
    <w:p w14:paraId="58DFF0FF" w14:textId="77777777" w:rsidR="00AE6493" w:rsidRDefault="0018643B">
      <w:r>
        <w:t>Cilj projekta je izgradnja lokalnog asistenta za stručno istraživanje 10-K izveštaja koji može da pronađe relevantan dokaz, bezbedno odgovori kada dokaz nije dovoljan i omogući korisniku da otvori izvorni kontekst. Projekat je vođen sledećim pitanjima:</w:t>
      </w:r>
    </w:p>
    <w:p w14:paraId="222D58FB" w14:textId="77777777" w:rsidR="00AE6493" w:rsidRDefault="0018643B">
      <w:pPr>
        <w:pStyle w:val="ListNumber"/>
        <w:spacing w:after="80"/>
      </w:pPr>
      <w:r>
        <w:t>Kako sačuvati strukturu i poreklo SEC dokumenta, a dobiti retrieval jedinice pogodne za embedding i leksičku pretragu?</w:t>
      </w:r>
    </w:p>
    <w:p w14:paraId="40BB4FB4" w14:textId="043F4184" w:rsidR="00AE6493" w:rsidRDefault="00914591">
      <w:pPr>
        <w:pStyle w:val="ListNumber"/>
        <w:spacing w:after="80"/>
      </w:pPr>
      <w:r>
        <w:t>Na koji na</w:t>
      </w:r>
      <w:r>
        <w:rPr>
          <w:lang w:val="sr-Latn-RS"/>
        </w:rPr>
        <w:t xml:space="preserve">čin se </w:t>
      </w:r>
      <w:r w:rsidR="001F60CF">
        <w:rPr>
          <w:lang w:val="sr-Latn-RS"/>
        </w:rPr>
        <w:t xml:space="preserve">tabele chunkuju i </w:t>
      </w:r>
      <w:r w:rsidR="00B3544B">
        <w:rPr>
          <w:lang w:val="sr-Latn-RS"/>
        </w:rPr>
        <w:t>samim tim i vraćaju modelu</w:t>
      </w:r>
      <w:r w:rsidR="00B3544B">
        <w:t>?</w:t>
      </w:r>
    </w:p>
    <w:p w14:paraId="6CED80E8" w14:textId="77777777" w:rsidR="00AE6493" w:rsidRDefault="0018643B">
      <w:pPr>
        <w:pStyle w:val="ListNumber"/>
        <w:spacing w:after="80"/>
      </w:pPr>
      <w:r>
        <w:t>Kako spojiti dense i leksički signal bez nestabilne normalizacije skorova?</w:t>
      </w:r>
    </w:p>
    <w:p w14:paraId="6E774049" w14:textId="77777777" w:rsidR="00AE6493" w:rsidRDefault="0018643B">
      <w:pPr>
        <w:pStyle w:val="ListNumber"/>
        <w:spacing w:after="80"/>
      </w:pPr>
      <w:r>
        <w:t>Kako obezbediti da poređenje više banaka ne pomeša dokaze ili izgladni jednu banku u globalnom Top-K skupu?</w:t>
      </w:r>
    </w:p>
    <w:p w14:paraId="6FEA2209" w14:textId="77777777" w:rsidR="00AE6493" w:rsidRDefault="0018643B">
      <w:pPr>
        <w:pStyle w:val="ListNumber"/>
        <w:spacing w:after="80"/>
      </w:pPr>
      <w:r>
        <w:t>Koji ugovori su potrebni da generisan odgovor ostane numerički tačan, citiran i fail-closed?</w:t>
      </w:r>
    </w:p>
    <w:p w14:paraId="424D2148" w14:textId="01C924AE" w:rsidR="00D44209" w:rsidRDefault="00D44209">
      <w:pPr>
        <w:pStyle w:val="ListNumber"/>
        <w:spacing w:after="80"/>
      </w:pPr>
      <w:r>
        <w:t>kako ceo pipeline sklopiti u jednu celinu?</w:t>
      </w:r>
    </w:p>
    <w:p w14:paraId="0428944E" w14:textId="77777777" w:rsidR="00AE6493" w:rsidRPr="00766D6F" w:rsidRDefault="0018643B">
      <w:pPr>
        <w:pStyle w:val="Heading2"/>
      </w:pPr>
      <w:bookmarkStart w:id="7" w:name="_Toc239083271"/>
      <w:bookmarkStart w:id="8" w:name="_Toc239416274"/>
      <w:r w:rsidRPr="00766D6F">
        <w:t>1.3. Glavni doprinosi</w:t>
      </w:r>
      <w:bookmarkEnd w:id="7"/>
      <w:bookmarkEnd w:id="8"/>
    </w:p>
    <w:p w14:paraId="23CE3081" w14:textId="77777777" w:rsidR="00AE6493" w:rsidRDefault="0018643B">
      <w:pPr>
        <w:pStyle w:val="ListBullet"/>
        <w:spacing w:after="80"/>
      </w:pPr>
      <w:r>
        <w:t>SEC-specifična akvizicija sa sadržajnom proverom kompletnosti primary 10-K dokumenta.</w:t>
      </w:r>
    </w:p>
    <w:p w14:paraId="3827993C" w14:textId="77777777" w:rsidR="00AE6493" w:rsidRDefault="0018643B">
      <w:pPr>
        <w:pStyle w:val="ListBullet"/>
        <w:spacing w:after="80"/>
      </w:pPr>
      <w:r>
        <w:t>Strukturni narativni chunking sa stabilnim identitetima, stranicama, SEC Item metapodacima i source hash vezama.</w:t>
      </w:r>
    </w:p>
    <w:p w14:paraId="622E5A80" w14:textId="77777777" w:rsidR="00AE6493" w:rsidRDefault="0018643B">
      <w:pPr>
        <w:pStyle w:val="ListBullet"/>
        <w:spacing w:after="80"/>
      </w:pPr>
      <w:r>
        <w:t>Canonical whole-table pristup: kratak objekat za retrieval, kompletna tabela za dokaz i citat.</w:t>
      </w:r>
    </w:p>
    <w:p w14:paraId="2752DA2F" w14:textId="77777777" w:rsidR="00AE6493" w:rsidRDefault="0018643B">
      <w:pPr>
        <w:pStyle w:val="ListBullet"/>
        <w:spacing w:after="80"/>
      </w:pPr>
      <w:r>
        <w:t>Hibridni retrieval koji zadržava najbolje uloge komponenti: Qdrant za persistent dense search, BM25S za leksičku preciznost i application-side RRF za fusion.</w:t>
      </w:r>
    </w:p>
    <w:p w14:paraId="30891651" w14:textId="77777777" w:rsidR="00AE6493" w:rsidRDefault="0018643B">
      <w:pPr>
        <w:pStyle w:val="ListBullet"/>
        <w:spacing w:after="80"/>
      </w:pPr>
      <w:r>
        <w:t>Bank-balanced višebankarski tok sa nezavisnim podupitima, rezultatima i citation ownership-om po banci.</w:t>
      </w:r>
    </w:p>
    <w:p w14:paraId="1629E1B8" w14:textId="77777777" w:rsidR="00AE6493" w:rsidRDefault="0018643B">
      <w:pPr>
        <w:pStyle w:val="ListBullet"/>
        <w:spacing w:after="80"/>
      </w:pPr>
      <w:r>
        <w:t>Striktna generacija i evaluacija koja odvojeno proverava status, vrednost, jedinicu, period, entitet, varijantu, citat i narativnu groundedness.</w:t>
      </w:r>
    </w:p>
    <w:p w14:paraId="289C9A2A" w14:textId="19C4C879" w:rsidR="00E53B68" w:rsidRDefault="0018643B" w:rsidP="00E53B68">
      <w:pPr>
        <w:pStyle w:val="ListBullet"/>
        <w:spacing w:after="80"/>
      </w:pPr>
      <w:r>
        <w:t>Kompletan lokalni proizvodni sloj: FastAPI/SSE, React interfejs, SQLite, otvaranje kanonskog izvora, upload dokumenata, opcioni citirani web search i deterministički kalkulator.</w:t>
      </w:r>
      <w:bookmarkStart w:id="9" w:name="_Toc239083272"/>
    </w:p>
    <w:p w14:paraId="233CFC8D" w14:textId="76013D61" w:rsidR="00AE6493" w:rsidRDefault="0018643B" w:rsidP="00E53B68">
      <w:pPr>
        <w:pStyle w:val="Heading1"/>
        <w:pageBreakBefore/>
        <w:spacing w:after="80"/>
      </w:pPr>
      <w:bookmarkStart w:id="10" w:name="_Toc239416275"/>
      <w:r>
        <w:lastRenderedPageBreak/>
        <w:t>2. BankScope kao celovit istraživački sistem</w:t>
      </w:r>
      <w:bookmarkEnd w:id="9"/>
      <w:bookmarkEnd w:id="10"/>
    </w:p>
    <w:p w14:paraId="75B16EC8" w14:textId="3C8274EC" w:rsidR="00AE6493" w:rsidRDefault="0018643B">
      <w:pPr>
        <w:keepNext/>
        <w:keepLines/>
        <w:spacing w:after="80"/>
      </w:pPr>
      <w:r>
        <w:t>Najvažnije svojstvo rešenja je kontinuitet dokaznog lanca. Sistem ne završava posao kada pronađe sličan pasus. On mora da zna kojoj banci, filing-u, sekciji, stranici i kanonskom objektu rezultat pripada; isti identitet mora preživeti embedding, indeks, fusion, generaciju, skladištenje razgovora i naknadno otvaranje izvora. Ta odluka povezuje offline obradu, online retrieval i korisničko iskustvo u jednu arhitekturu [15]–[17].</w:t>
      </w:r>
    </w:p>
    <w:p w14:paraId="32F3EC63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9E54718" wp14:editId="5BE529ED">
            <wp:extent cx="5897880" cy="22230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-data-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6403" w14:textId="77777777" w:rsidR="00AE6493" w:rsidRDefault="0018643B">
      <w:pPr>
        <w:pStyle w:val="ReportCaption"/>
        <w:keepLines/>
        <w:spacing w:before="0" w:after="200"/>
        <w:jc w:val="center"/>
      </w:pPr>
      <w:r>
        <w:t>Slika 1. Offline data pipeline od registra banaka i SEC dokumenata do validiranog lokalnog Qdrant indeksa.</w:t>
      </w:r>
    </w:p>
    <w:p w14:paraId="51D9023D" w14:textId="08DECF12" w:rsidR="00E53B68" w:rsidRDefault="0018643B" w:rsidP="00E53B68">
      <w:r>
        <w:t>Slika 1 razdvaja tri odgovornosti offline toka. Akvizicija prvo čuva manifest i kompletan primary SEC dokument. Izgradnja korpusa zatim proizvodi ograničene narativne zapise, kompletne kanonske tabele i lexical-only glossary locatore. Indeksiranje povezuje uređene chunk ID-jeve, embedding matricu i Qdrant manifest, tako da se zastareo ili neusaglašen artefakt odbija umesto da se tiho učita. Narativni zapisi mogu da se preklapaju, ali se parser-emitted tabele nikada ponovo ne dele: retrieval pretražuje kompaktan opis, a pogodak se hidrira u kompletnu tabelu.</w:t>
      </w:r>
    </w:p>
    <w:p w14:paraId="069742FE" w14:textId="09F68856" w:rsidR="00AE6493" w:rsidRPr="00766D6F" w:rsidRDefault="0018643B">
      <w:pPr>
        <w:pStyle w:val="Heading2"/>
      </w:pPr>
      <w:bookmarkStart w:id="11" w:name="_Toc239416276"/>
      <w:r w:rsidRPr="00766D6F">
        <w:t>2.1. Aktivni obim</w:t>
      </w:r>
      <w:bookmarkEnd w:id="11"/>
    </w:p>
    <w:p w14:paraId="73F1B188" w14:textId="059BF89B" w:rsidR="00AE6493" w:rsidRDefault="0018643B">
      <w:r>
        <w:t xml:space="preserve">Korpus obuhvata najnovije kompletne primary Form 10-K dokumente za izveštajni datum 31. decembar 2025. Deset banaka čini heterogen presečni skup: veliki globalni i američki univerzalni bankarski sistemi, custody i investment banke, regionalne institucije i specijalizovane banke.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59E5C157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1A34B581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7323DC8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Institucija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41CFBF2C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CIK</w:t>
            </w:r>
          </w:p>
        </w:tc>
      </w:tr>
      <w:tr w:rsidR="00AE6493" w14:paraId="0E1D380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E3715F3" w14:textId="77777777" w:rsidR="00AE6493" w:rsidRDefault="0018643B">
            <w:pPr>
              <w:spacing w:after="20"/>
            </w:pPr>
            <w:r>
              <w:rPr>
                <w:sz w:val="18"/>
              </w:rPr>
              <w:t>JPM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251E1F9" w14:textId="77777777" w:rsidR="00AE6493" w:rsidRDefault="0018643B">
            <w:pPr>
              <w:spacing w:after="20"/>
            </w:pPr>
            <w:r>
              <w:rPr>
                <w:sz w:val="18"/>
              </w:rPr>
              <w:t>JPMorgan Chase &amp; Co.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A56C701" w14:textId="77777777" w:rsidR="00AE6493" w:rsidRDefault="0018643B">
            <w:pPr>
              <w:spacing w:after="20"/>
            </w:pPr>
            <w:r>
              <w:rPr>
                <w:sz w:val="18"/>
              </w:rPr>
              <w:t>0000019617</w:t>
            </w:r>
          </w:p>
        </w:tc>
      </w:tr>
      <w:tr w:rsidR="00AE6493" w14:paraId="23AD6FF0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1FB13AD" w14:textId="77777777" w:rsidR="00AE6493" w:rsidRDefault="0018643B">
            <w:pPr>
              <w:spacing w:after="20"/>
            </w:pPr>
            <w:r>
              <w:rPr>
                <w:sz w:val="18"/>
              </w:rPr>
              <w:t>BAC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82E90FD" w14:textId="77777777" w:rsidR="00AE6493" w:rsidRDefault="0018643B">
            <w:pPr>
              <w:spacing w:after="20"/>
            </w:pPr>
            <w:r>
              <w:rPr>
                <w:sz w:val="18"/>
              </w:rPr>
              <w:t>Bank of America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D7D1C24" w14:textId="77777777" w:rsidR="00AE6493" w:rsidRDefault="0018643B">
            <w:pPr>
              <w:spacing w:after="20"/>
            </w:pPr>
            <w:r>
              <w:rPr>
                <w:sz w:val="18"/>
              </w:rPr>
              <w:t>0000070858</w:t>
            </w:r>
          </w:p>
        </w:tc>
      </w:tr>
      <w:tr w:rsidR="00AE6493" w14:paraId="1DE5834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FAC2261" w14:textId="77777777" w:rsidR="00AE6493" w:rsidRDefault="0018643B">
            <w:pPr>
              <w:spacing w:after="20"/>
            </w:pPr>
            <w:r>
              <w:rPr>
                <w:sz w:val="18"/>
              </w:rPr>
              <w:t>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9AFB510" w14:textId="77777777" w:rsidR="00AE6493" w:rsidRDefault="0018643B">
            <w:pPr>
              <w:spacing w:after="20"/>
            </w:pPr>
            <w:r>
              <w:rPr>
                <w:sz w:val="18"/>
              </w:rPr>
              <w:t>Citigroup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4C1E7C7" w14:textId="77777777" w:rsidR="00AE6493" w:rsidRDefault="0018643B">
            <w:pPr>
              <w:spacing w:after="20"/>
            </w:pPr>
            <w:r>
              <w:rPr>
                <w:sz w:val="18"/>
              </w:rPr>
              <w:t>0000831001</w:t>
            </w:r>
          </w:p>
        </w:tc>
      </w:tr>
      <w:tr w:rsidR="00AE6493" w14:paraId="31546EA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EA074C" w14:textId="77777777" w:rsidR="00AE6493" w:rsidRDefault="0018643B">
            <w:pPr>
              <w:spacing w:after="20"/>
            </w:pPr>
            <w:r>
              <w:rPr>
                <w:sz w:val="18"/>
              </w:rPr>
              <w:t>COF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526B38C" w14:textId="77777777" w:rsidR="00AE6493" w:rsidRDefault="0018643B">
            <w:pPr>
              <w:spacing w:after="20"/>
            </w:pPr>
            <w:r>
              <w:rPr>
                <w:sz w:val="18"/>
              </w:rPr>
              <w:t>Capital One Financial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C2B989" w14:textId="77777777" w:rsidR="00AE6493" w:rsidRDefault="0018643B">
            <w:pPr>
              <w:spacing w:after="20"/>
            </w:pPr>
            <w:r>
              <w:rPr>
                <w:sz w:val="18"/>
              </w:rPr>
              <w:t>0000927628</w:t>
            </w:r>
          </w:p>
        </w:tc>
      </w:tr>
      <w:tr w:rsidR="00AE6493" w14:paraId="639BA06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F269547" w14:textId="77777777" w:rsidR="00AE6493" w:rsidRDefault="0018643B">
            <w:pPr>
              <w:spacing w:after="20"/>
            </w:pPr>
            <w:r>
              <w:rPr>
                <w:sz w:val="18"/>
              </w:rPr>
              <w:t>STT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63981A2" w14:textId="77777777" w:rsidR="00AE6493" w:rsidRDefault="0018643B">
            <w:pPr>
              <w:spacing w:after="20"/>
            </w:pPr>
            <w:r>
              <w:rPr>
                <w:sz w:val="18"/>
              </w:rPr>
              <w:t>State Street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72F1092" w14:textId="77777777" w:rsidR="00AE6493" w:rsidRDefault="0018643B">
            <w:pPr>
              <w:spacing w:after="20"/>
            </w:pPr>
            <w:r>
              <w:rPr>
                <w:sz w:val="18"/>
              </w:rPr>
              <w:t>0000093751</w:t>
            </w:r>
          </w:p>
        </w:tc>
      </w:tr>
      <w:tr w:rsidR="00AE6493" w14:paraId="60BB4AB2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464A671" w14:textId="77777777" w:rsidR="00AE6493" w:rsidRDefault="0018643B">
            <w:pPr>
              <w:spacing w:after="20"/>
            </w:pPr>
            <w:r>
              <w:rPr>
                <w:sz w:val="18"/>
              </w:rPr>
              <w:t>PNC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4522AE6" w14:textId="77777777" w:rsidR="00AE6493" w:rsidRDefault="0018643B">
            <w:pPr>
              <w:spacing w:after="20"/>
            </w:pPr>
            <w:r>
              <w:rPr>
                <w:sz w:val="18"/>
              </w:rPr>
              <w:t>The PNC Financial Services Group,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F4477F8" w14:textId="77777777" w:rsidR="00AE6493" w:rsidRDefault="0018643B">
            <w:pPr>
              <w:spacing w:after="20"/>
            </w:pPr>
            <w:r>
              <w:rPr>
                <w:sz w:val="18"/>
              </w:rPr>
              <w:t>0000713676</w:t>
            </w:r>
          </w:p>
        </w:tc>
      </w:tr>
      <w:tr w:rsidR="00AE6493" w14:paraId="3D88EDC0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C2D7432" w14:textId="77777777" w:rsidR="00AE6493" w:rsidRDefault="0018643B">
            <w:pPr>
              <w:spacing w:after="20"/>
            </w:pPr>
            <w:r>
              <w:rPr>
                <w:sz w:val="18"/>
              </w:rPr>
              <w:t>TFC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6CF5A5C" w14:textId="77777777" w:rsidR="00AE6493" w:rsidRDefault="0018643B">
            <w:pPr>
              <w:spacing w:after="20"/>
            </w:pPr>
            <w:r>
              <w:rPr>
                <w:sz w:val="18"/>
              </w:rPr>
              <w:t>Truist Financial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BCA5E1B" w14:textId="77777777" w:rsidR="00AE6493" w:rsidRDefault="0018643B">
            <w:pPr>
              <w:spacing w:after="20"/>
            </w:pPr>
            <w:r>
              <w:rPr>
                <w:sz w:val="18"/>
              </w:rPr>
              <w:t>0000092230</w:t>
            </w:r>
          </w:p>
        </w:tc>
      </w:tr>
      <w:tr w:rsidR="00AE6493" w14:paraId="03F6EEF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915C494" w14:textId="77777777" w:rsidR="00AE6493" w:rsidRDefault="0018643B">
            <w:pPr>
              <w:spacing w:after="20"/>
            </w:pPr>
            <w:r>
              <w:rPr>
                <w:sz w:val="18"/>
              </w:rPr>
              <w:t>GS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32335D5" w14:textId="77777777" w:rsidR="00AE6493" w:rsidRDefault="0018643B">
            <w:pPr>
              <w:spacing w:after="20"/>
            </w:pPr>
            <w:r>
              <w:rPr>
                <w:sz w:val="18"/>
              </w:rPr>
              <w:t>The Goldman Sachs Group,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8D524F0" w14:textId="77777777" w:rsidR="00AE6493" w:rsidRDefault="0018643B">
            <w:pPr>
              <w:spacing w:after="20"/>
            </w:pPr>
            <w:r>
              <w:rPr>
                <w:sz w:val="18"/>
              </w:rPr>
              <w:t>0000886982</w:t>
            </w:r>
          </w:p>
        </w:tc>
      </w:tr>
      <w:tr w:rsidR="00AE6493" w14:paraId="70FAFE7D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33B5E04" w14:textId="77777777" w:rsidR="00AE6493" w:rsidRDefault="0018643B">
            <w:pPr>
              <w:spacing w:after="20"/>
            </w:pPr>
            <w:r>
              <w:rPr>
                <w:sz w:val="18"/>
              </w:rPr>
              <w:t>ALLY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7928DD5" w14:textId="77777777" w:rsidR="00AE6493" w:rsidRDefault="0018643B">
            <w:pPr>
              <w:spacing w:after="20"/>
            </w:pPr>
            <w:r>
              <w:rPr>
                <w:sz w:val="18"/>
              </w:rPr>
              <w:t>Ally Financial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C57D7B5" w14:textId="77777777" w:rsidR="00AE6493" w:rsidRDefault="0018643B">
            <w:pPr>
              <w:spacing w:after="20"/>
            </w:pPr>
            <w:r>
              <w:rPr>
                <w:sz w:val="18"/>
              </w:rPr>
              <w:t>0000040729</w:t>
            </w:r>
          </w:p>
        </w:tc>
      </w:tr>
      <w:tr w:rsidR="00AE6493" w14:paraId="4C8782D4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801E30A" w14:textId="77777777" w:rsidR="00AE6493" w:rsidRDefault="0018643B">
            <w:pPr>
              <w:spacing w:after="20"/>
            </w:pPr>
            <w:r>
              <w:rPr>
                <w:sz w:val="18"/>
              </w:rPr>
              <w:t>LOB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B6FEA8C" w14:textId="77777777" w:rsidR="00AE6493" w:rsidRDefault="0018643B">
            <w:pPr>
              <w:spacing w:after="20"/>
            </w:pPr>
            <w:r>
              <w:rPr>
                <w:sz w:val="18"/>
              </w:rPr>
              <w:t>Live Oak Bancshares,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F85D69F" w14:textId="77777777" w:rsidR="00AE6493" w:rsidRDefault="0018643B">
            <w:pPr>
              <w:spacing w:after="20"/>
            </w:pPr>
            <w:r>
              <w:rPr>
                <w:sz w:val="18"/>
              </w:rPr>
              <w:t>0001462120</w:t>
            </w:r>
          </w:p>
        </w:tc>
      </w:tr>
    </w:tbl>
    <w:p w14:paraId="05B2DC9B" w14:textId="77777777" w:rsidR="00AE6493" w:rsidRDefault="00AE6493">
      <w:pPr>
        <w:spacing w:after="20"/>
      </w:pPr>
    </w:p>
    <w:p w14:paraId="54AF939B" w14:textId="77777777" w:rsidR="00300B29" w:rsidRDefault="00300B29">
      <w:pPr>
        <w:spacing w:after="20"/>
      </w:pPr>
    </w:p>
    <w:p w14:paraId="1C2856BF" w14:textId="77777777" w:rsidR="00300B29" w:rsidRDefault="00300B29">
      <w:pPr>
        <w:spacing w:after="20"/>
      </w:pPr>
    </w:p>
    <w:p w14:paraId="21DF1362" w14:textId="77777777" w:rsidR="00BA41D4" w:rsidRDefault="00BA41D4">
      <w:pPr>
        <w:pStyle w:val="Heading2"/>
      </w:pPr>
      <w:bookmarkStart w:id="12" w:name="_Toc239083274"/>
      <w:bookmarkStart w:id="13" w:name="_Toc239416277"/>
    </w:p>
    <w:p w14:paraId="39C5D4C4" w14:textId="7F9F6B29" w:rsidR="00AE6493" w:rsidRPr="00766D6F" w:rsidRDefault="0018643B">
      <w:pPr>
        <w:pStyle w:val="Heading2"/>
      </w:pPr>
      <w:r w:rsidRPr="00766D6F">
        <w:t>2.2. Aktivn</w:t>
      </w:r>
      <w:bookmarkEnd w:id="12"/>
      <w:r w:rsidR="00A5619A">
        <w:t>e tehnologije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1F085CD1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75802E5A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Sloj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517F3A04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Aktuelno rešenje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18E18718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Uloga</w:t>
            </w:r>
          </w:p>
        </w:tc>
      </w:tr>
      <w:tr w:rsidR="00AE6493" w14:paraId="7197B53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EDD8124" w14:textId="77777777" w:rsidR="00AE6493" w:rsidRDefault="0018643B">
            <w:pPr>
              <w:spacing w:after="20"/>
            </w:pPr>
            <w:r>
              <w:rPr>
                <w:sz w:val="16"/>
              </w:rPr>
              <w:t>Parsing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2AFF2EF" w14:textId="77777777" w:rsidR="00AE6493" w:rsidRDefault="0018643B">
            <w:pPr>
              <w:spacing w:after="20"/>
            </w:pPr>
            <w:r>
              <w:rPr>
                <w:sz w:val="16"/>
              </w:rPr>
              <w:t>sec2md 0.1.23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3077EC9" w14:textId="77777777" w:rsidR="00AE6493" w:rsidRDefault="0018643B">
            <w:pPr>
              <w:spacing w:after="20"/>
            </w:pPr>
            <w:r>
              <w:rPr>
                <w:sz w:val="16"/>
              </w:rPr>
              <w:t>SEC-aware stranice, elementi i tabela struktura</w:t>
            </w:r>
          </w:p>
        </w:tc>
      </w:tr>
      <w:tr w:rsidR="00AE6493" w14:paraId="6BBB879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40F0046" w14:textId="77777777" w:rsidR="00AE6493" w:rsidRDefault="0018643B">
            <w:pPr>
              <w:spacing w:after="20"/>
            </w:pPr>
            <w:r>
              <w:rPr>
                <w:sz w:val="16"/>
              </w:rPr>
              <w:t>Narativ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E8A77CA" w14:textId="77777777" w:rsidR="00AE6493" w:rsidRDefault="0018643B">
            <w:pPr>
              <w:spacing w:after="20"/>
            </w:pPr>
            <w:r>
              <w:rPr>
                <w:sz w:val="16"/>
              </w:rPr>
              <w:t>512 target / 1.024 max / 64 overlap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1224B9D" w14:textId="77777777" w:rsidR="00AE6493" w:rsidRDefault="0018643B">
            <w:pPr>
              <w:spacing w:after="20"/>
            </w:pPr>
            <w:r>
              <w:rPr>
                <w:sz w:val="16"/>
              </w:rPr>
              <w:t>Ograničene semantičke retrieval jedinice</w:t>
            </w:r>
          </w:p>
        </w:tc>
      </w:tr>
      <w:tr w:rsidR="00AE6493" w14:paraId="76D134C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4DCFF4" w14:textId="77777777" w:rsidR="00AE6493" w:rsidRDefault="0018643B">
            <w:pPr>
              <w:spacing w:after="20"/>
            </w:pPr>
            <w:r>
              <w:rPr>
                <w:sz w:val="16"/>
              </w:rPr>
              <w:t>Tabele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82F6F54" w14:textId="77777777" w:rsidR="00AE6493" w:rsidRDefault="0018643B">
            <w:pPr>
              <w:spacing w:after="20"/>
            </w:pPr>
            <w:r>
              <w:rPr>
                <w:sz w:val="16"/>
              </w:rPr>
              <w:t>2.085 kompletnih kanonskih tabela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ECE9906" w14:textId="77777777" w:rsidR="00AE6493" w:rsidRDefault="0018643B">
            <w:pPr>
              <w:spacing w:after="20"/>
            </w:pPr>
            <w:r>
              <w:rPr>
                <w:sz w:val="16"/>
              </w:rPr>
              <w:t>Potpuna evidencija bez dodatnog cepanja</w:t>
            </w:r>
          </w:p>
        </w:tc>
      </w:tr>
      <w:tr w:rsidR="00AE6493" w14:paraId="5365FA43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2E36A19" w14:textId="77777777" w:rsidR="00AE6493" w:rsidRDefault="0018643B">
            <w:pPr>
              <w:spacing w:after="20"/>
            </w:pPr>
            <w:r>
              <w:rPr>
                <w:sz w:val="16"/>
              </w:rPr>
              <w:t>Dense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96A21D0" w14:textId="77777777" w:rsidR="00AE6493" w:rsidRDefault="0018643B">
            <w:pPr>
              <w:spacing w:after="20"/>
            </w:pPr>
            <w:r>
              <w:rPr>
                <w:sz w:val="16"/>
              </w:rPr>
              <w:t>Qwen3-Embedding-0.6B, 1.024d + Qdrant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7A01581" w14:textId="77777777" w:rsidR="00AE6493" w:rsidRDefault="0018643B">
            <w:pPr>
              <w:spacing w:after="20"/>
            </w:pPr>
            <w:r>
              <w:rPr>
                <w:sz w:val="16"/>
              </w:rPr>
              <w:t>Semantičko pronalaženje i persistentni vektorski indeks</w:t>
            </w:r>
          </w:p>
        </w:tc>
      </w:tr>
      <w:tr w:rsidR="00AE6493" w14:paraId="15AE7672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A3EB4AF" w14:textId="77777777" w:rsidR="00AE6493" w:rsidRDefault="0018643B">
            <w:pPr>
              <w:spacing w:after="20"/>
            </w:pPr>
            <w:r>
              <w:rPr>
                <w:sz w:val="16"/>
              </w:rPr>
              <w:t>Sparse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2A656F9" w14:textId="77777777" w:rsidR="00AE6493" w:rsidRDefault="0018643B">
            <w:pPr>
              <w:spacing w:after="20"/>
            </w:pPr>
            <w:r>
              <w:rPr>
                <w:sz w:val="16"/>
              </w:rPr>
              <w:t>BM25S, Lucene-style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263472D" w14:textId="77777777" w:rsidR="00AE6493" w:rsidRDefault="0018643B">
            <w:pPr>
              <w:spacing w:after="20"/>
            </w:pPr>
            <w:r>
              <w:rPr>
                <w:sz w:val="16"/>
              </w:rPr>
              <w:t>Tačni termini, akronimi, brojevi i pravni entiteti</w:t>
            </w:r>
          </w:p>
        </w:tc>
      </w:tr>
      <w:tr w:rsidR="00AE6493" w14:paraId="2313CEB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102B8DF" w14:textId="77777777" w:rsidR="00AE6493" w:rsidRDefault="0018643B">
            <w:pPr>
              <w:spacing w:after="20"/>
            </w:pPr>
            <w:r>
              <w:rPr>
                <w:sz w:val="16"/>
              </w:rPr>
              <w:t>Fusion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07B2B76" w14:textId="77777777" w:rsidR="00AE6493" w:rsidRDefault="0018643B">
            <w:pPr>
              <w:spacing w:after="20"/>
            </w:pPr>
            <w:r>
              <w:rPr>
                <w:sz w:val="16"/>
              </w:rPr>
              <w:t>RRF, k=60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03F2FA6" w14:textId="77777777" w:rsidR="00AE6493" w:rsidRDefault="0018643B">
            <w:pPr>
              <w:spacing w:after="20"/>
            </w:pPr>
            <w:r>
              <w:rPr>
                <w:sz w:val="16"/>
              </w:rPr>
              <w:t>Spajanje rangova bez score kalibracije</w:t>
            </w:r>
          </w:p>
        </w:tc>
      </w:tr>
      <w:tr w:rsidR="00AE6493" w14:paraId="755A57A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9EE3366" w14:textId="77777777" w:rsidR="00AE6493" w:rsidRDefault="0018643B">
            <w:pPr>
              <w:spacing w:after="20"/>
            </w:pPr>
            <w:r>
              <w:rPr>
                <w:sz w:val="16"/>
              </w:rPr>
              <w:t>Generation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2369FA1" w14:textId="77777777" w:rsidR="00AE6493" w:rsidRDefault="0018643B">
            <w:pPr>
              <w:spacing w:after="20"/>
            </w:pPr>
            <w:r>
              <w:rPr>
                <w:sz w:val="16"/>
              </w:rPr>
              <w:t>Strict function calling + Pydantic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96B995" w14:textId="77777777" w:rsidR="00AE6493" w:rsidRDefault="0018643B">
            <w:pPr>
              <w:spacing w:after="20"/>
            </w:pPr>
            <w:r>
              <w:rPr>
                <w:sz w:val="16"/>
              </w:rPr>
              <w:t>Fail-closed status, činjenice i citati</w:t>
            </w:r>
          </w:p>
        </w:tc>
      </w:tr>
      <w:tr w:rsidR="00AE6493" w14:paraId="6D58445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5E1894C" w14:textId="77777777" w:rsidR="00AE6493" w:rsidRDefault="0018643B">
            <w:pPr>
              <w:spacing w:after="20"/>
            </w:pPr>
            <w:r>
              <w:rPr>
                <w:sz w:val="16"/>
              </w:rPr>
              <w:t>Aplikacija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85CE42D" w14:textId="77777777" w:rsidR="00AE6493" w:rsidRDefault="0018643B">
            <w:pPr>
              <w:spacing w:after="20"/>
            </w:pPr>
            <w:r>
              <w:rPr>
                <w:sz w:val="16"/>
              </w:rPr>
              <w:t>FastAPI, SSE, React 19, SQLite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EAA7BB1" w14:textId="77777777" w:rsidR="00AE6493" w:rsidRDefault="0018643B">
            <w:pPr>
              <w:spacing w:after="20"/>
            </w:pPr>
            <w:r>
              <w:rPr>
                <w:sz w:val="16"/>
              </w:rPr>
              <w:t>Lokalni interfejs, niti, izvori i dijagnostika</w:t>
            </w:r>
          </w:p>
        </w:tc>
      </w:tr>
    </w:tbl>
    <w:p w14:paraId="6E428E00" w14:textId="77777777" w:rsidR="00AE6493" w:rsidRDefault="00AE6493">
      <w:pPr>
        <w:spacing w:after="20"/>
      </w:pPr>
    </w:p>
    <w:p w14:paraId="3827B415" w14:textId="51EEC4E5" w:rsidR="005000E2" w:rsidRDefault="005000E2" w:rsidP="005000E2">
      <w:pPr>
        <w:pStyle w:val="Heading1"/>
      </w:pPr>
      <w:bookmarkStart w:id="14" w:name="_Toc239416278"/>
      <w:r>
        <w:t>3. Od SEC dokumenata do kanonskog dokaza</w:t>
      </w:r>
      <w:bookmarkEnd w:id="14"/>
    </w:p>
    <w:p w14:paraId="5137BB37" w14:textId="5A7791F8" w:rsidR="005000E2" w:rsidRPr="00C91962" w:rsidRDefault="005000E2" w:rsidP="005000E2">
      <w:pPr>
        <w:pStyle w:val="Heading2"/>
      </w:pPr>
      <w:bookmarkStart w:id="15" w:name="_Toc239416279"/>
      <w:r w:rsidRPr="00C91962">
        <w:t>3.1. Akvizicija počinje proverom dokumenta</w:t>
      </w:r>
      <w:bookmarkEnd w:id="15"/>
    </w:p>
    <w:p w14:paraId="6216197A" w14:textId="77777777" w:rsidR="005000E2" w:rsidRDefault="005000E2" w:rsidP="005000E2">
      <w:pPr>
        <w:spacing w:after="0"/>
      </w:pPr>
      <w:r w:rsidRPr="002363A2">
        <w:t>Downloader iz SEC submissions podataka bira najnoviji dokument forme 10-K, zatim formira URL primarnog dokumenta i poštuje obavezni identifikacioni User-Agent i ograničenje učestalosti zahteva [10].</w:t>
      </w:r>
      <w:r>
        <w:t xml:space="preserve"> Postoji sadržajna validacija jer dokument mora da sadrži očekivane glavne Item sekcije, finansijske izveštaje i auditorski sadržaj. Ona se implementira jer neki 10-K dokimenti imaju samo reference na neke druge dokumente, a ne potrebne podatke i sekcije.</w:t>
      </w:r>
    </w:p>
    <w:p w14:paraId="04DC37C3" w14:textId="77777777" w:rsidR="005000E2" w:rsidRDefault="005000E2" w:rsidP="005000E2">
      <w:pPr>
        <w:pStyle w:val="Heading2"/>
        <w:spacing w:before="120"/>
      </w:pPr>
      <w:bookmarkStart w:id="16" w:name="_Toc239416280"/>
      <w:r>
        <w:t>3.2. Strukturni narativni chunking</w:t>
      </w:r>
      <w:bookmarkEnd w:id="16"/>
    </w:p>
    <w:p w14:paraId="0F53F089" w14:textId="77777777" w:rsidR="005000E2" w:rsidRDefault="005000E2" w:rsidP="005000E2">
      <w:r>
        <w:t xml:space="preserve">sec2md daje SEC-specifičnu strukturnu osnovu [11], ali BankScope ne prihvata njegov izlaz kao gotovu retrieval reprezentaciju. </w:t>
      </w:r>
      <w:r w:rsidRPr="00F7753B">
        <w:t>Susedni narativni elementi grupišu se u isti segment dok se ne dostigne ciljna veličina ili ne naiđe na strukturnu granicu, kao što su naslov, tabela ili promena sekcije. Tada se tekući segment zaključuje, a obrada se nastavlja u novom segmentu.</w:t>
      </w:r>
      <w:r>
        <w:t xml:space="preserve"> Dugi blokovi se dele po pasusima i rečenicama, a word-level fallback se koristi samo kada je neophodno. Svaki zapis nosi filing identitet, ticker, CIK, accession, datume, source URL, parser verziju, raw SHA-256, stranice, source element ID-jeve, XBRL oznake, SEC Item, naslov sekcije i record type.</w:t>
      </w:r>
    </w:p>
    <w:p w14:paraId="223F7031" w14:textId="77777777" w:rsidR="005000E2" w:rsidRDefault="005000E2" w:rsidP="005000E2">
      <w:pPr>
        <w:pStyle w:val="Heading2"/>
        <w:spacing w:after="80"/>
      </w:pPr>
      <w:bookmarkStart w:id="17" w:name="_Toc239416281"/>
      <w:r>
        <w:lastRenderedPageBreak/>
        <w:t>3.3. Kompletna tabela je dokaz, a ne samo embedding tekst</w:t>
      </w:r>
      <w:bookmarkEnd w:id="17"/>
    </w:p>
    <w:p w14:paraId="76BFD905" w14:textId="77777777" w:rsidR="005000E2" w:rsidRDefault="005000E2" w:rsidP="005000E2">
      <w:pPr>
        <w:keepNext/>
        <w:keepLines/>
        <w:spacing w:after="80"/>
      </w:pPr>
      <w:r>
        <w:t>Finansijske tabele zahtevaju drugačiji tretman od narativa [6], [7]. Broj sam po sebi nije činjenica bez zaglavlja kolone, reda, jedinice i perioda. BankScope zato rekonstruiše span-aware grid, klasifikuje tabelu i čuva je u celini. Layout i index tabele mogu ostati u kanonskom store-u, ali se isključuju iz normalne pretrage. Retrieval-eligible tabela dobija jedan deterministički opis koji sadrži naslovni kontekst, kolone, periode, jedinice i značajne row labels; numerički redovi se ne kopiraju u opis.</w:t>
      </w:r>
    </w:p>
    <w:p w14:paraId="38F59120" w14:textId="77777777" w:rsidR="005000E2" w:rsidRDefault="005000E2" w:rsidP="005000E2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5267D6DE" wp14:editId="74AAE09B">
            <wp:extent cx="5897880" cy="2627237"/>
            <wp:effectExtent l="0" t="0" r="0" b="0"/>
            <wp:docPr id="2022677401" name="Picture 2022677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onical-table-strate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2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94A" w14:textId="77777777" w:rsidR="005000E2" w:rsidRDefault="005000E2" w:rsidP="005000E2">
      <w:pPr>
        <w:pStyle w:val="ReportCaption"/>
        <w:keepLines/>
        <w:spacing w:before="0" w:after="200"/>
        <w:jc w:val="center"/>
      </w:pPr>
      <w:r>
        <w:t>Slika 2. Razdvajanje retrieval reprezentacije od kanonske evidence reprezentacije.</w:t>
      </w:r>
    </w:p>
    <w:p w14:paraId="3F1B9C5B" w14:textId="77777777" w:rsidR="005000E2" w:rsidRDefault="005000E2" w:rsidP="005000E2">
      <w:pPr>
        <w:spacing w:after="0"/>
      </w:pPr>
      <w:r>
        <w:t>Ovaj obrazac rešava dve suprotne potrebe. Retriever dobija kratak i semantički jasan dokument, dok generator i korisnik dobijaju potpunu izvornu tabelu. `target_chunk_id` povezuje opis ili glossary locator sa istim kanonskim objektom, pa deduplikacija prethodi finalnom limitu i isti dokaz ne zauzima više mesta u rezultatu.</w:t>
      </w:r>
    </w:p>
    <w:p w14:paraId="214A2C0C" w14:textId="77777777" w:rsidR="005000E2" w:rsidRDefault="005000E2" w:rsidP="005000E2">
      <w:pPr>
        <w:pStyle w:val="Heading2"/>
        <w:spacing w:before="120"/>
      </w:pPr>
      <w:bookmarkStart w:id="18" w:name="_Toc239416282"/>
      <w:r>
        <w:t>3.4. Ciljani glossary locatori</w:t>
      </w:r>
      <w:bookmarkEnd w:id="18"/>
    </w:p>
    <w:p w14:paraId="35888BCC" w14:textId="77777777" w:rsidR="005000E2" w:rsidRDefault="005000E2" w:rsidP="005000E2">
      <w:r>
        <w:t xml:space="preserve">Akronimi i definicije su poseban problem pri retrievalu. Za glossary tabele sistem generiše male lexical-only zapise iz key-value parova. Oni ne proširuju dense korpus i ne postaju novi dokaz; samo olakšavaju da BM25S pronađe termine poput BANA ili GSIB i zatim hidrira roditeljsku tabelu. </w:t>
      </w:r>
      <w:r w:rsidRPr="00E61B19">
        <w:t>Aktuelni korpus ima 400</w:t>
      </w:r>
      <w:r>
        <w:t xml:space="preserve"> </w:t>
      </w:r>
      <w:r w:rsidRPr="00E61B19">
        <w:t>takvih locator-a.</w:t>
      </w:r>
      <w:r>
        <w:t xml:space="preserve"> Ograničena, problemski usmerena reprezentacija pokazala se korisnijom od masovnog row/cell razlaganja svake tabele.</w:t>
      </w:r>
    </w:p>
    <w:p w14:paraId="7EBEA434" w14:textId="77777777" w:rsidR="005000E2" w:rsidRDefault="005000E2" w:rsidP="005000E2"/>
    <w:p w14:paraId="79C30FB5" w14:textId="77777777" w:rsidR="00AE6493" w:rsidRDefault="0018643B">
      <w:pPr>
        <w:pStyle w:val="Heading1"/>
        <w:pageBreakBefore/>
      </w:pPr>
      <w:bookmarkStart w:id="19" w:name="_Toc239083280"/>
      <w:bookmarkStart w:id="20" w:name="_Toc239416283"/>
      <w:r>
        <w:lastRenderedPageBreak/>
        <w:t>4. Hibridni retrieval i izolacija banaka</w:t>
      </w:r>
      <w:bookmarkEnd w:id="19"/>
      <w:bookmarkEnd w:id="20"/>
    </w:p>
    <w:p w14:paraId="4B3E9521" w14:textId="33790CFC" w:rsidR="00AE6493" w:rsidRDefault="0018643B">
      <w:pPr>
        <w:pStyle w:val="Heading2"/>
      </w:pPr>
      <w:bookmarkStart w:id="21" w:name="_Toc239083281"/>
      <w:bookmarkStart w:id="22" w:name="_Toc239416284"/>
      <w:r>
        <w:t>4.1. Dense i lexical</w:t>
      </w:r>
      <w:bookmarkEnd w:id="21"/>
      <w:bookmarkEnd w:id="22"/>
    </w:p>
    <w:p w14:paraId="3AEBEEED" w14:textId="462E398F" w:rsidR="00AE6493" w:rsidRDefault="0018643B">
      <w:r>
        <w:t xml:space="preserve">Dokumentni zapisi se unapred kodiraju modelom Qwen/Qwen3-Embedding-0.6B, </w:t>
      </w:r>
      <w:r w:rsidR="009E29C1">
        <w:t>sa</w:t>
      </w:r>
      <w:r>
        <w:t xml:space="preserve"> dimenzi</w:t>
      </w:r>
      <w:r w:rsidR="00537F3D">
        <w:t>jom</w:t>
      </w:r>
      <w:r>
        <w:t xml:space="preserve"> 1.024 i sa normalizovanim vektorima [8]. `embeddings.npz` čuva matricu, uređene ID-jeve, model i input hash kao reproduktivni artefakt; Qdrant </w:t>
      </w:r>
      <w:r w:rsidR="00537F3D">
        <w:t>predstavlja</w:t>
      </w:r>
      <w:r>
        <w:t xml:space="preserve"> persistentni dense store [13]. Pri pokretanju se proveravaju dimenzija, point count, collection name, model i corpus hash.</w:t>
      </w:r>
    </w:p>
    <w:p w14:paraId="0839CF12" w14:textId="3F718F79" w:rsidR="00AE6493" w:rsidRDefault="0018643B">
      <w:r>
        <w:t xml:space="preserve">BM25S indeks koristi </w:t>
      </w:r>
      <w:r w:rsidR="005000E2">
        <w:t>NKFC</w:t>
      </w:r>
      <w:r>
        <w:t xml:space="preserve"> normalizaciju, kontrolisanu tokenizaciju i čuva finansijske alfanumeričke oblike i znak procenta [9]. Nema stemming-a ni uklanjanja stop-reči, jer identitet termina u regulatornom tekstu često nosi značenje. Dense i BM25S grana tipično vraćaju po 30 kandidata; RRF ih spaja pomoću ranga, a ne sirovog skora. Nakon fusion-a rezultati se deduplikuju po kanonskom target-u i hidrira se narativ ili kompletna tabela.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7"/>
      </w:tblGrid>
      <w:tr w:rsidR="00AE6493" w14:paraId="4551821C" w14:textId="77777777">
        <w:trPr>
          <w:cantSplit/>
          <w:jc w:val="center"/>
        </w:trPr>
        <w:tc>
          <w:tcPr>
            <w:tcW w:w="9638" w:type="dxa"/>
            <w:tcBorders>
              <w:top w:val="single" w:sz="2" w:space="0" w:color="EEF4FF"/>
              <w:left w:val="single" w:sz="22" w:space="0" w:color="3159B8"/>
              <w:bottom w:val="single" w:sz="2" w:space="0" w:color="EEF4FF"/>
              <w:right w:val="single" w:sz="2" w:space="0" w:color="EEF4FF"/>
            </w:tcBorders>
            <w:shd w:val="clear" w:color="auto" w:fill="EEF4FF"/>
            <w:vAlign w:val="center"/>
          </w:tcPr>
          <w:p w14:paraId="2CC99844" w14:textId="44CB9013" w:rsidR="00AE6493" w:rsidRDefault="0018643B">
            <w:pPr>
              <w:spacing w:after="60"/>
            </w:pPr>
            <w:r>
              <w:rPr>
                <w:b/>
                <w:color w:val="3159B8"/>
              </w:rPr>
              <w:t>Zašto mixed backend</w:t>
            </w:r>
          </w:p>
          <w:p w14:paraId="4CE3416B" w14:textId="32139402" w:rsidR="00AE6493" w:rsidRDefault="0018643B">
            <w:pPr>
              <w:spacing w:after="40"/>
            </w:pPr>
            <w:r>
              <w:t>Qdrant dense je u kontrolisanom poređenju sačuvao paritet sa in-process dense pretragom, dok Qdrant-native sparse/hybrid nije dostigao kvalitet lokalnog BM25S-a.</w:t>
            </w:r>
            <w:r w:rsidR="00F25BDE">
              <w:t xml:space="preserve"> Zato u nastavku koristimo lokalni BM25S,</w:t>
            </w:r>
            <w:r w:rsidR="00EB2E94">
              <w:t xml:space="preserve"> a Qdrant dense.</w:t>
            </w:r>
          </w:p>
        </w:tc>
      </w:tr>
    </w:tbl>
    <w:p w14:paraId="62F936A6" w14:textId="77777777" w:rsidR="00AE6493" w:rsidRDefault="00AE6493">
      <w:pPr>
        <w:spacing w:after="20"/>
      </w:pPr>
    </w:p>
    <w:p w14:paraId="0DB26D47" w14:textId="77777777" w:rsidR="00AE6493" w:rsidRDefault="0018643B">
      <w:pPr>
        <w:pStyle w:val="Heading2"/>
        <w:spacing w:after="80"/>
      </w:pPr>
      <w:bookmarkStart w:id="23" w:name="_Toc239083282"/>
      <w:bookmarkStart w:id="24" w:name="_Toc239416285"/>
      <w:r>
        <w:t>4.2. Poređenja se ne rešavaju jednim mešanim Top-K skupom</w:t>
      </w:r>
      <w:bookmarkEnd w:id="23"/>
      <w:bookmarkEnd w:id="24"/>
    </w:p>
    <w:p w14:paraId="1116F0A6" w14:textId="77777777" w:rsidR="00AE6493" w:rsidRDefault="0018643B">
      <w:pPr>
        <w:keepNext/>
        <w:keepLines/>
        <w:spacing w:after="80"/>
      </w:pPr>
      <w:r>
        <w:t>Kada korisnik poredi dve do četiri banke, globalni Top-K može dozvoliti da jedna banka zauzme većinu rezultata. BankScope zato prvo deterministički razrešava sve tickere, zatim gradi peer-free podupit za svaku banku, nezavisno ga embeddinguje i pretražuje sa `limit=5`, `candidate_k=30` i `rrf_k=60`. Svaki bankarski generator vidi samo svoj dokaz. Finalna sinteza dobija validirane bankarske rezultate, a ne sirov mešani evidence pool.</w:t>
      </w:r>
    </w:p>
    <w:p w14:paraId="381AB818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32F77F9E" wp14:editId="5BE7A3A4">
            <wp:extent cx="5897880" cy="294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bank-iso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3580" w14:textId="77777777" w:rsidR="00AE6493" w:rsidRDefault="0018643B">
      <w:pPr>
        <w:pStyle w:val="ReportCaption"/>
        <w:keepLines/>
        <w:spacing w:before="0" w:after="200"/>
        <w:jc w:val="center"/>
      </w:pPr>
      <w:r>
        <w:t>Slika 3. Bank-owned retrieval i citation isolation u višebankarskom poređenju.</w:t>
      </w:r>
    </w:p>
    <w:p w14:paraId="6CB265F6" w14:textId="77777777" w:rsidR="00AE6493" w:rsidRDefault="0018643B">
      <w:r>
        <w:t>Ovaj tok je važan i za retrieval i za generaciju. Bank-balanced kvote sprečavaju crowding, bank-specific pitanje sprečava semantičko razvodnjavanje, a citation ownership onemogućava da dokaz Citi-ja podrži tvrdnju o JPMorganu. Ako jedna banka nema dovoljan dokaz, ostale banke i dalje vraćaju validirane rezultate, dok ukupan status postaje `partial`. Neuspeh jednog entiteta zato ne briše proverljiv rad ostalih.</w:t>
      </w:r>
    </w:p>
    <w:p w14:paraId="12FE6EF4" w14:textId="77777777" w:rsidR="00AE6493" w:rsidRDefault="0018643B">
      <w:pPr>
        <w:pStyle w:val="Heading1"/>
        <w:pageBreakBefore/>
        <w:spacing w:after="80"/>
      </w:pPr>
      <w:bookmarkStart w:id="25" w:name="_Toc239083283"/>
      <w:bookmarkStart w:id="26" w:name="_Toc239416286"/>
      <w:r>
        <w:lastRenderedPageBreak/>
        <w:t>5. Grounded generacija, konverzacija i kontrola izvora</w:t>
      </w:r>
      <w:bookmarkEnd w:id="25"/>
      <w:bookmarkEnd w:id="26"/>
    </w:p>
    <w:p w14:paraId="7185DB5E" w14:textId="77777777" w:rsidR="00581962" w:rsidRDefault="00024CE0">
      <w:pPr>
        <w:keepNext/>
        <w:keepLines/>
        <w:spacing w:after="80"/>
      </w:pPr>
      <w:r>
        <w:t>Online tok namerno odvaja izbor akcije od vlasništva nad podacima i validacijom: model predlaže putanju, dok server zadržava kontrolu nad bankarskim scope-om, budžetima, dokazima, citatima i čuvanjem razgovora.</w:t>
      </w:r>
    </w:p>
    <w:p w14:paraId="373D8E6C" w14:textId="77777777" w:rsidR="00581962" w:rsidRDefault="00024CE0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01864A82" wp14:editId="17E515CD">
            <wp:extent cx="5458047" cy="6400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question-answer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047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A704" w14:textId="77777777" w:rsidR="00581962" w:rsidRDefault="00024CE0">
      <w:pPr>
        <w:pStyle w:val="ReportCaption"/>
        <w:keepLines/>
        <w:spacing w:before="0" w:after="200"/>
        <w:jc w:val="center"/>
      </w:pPr>
      <w:r>
        <w:t>Slika 4. Online tok pitanja i odgovora: routing, izolovana pretraga, validacija, čuvanje i otvaranje kanonskog izvora.</w:t>
      </w:r>
    </w:p>
    <w:p w14:paraId="084D1FDF" w14:textId="791A5F65" w:rsidR="00581962" w:rsidRDefault="00024CE0">
      <w:r>
        <w:t>Za jedno-bankarska pitanja radi jedna pipeline putanja; poređenja dve do četiri banke dele se na nezavisne podupite i spajaju tek nakon per-bank validacije. Direktan odgovor, web search, kalkulator i razjašnjenje zaobilaze filing retrieval, dok očekivani model/pipeline neuspeh vraća bezbedan retryable assistant turn. Citati se otvaraju kroz kanonski source resolver, a istorija razgovora služi kao kontekst, ne kao novi dokaz.</w:t>
      </w:r>
    </w:p>
    <w:p w14:paraId="45F33F5C" w14:textId="77777777" w:rsidR="00AE6493" w:rsidRDefault="0018643B">
      <w:pPr>
        <w:pStyle w:val="Heading2"/>
      </w:pPr>
      <w:bookmarkStart w:id="27" w:name="_Toc239083284"/>
      <w:bookmarkStart w:id="28" w:name="_Toc239416287"/>
      <w:r>
        <w:t>5.1. Generacija radi unutar eksplicitnog ugovora</w:t>
      </w:r>
      <w:bookmarkEnd w:id="27"/>
      <w:bookmarkEnd w:id="28"/>
    </w:p>
    <w:p w14:paraId="1FD29985" w14:textId="73A10EF3" w:rsidR="00AE6493" w:rsidRDefault="0018643B">
      <w:r>
        <w:t xml:space="preserve">Finalni odgovor nije slobodan tekst. Model bira jednu od četiri međusobno isključive strict funkcije: supported numeric, supported narrative, ambiguous ili unsupported. Numeric rezultat mora da navede entitet, metriku, period, tačan value text, jedinicu i citate. Kod zatim proverava Pydantic šemu, dozvoljene </w:t>
      </w:r>
      <w:r>
        <w:lastRenderedPageBreak/>
        <w:t>citation ID-jeve, bank ownership i prisustvo kompletne numeričke vrednosti u citiranom kanonskom dokazu. Ne postoji rounding tolerancija koja bi zaokruženu vrednost predstavila kao egzaktan dokaz.</w:t>
      </w:r>
    </w:p>
    <w:p w14:paraId="6D5848C6" w14:textId="5F53F1C3" w:rsidR="00AE6493" w:rsidRDefault="0018643B">
      <w:r>
        <w:t>Truncation i contract-shape greške dobijaju najviše jedan repair pokušaj. Nepoznat citat, pogrešan period, cross-bank izvor ili nedovoljan dokaz završavaju kontrolisanim rezultatom, a ne dopunom iz parametarskog znanja. Unsupported tekst se renderuje lokalno.</w:t>
      </w:r>
    </w:p>
    <w:p w14:paraId="6EECBC61" w14:textId="77777777" w:rsidR="00AE6493" w:rsidRDefault="0018643B">
      <w:pPr>
        <w:pStyle w:val="Heading2"/>
      </w:pPr>
      <w:bookmarkStart w:id="29" w:name="_Toc239083285"/>
      <w:bookmarkStart w:id="30" w:name="_Toc239416288"/>
      <w:r>
        <w:t>5.2. Razgovor je kontekst, nikada dokaz</w:t>
      </w:r>
      <w:bookmarkEnd w:id="29"/>
      <w:bookmarkEnd w:id="30"/>
    </w:p>
    <w:p w14:paraId="0B03B72C" w14:textId="701F8D94" w:rsidR="00AE6493" w:rsidRDefault="0018643B">
      <w:r>
        <w:t xml:space="preserve">LangGraph front door razvrstava poruku na direktan odgovor, out-of-scope, clarification, filing research, web research, kalkulaciju ili dokument research. Deterministički sloj i dalje poseduje ticker scope i source policy. Ispod procenjenog budžeta od 12.000 tokena router vidi sirov razgovor; iznad njega stariji kompletni parovi se sažimaju, dok najmanje šest najnovijih parova ostaje verbatim. Sažetak čuva teme i referencije, ali ne stare citate i ne </w:t>
      </w:r>
      <w:r w:rsidR="00402DAC">
        <w:t>postaje</w:t>
      </w:r>
      <w:r>
        <w:t xml:space="preserve"> dokaz za novu filing tvrdnju.</w:t>
      </w:r>
    </w:p>
    <w:p w14:paraId="2896D60C" w14:textId="362A0DFB" w:rsidR="00AE6493" w:rsidRDefault="0018643B">
      <w:r>
        <w:t>Korisnik može da skrati, prevede ili preformatira prethodni grounded odgovor bez novog retrieval-a. Runtime tada dopušta samo podskup starih citata i odbija nove brojeve, banke ili kvalifikatore. Za novu bankarsku činjenicu uvek se traži novi dokaz. SQLite čuva niti, bank scope i citation metapodatke; otvaranje citata ponovo proverava corpus hash i vraća kanonski narativ ili kompletnu tabelu.</w:t>
      </w:r>
    </w:p>
    <w:p w14:paraId="3D9E53A4" w14:textId="77777777" w:rsidR="00AE6493" w:rsidRDefault="0018643B">
      <w:pPr>
        <w:pStyle w:val="Heading2"/>
      </w:pPr>
      <w:bookmarkStart w:id="31" w:name="_Toc239083286"/>
      <w:bookmarkStart w:id="32" w:name="_Toc239416289"/>
      <w:r>
        <w:t>5.3. Dijagnostika i evidence audit imaju različite uloge</w:t>
      </w:r>
      <w:bookmarkEnd w:id="31"/>
      <w:bookmarkEnd w:id="32"/>
    </w:p>
    <w:p w14:paraId="7DFB86C7" w14:textId="21E86DA7" w:rsidR="00AE6493" w:rsidRDefault="0018643B">
      <w:r>
        <w:t>Runtime Diagnostics objašnjava kako je izvršenje proteklo: izabranu rutu, faze, broj početnih i konačnih dokaza, model/tool budžete, bank isolation i validacione kontrole.  Post-answer evidence audit je</w:t>
      </w:r>
      <w:r w:rsidR="00084B76">
        <w:t xml:space="preserve"> </w:t>
      </w:r>
      <w:r>
        <w:t>advisory pregled koji dobija samo originalno pitanje, finalni odgovor i citirane kanonske dokaze. Proverava da li je pitanje adresirano, da li su materijalne tvrdnje podržane, da li postoji kontradikcija i da li citati pokrivaju odgovor</w:t>
      </w:r>
      <w:r w:rsidR="00084B76">
        <w:t>.</w:t>
      </w:r>
    </w:p>
    <w:p w14:paraId="356E7615" w14:textId="77777777" w:rsidR="00AE6493" w:rsidRDefault="0018643B">
      <w:pPr>
        <w:pStyle w:val="Heading1"/>
        <w:pageBreakBefore/>
        <w:spacing w:after="80"/>
      </w:pPr>
      <w:bookmarkStart w:id="33" w:name="_Toc239083287"/>
      <w:bookmarkStart w:id="34" w:name="_Toc239416290"/>
      <w:r>
        <w:lastRenderedPageBreak/>
        <w:t>6. Korisničko iskustvo i stvarni QA primeri</w:t>
      </w:r>
      <w:bookmarkEnd w:id="33"/>
      <w:bookmarkEnd w:id="34"/>
    </w:p>
    <w:p w14:paraId="69B4CBC8" w14:textId="190E68E1" w:rsidR="00AE6493" w:rsidRDefault="0018643B">
      <w:pPr>
        <w:keepNext/>
        <w:keepLines/>
        <w:spacing w:after="80"/>
      </w:pPr>
      <w:r>
        <w:t>Finalni interfejs pretvara tehničke ugovore u čitljiv istraživački tok: korisnik postavlja pitanje prirodnim jezikom, vidi odgovor i status podrške, otvara izvore, a po potrebi proširuje dijagnostiku.</w:t>
      </w:r>
    </w:p>
    <w:p w14:paraId="57FAB4C9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07DC336" wp14:editId="6DE5A578">
            <wp:extent cx="5897880" cy="383740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69E5" w14:textId="7B6EF54B" w:rsidR="00AE6493" w:rsidRDefault="0018643B">
      <w:pPr>
        <w:pStyle w:val="ReportCaption"/>
        <w:keepLines/>
        <w:spacing w:before="0" w:after="200"/>
        <w:jc w:val="center"/>
      </w:pPr>
      <w:r>
        <w:t>Slika 5. Početna strana BankScope-a</w:t>
      </w:r>
    </w:p>
    <w:p w14:paraId="40D1DA95" w14:textId="0128B273" w:rsidR="00AE6493" w:rsidRDefault="0018643B">
      <w:pPr>
        <w:pStyle w:val="Heading2"/>
        <w:spacing w:after="80"/>
      </w:pPr>
      <w:bookmarkStart w:id="35" w:name="_Toc239083288"/>
      <w:bookmarkStart w:id="36" w:name="_Toc239416291"/>
      <w:r>
        <w:lastRenderedPageBreak/>
        <w:t xml:space="preserve">6.1. </w:t>
      </w:r>
      <w:bookmarkEnd w:id="35"/>
      <w:r w:rsidR="007E0420">
        <w:t>Primer UI-a  i generacije za pitanje o jednoj banci</w:t>
      </w:r>
      <w:r w:rsidR="001D62CF">
        <w:t xml:space="preserve"> (iz tabele)</w:t>
      </w:r>
      <w:bookmarkEnd w:id="36"/>
    </w:p>
    <w:p w14:paraId="4DBB6F2E" w14:textId="45E8E002" w:rsidR="00AE6493" w:rsidRDefault="0018643B">
      <w:pPr>
        <w:keepNext/>
        <w:keepLines/>
        <w:spacing w:after="80"/>
      </w:pPr>
      <w:r>
        <w:t xml:space="preserve">Na pitanju o Capital One standardized CET1 odnosu za 31. decembar 2025. sistem vraća 14,3%, dva izvora, status `supported`, prolaznu evidence reviziju i prolazne izvršne kontrole. Primer </w:t>
      </w:r>
      <w:r w:rsidR="006C6C87">
        <w:t xml:space="preserve">prikazuje </w:t>
      </w:r>
      <w:r>
        <w:t>scenario: tačno prepoznavanje metrike, pristupa, perioda i entiteta, uz citat koji se može otvoriti.</w:t>
      </w:r>
    </w:p>
    <w:p w14:paraId="2AA50484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8BEA4F3" wp14:editId="1A157B9D">
            <wp:extent cx="5897880" cy="4784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pital-one-cet1-diagno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F666" w14:textId="77777777" w:rsidR="00AE6493" w:rsidRDefault="0018643B">
      <w:pPr>
        <w:pStyle w:val="ReportCaption"/>
        <w:keepLines/>
        <w:spacing w:before="0" w:after="200"/>
        <w:jc w:val="center"/>
      </w:pPr>
      <w:r>
        <w:t>Slika 6. Capital One CET1 odgovor sa evidence audit-om i kompletnom runtime dijagnostikom.</w:t>
      </w:r>
    </w:p>
    <w:p w14:paraId="14BB749C" w14:textId="30C29792" w:rsidR="00AE6493" w:rsidRDefault="0018643B">
      <w:pPr>
        <w:keepNext/>
        <w:keepLines/>
        <w:spacing w:after="80"/>
      </w:pPr>
      <w:r>
        <w:lastRenderedPageBreak/>
        <w:t xml:space="preserve">Otvaranjem izvora korisnik ne dobija skraćeni retrieval opis, već kanonsku </w:t>
      </w:r>
      <w:r w:rsidR="00961DFA">
        <w:t>tekst</w:t>
      </w:r>
      <w:r>
        <w:t xml:space="preserve"> iz SEC dokumenta</w:t>
      </w:r>
      <w:r w:rsidR="00961DFA">
        <w:t>.</w:t>
      </w:r>
    </w:p>
    <w:p w14:paraId="76753812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3285BB5" wp14:editId="5286DC94">
            <wp:extent cx="5897880" cy="40547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pital-one-cet1-source-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5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35FE" w14:textId="604FEAEF" w:rsidR="00BA41D4" w:rsidRDefault="0018643B" w:rsidP="00BA41D4">
      <w:pPr>
        <w:pStyle w:val="ReportCaption"/>
        <w:keepLines/>
        <w:spacing w:before="0" w:after="200"/>
        <w:jc w:val="center"/>
      </w:pPr>
      <w:r>
        <w:t>Slika 7. Otvoren kanonski SEC dokaz za Capital One CET1 odgovor.</w:t>
      </w:r>
      <w:bookmarkStart w:id="37" w:name="_Toc239083289"/>
      <w:bookmarkStart w:id="38" w:name="_Toc239416292"/>
    </w:p>
    <w:p w14:paraId="166546E6" w14:textId="4806B4BC" w:rsidR="00AE6493" w:rsidRDefault="0018643B" w:rsidP="00BA41D4">
      <w:pPr>
        <w:pStyle w:val="Heading2"/>
        <w:spacing w:after="80"/>
      </w:pPr>
      <w:r>
        <w:lastRenderedPageBreak/>
        <w:t xml:space="preserve">6.2. </w:t>
      </w:r>
      <w:bookmarkEnd w:id="37"/>
      <w:r w:rsidR="001D62CF">
        <w:t>Primer UI-a  i generacije za pitanje o jednoj banci (narativno)</w:t>
      </w:r>
      <w:bookmarkEnd w:id="38"/>
    </w:p>
    <w:p w14:paraId="465D9403" w14:textId="397C31C9" w:rsidR="00AE6493" w:rsidRDefault="0018643B">
      <w:pPr>
        <w:keepNext/>
        <w:keepLines/>
        <w:spacing w:after="80"/>
      </w:pPr>
      <w:r>
        <w:t xml:space="preserve">Pitanje o upravljanju sajber i tehnološkim rizikom u Capital One okviru zahteva više od jednog </w:t>
      </w:r>
      <w:r w:rsidR="00E35C4D">
        <w:t>chunk-a</w:t>
      </w:r>
      <w:r>
        <w:t>. Ovaj primer pokazuje da isti evidence ugovor podržava i narativna pitanja, bez prelaska na necitiranu opštu interpretaciju.</w:t>
      </w:r>
    </w:p>
    <w:p w14:paraId="0F04023F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7796862C" wp14:editId="64A64E94">
            <wp:extent cx="5897880" cy="4585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pital-one-cyber-risk-ans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8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E57C" w14:textId="77777777" w:rsidR="00AE6493" w:rsidRDefault="0018643B">
      <w:pPr>
        <w:pStyle w:val="ReportCaption"/>
        <w:keepLines/>
        <w:spacing w:before="0" w:after="200"/>
        <w:jc w:val="center"/>
      </w:pPr>
      <w:r>
        <w:t>Slika 8. Grounded narativni odgovor o sajber i tehnološkom riziku sa citatima po tvrdnjama.</w:t>
      </w:r>
    </w:p>
    <w:p w14:paraId="7A2E7B2B" w14:textId="66524AE4" w:rsidR="00AE6493" w:rsidRDefault="0018643B">
      <w:pPr>
        <w:pStyle w:val="Heading2"/>
        <w:spacing w:after="80"/>
      </w:pPr>
      <w:bookmarkStart w:id="39" w:name="_Toc239083290"/>
      <w:bookmarkStart w:id="40" w:name="_Toc239416293"/>
      <w:r>
        <w:lastRenderedPageBreak/>
        <w:t xml:space="preserve">6.3. </w:t>
      </w:r>
      <w:r w:rsidR="0074109A">
        <w:t>Primer p</w:t>
      </w:r>
      <w:r>
        <w:t>oređenj</w:t>
      </w:r>
      <w:r w:rsidR="0074109A">
        <w:t>a</w:t>
      </w:r>
      <w:r>
        <w:t xml:space="preserve"> dve banke</w:t>
      </w:r>
      <w:bookmarkEnd w:id="39"/>
      <w:bookmarkEnd w:id="40"/>
    </w:p>
    <w:p w14:paraId="64381881" w14:textId="7CB068B5" w:rsidR="00AE6493" w:rsidRDefault="0018643B">
      <w:pPr>
        <w:keepNext/>
        <w:keepLines/>
        <w:spacing w:after="80"/>
      </w:pPr>
      <w:r>
        <w:t>U poređenju Bank of America i Citigroup standardized CET1 odnosa sistem vraća 11,40% i 13,18%, sa odvojenim bankarskim rezultatima, tri izvora, `supported` statusom i nultim mešanjem vlasništva citata. Dijagnostika prikazuje pet modelskih zahteva</w:t>
      </w:r>
      <w:r w:rsidR="008D3D3D">
        <w:t>:</w:t>
      </w:r>
      <w:r>
        <w:t xml:space="preserve"> dva bank-specific odgovora, sintezu i prateće validacione/audit korake</w:t>
      </w:r>
      <w:r w:rsidR="008D3D3D">
        <w:t xml:space="preserve">, </w:t>
      </w:r>
      <w:r>
        <w:t>dok evidence ostaje izolovan po banci.</w:t>
      </w:r>
    </w:p>
    <w:p w14:paraId="5710FEAE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5B2162B3" wp14:editId="2AD44C30">
            <wp:extent cx="5440402" cy="640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bac-citi-cet1-comparison-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402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2FAE" w14:textId="77777777" w:rsidR="00AE6493" w:rsidRDefault="0018643B">
      <w:pPr>
        <w:pStyle w:val="ReportCaption"/>
        <w:keepLines/>
        <w:spacing w:before="0" w:after="200"/>
        <w:jc w:val="center"/>
      </w:pPr>
      <w:r>
        <w:t>Slika 9. Bank-balanced CET1 poređenje BAC/C sa bank-owned rezultatima i izvršnim kontrolama.</w:t>
      </w:r>
    </w:p>
    <w:p w14:paraId="28BCF137" w14:textId="77777777" w:rsidR="00AE6493" w:rsidRDefault="0018643B">
      <w:pPr>
        <w:pStyle w:val="Heading1"/>
        <w:pageBreakBefore/>
      </w:pPr>
      <w:bookmarkStart w:id="41" w:name="_Toc239083291"/>
      <w:bookmarkStart w:id="42" w:name="_Toc239416294"/>
      <w:r>
        <w:lastRenderedPageBreak/>
        <w:t>7. Evaluaciona metodologija</w:t>
      </w:r>
      <w:bookmarkEnd w:id="41"/>
      <w:bookmarkEnd w:id="42"/>
    </w:p>
    <w:p w14:paraId="737E9E00" w14:textId="77777777" w:rsidR="00AE6493" w:rsidRDefault="0018643B">
      <w:pPr>
        <w:pStyle w:val="Heading2"/>
      </w:pPr>
      <w:bookmarkStart w:id="43" w:name="_Toc239416295"/>
      <w:r>
        <w:t>7.1. Frozen ugovori i sistematska ručna evaluacija</w:t>
      </w:r>
      <w:bookmarkEnd w:id="43"/>
    </w:p>
    <w:p w14:paraId="5B8049BA" w14:textId="7E0FF50D" w:rsidR="00AE6493" w:rsidRDefault="0018643B">
      <w:r>
        <w:t xml:space="preserve">Retrieval contract sadrži 34 pitanja: 32 answerable, jedno namerno ambiguous i jedno za unsupported period. Qrel ne čuva samo relevantne target ID-jeve već, gde je potrebno, nezavisne `required_evidence_groups`. Time se razlikuje „pronađen je makar jedan relevantan pasus” od „pronađeni su svi dokazi potrebni da se odgovori za obe banke ili sve tražene dimenzije”. Generation, comparison, conversation-memory, routing i evidence-audit challenge imaju zasebne ulaze i gate-ove. </w:t>
      </w:r>
    </w:p>
    <w:p w14:paraId="11CC5235" w14:textId="77777777" w:rsidR="00581962" w:rsidRDefault="00024CE0">
      <w:r>
        <w:t>Formalni skupovi pitanja nisu bili jedini oblik evaluacije. Paralelno je sprovedena obimna, sistematska ručna provera: qrel ciljevi i gold odgovori provereni su prema kanonskim 10-K dokazima; numerički odgovori pregledani su po entitetu, periodu, varijanti i jedinici; narativne tvrdnje po potpunosti i citatnoj podršci; a višebankarski odgovori po vlasništvu citata i pokriću svake banke.</w:t>
      </w:r>
    </w:p>
    <w:p w14:paraId="667A6476" w14:textId="0D882DB3" w:rsidR="00581962" w:rsidRDefault="00024CE0">
      <w:r>
        <w:t>Ručni QA obuhvatio je i stvarne korisničke tokove</w:t>
      </w:r>
      <w:r w:rsidR="0074109A">
        <w:t>,</w:t>
      </w:r>
      <w:r>
        <w:t xml:space="preserve"> postavljanje pitanja, otvaranje izvora, evidence audit, runtime dijagnostiku, follow-up poruke i upload dokumenta</w:t>
      </w:r>
      <w:r w:rsidR="00A1617A">
        <w:t>,</w:t>
      </w:r>
      <w:r>
        <w:t xml:space="preserve"> kao i zaseban challenge od deset ručno proverljivih slučajeva sa unsupported, ambiguous, numeric, narrative i citation-trap primerima. Ovaj sloj nije sveden na jednu sintetičku ocenu: služio je da proveri semantiku koju automatizovane metrike ne mogu potpuno da obuhvate i da dokumentuje konkretne failure mode-ove.</w:t>
      </w:r>
    </w:p>
    <w:p w14:paraId="63995BC8" w14:textId="77777777" w:rsidR="00AE6493" w:rsidRDefault="0018643B">
      <w:pPr>
        <w:pStyle w:val="Heading2"/>
      </w:pPr>
      <w:bookmarkStart w:id="44" w:name="_Toc239083293"/>
      <w:bookmarkStart w:id="45" w:name="_Toc239416296"/>
      <w:r>
        <w:t>7.2. Metrike</w:t>
      </w:r>
      <w:bookmarkEnd w:id="44"/>
      <w:bookmarkEnd w:id="4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18764A12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0D62E120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Metrika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2563377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Šta meri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6A534B22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Zašto je bitna</w:t>
            </w:r>
          </w:p>
        </w:tc>
      </w:tr>
      <w:tr w:rsidR="00AE6493" w14:paraId="15D47D3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D044B8A" w14:textId="77777777" w:rsidR="00AE6493" w:rsidRDefault="0018643B">
            <w:pPr>
              <w:spacing w:after="20"/>
            </w:pPr>
            <w:r>
              <w:rPr>
                <w:sz w:val="16"/>
              </w:rPr>
              <w:t>Hit@K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8D2AD0B" w14:textId="77777777" w:rsidR="00AE6493" w:rsidRDefault="0018643B">
            <w:pPr>
              <w:spacing w:after="20"/>
            </w:pPr>
            <w:r>
              <w:rPr>
                <w:sz w:val="16"/>
              </w:rPr>
              <w:t>Da li se makar jedan relevantan target nalazi u Top 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5457CE0" w14:textId="77777777" w:rsidR="00AE6493" w:rsidRDefault="0018643B">
            <w:pPr>
              <w:spacing w:after="20"/>
            </w:pPr>
            <w:r>
              <w:rPr>
                <w:sz w:val="16"/>
              </w:rPr>
              <w:t>Osnovna dostupnost dokaza</w:t>
            </w:r>
          </w:p>
        </w:tc>
      </w:tr>
      <w:tr w:rsidR="00AE6493" w14:paraId="2B64111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3D4404F" w14:textId="77777777" w:rsidR="00AE6493" w:rsidRDefault="0018643B">
            <w:pPr>
              <w:spacing w:after="20"/>
            </w:pPr>
            <w:r>
              <w:rPr>
                <w:sz w:val="16"/>
              </w:rPr>
              <w:t>Recall@K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0B3D94F" w14:textId="77777777" w:rsidR="00AE6493" w:rsidRDefault="0018643B">
            <w:pPr>
              <w:spacing w:after="20"/>
            </w:pPr>
            <w:r>
              <w:rPr>
                <w:sz w:val="16"/>
              </w:rPr>
              <w:t>Udeo svih relevantnih target-a pronađenih u Top 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A497E6" w14:textId="77777777" w:rsidR="00AE6493" w:rsidRDefault="0018643B">
            <w:pPr>
              <w:spacing w:after="20"/>
            </w:pPr>
            <w:r>
              <w:rPr>
                <w:sz w:val="16"/>
              </w:rPr>
              <w:t>Razlikuje delimično od potpunog pokrića</w:t>
            </w:r>
          </w:p>
        </w:tc>
      </w:tr>
      <w:tr w:rsidR="00AE6493" w14:paraId="2566F5D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8F19F70" w14:textId="77777777" w:rsidR="00AE6493" w:rsidRDefault="0018643B">
            <w:pPr>
              <w:spacing w:after="20"/>
            </w:pPr>
            <w:r>
              <w:rPr>
                <w:sz w:val="16"/>
              </w:rPr>
              <w:t>MRR@10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87E68FA" w14:textId="77777777" w:rsidR="00AE6493" w:rsidRDefault="0018643B">
            <w:pPr>
              <w:spacing w:after="20"/>
            </w:pPr>
            <w:r>
              <w:rPr>
                <w:sz w:val="16"/>
              </w:rPr>
              <w:t>Recipročna pozicija prvog relevantnog target-a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8DF7C5" w14:textId="77777777" w:rsidR="00AE6493" w:rsidRDefault="0018643B">
            <w:pPr>
              <w:spacing w:after="20"/>
            </w:pPr>
            <w:r>
              <w:rPr>
                <w:sz w:val="16"/>
              </w:rPr>
              <w:t>Nagrađuje ranije relevantne rezultate</w:t>
            </w:r>
          </w:p>
        </w:tc>
      </w:tr>
      <w:tr w:rsidR="00AE6493" w14:paraId="4389096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9F21890" w14:textId="77777777" w:rsidR="00AE6493" w:rsidRDefault="0018643B">
            <w:pPr>
              <w:spacing w:after="20"/>
            </w:pPr>
            <w:r>
              <w:rPr>
                <w:sz w:val="16"/>
              </w:rPr>
              <w:t>Group coverage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7A535E3" w14:textId="77777777" w:rsidR="00AE6493" w:rsidRDefault="0018643B">
            <w:pPr>
              <w:spacing w:after="20"/>
            </w:pPr>
            <w:r>
              <w:rPr>
                <w:sz w:val="16"/>
              </w:rPr>
              <w:t>Pokrivenost nezavisnih grupa dokaza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8111CC1" w14:textId="77777777" w:rsidR="00AE6493" w:rsidRDefault="0018643B">
            <w:pPr>
              <w:spacing w:after="20"/>
            </w:pPr>
            <w:r>
              <w:rPr>
                <w:sz w:val="16"/>
              </w:rPr>
              <w:t>Ključna za multi-bank i složena pitanja</w:t>
            </w:r>
          </w:p>
        </w:tc>
      </w:tr>
      <w:tr w:rsidR="00AE6493" w14:paraId="0FA81524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B3AA6D5" w14:textId="77777777" w:rsidR="00AE6493" w:rsidRDefault="0018643B">
            <w:pPr>
              <w:spacing w:after="20"/>
            </w:pPr>
            <w:r>
              <w:rPr>
                <w:sz w:val="16"/>
              </w:rPr>
              <w:t>Numeric contract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1F213C" w14:textId="77777777" w:rsidR="00AE6493" w:rsidRDefault="0018643B">
            <w:pPr>
              <w:spacing w:after="20"/>
            </w:pPr>
            <w:r>
              <w:rPr>
                <w:sz w:val="16"/>
              </w:rPr>
              <w:t>Vrednost, jedinica, period, entitet i varijanta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94AA4FC" w14:textId="77777777" w:rsidR="00AE6493" w:rsidRDefault="0018643B">
            <w:pPr>
              <w:spacing w:after="20"/>
            </w:pPr>
            <w:r>
              <w:rPr>
                <w:sz w:val="16"/>
              </w:rPr>
              <w:t>Sprečava tačan broj u pogrešnom kontekstu</w:t>
            </w:r>
          </w:p>
        </w:tc>
      </w:tr>
      <w:tr w:rsidR="00AE6493" w14:paraId="77864B6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E3FC565" w14:textId="77777777" w:rsidR="00AE6493" w:rsidRDefault="0018643B">
            <w:pPr>
              <w:spacing w:after="20"/>
            </w:pPr>
            <w:r>
              <w:rPr>
                <w:sz w:val="16"/>
              </w:rPr>
              <w:t>Citation support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F8479D3" w14:textId="77777777" w:rsidR="00AE6493" w:rsidRDefault="0018643B">
            <w:pPr>
              <w:spacing w:after="20"/>
            </w:pPr>
            <w:r>
              <w:rPr>
                <w:sz w:val="16"/>
              </w:rPr>
              <w:t>Da li citirani dokaz zaista podržava tvrdnju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426E18" w14:textId="77777777" w:rsidR="00AE6493" w:rsidRDefault="0018643B">
            <w:pPr>
              <w:spacing w:after="20"/>
            </w:pPr>
            <w:r>
              <w:rPr>
                <w:sz w:val="16"/>
              </w:rPr>
              <w:t>Razdvaja tematski sličan od dovoljnog dokaza</w:t>
            </w:r>
          </w:p>
        </w:tc>
      </w:tr>
      <w:tr w:rsidR="00AE6493" w14:paraId="66633BAA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607D9ED" w14:textId="77777777" w:rsidR="00AE6493" w:rsidRDefault="0018643B">
            <w:pPr>
              <w:spacing w:after="20"/>
            </w:pPr>
            <w:r>
              <w:rPr>
                <w:sz w:val="16"/>
              </w:rPr>
              <w:t>Ownership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64050C3" w14:textId="77777777" w:rsidR="00AE6493" w:rsidRDefault="0018643B">
            <w:pPr>
              <w:spacing w:after="20"/>
            </w:pPr>
            <w:r>
              <w:rPr>
                <w:sz w:val="16"/>
              </w:rPr>
              <w:t>Da li citat pripada banci o kojoj se tvrdi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C66FF77" w14:textId="77777777" w:rsidR="00AE6493" w:rsidRDefault="0018643B">
            <w:pPr>
              <w:spacing w:after="20"/>
            </w:pPr>
            <w:r>
              <w:rPr>
                <w:sz w:val="16"/>
              </w:rPr>
              <w:t>Sprečava cross-bank kontaminaciju</w:t>
            </w:r>
          </w:p>
        </w:tc>
      </w:tr>
    </w:tbl>
    <w:p w14:paraId="07F4D4E2" w14:textId="77777777" w:rsidR="00AE6493" w:rsidRDefault="00AE6493">
      <w:pPr>
        <w:spacing w:after="20"/>
      </w:pPr>
    </w:p>
    <w:p w14:paraId="1E7966DB" w14:textId="77777777" w:rsidR="00AE6493" w:rsidRDefault="00AE6493">
      <w:pPr>
        <w:spacing w:after="20"/>
      </w:pPr>
    </w:p>
    <w:p w14:paraId="326B97E8" w14:textId="77777777" w:rsidR="00AE6493" w:rsidRDefault="0018643B">
      <w:pPr>
        <w:pStyle w:val="Heading1"/>
        <w:pageBreakBefore/>
      </w:pPr>
      <w:bookmarkStart w:id="46" w:name="_Toc239083296"/>
      <w:bookmarkStart w:id="47" w:name="_Toc239416297"/>
      <w:r>
        <w:lastRenderedPageBreak/>
        <w:t>8. Rezultati</w:t>
      </w:r>
      <w:bookmarkEnd w:id="46"/>
      <w:bookmarkEnd w:id="47"/>
    </w:p>
    <w:p w14:paraId="64AF6989" w14:textId="77777777" w:rsidR="00AE6493" w:rsidRDefault="0018643B">
      <w:pPr>
        <w:pStyle w:val="Heading2"/>
        <w:spacing w:after="80"/>
      </w:pPr>
      <w:bookmarkStart w:id="48" w:name="_Toc239083297"/>
      <w:bookmarkStart w:id="49" w:name="_Toc239416298"/>
      <w:r>
        <w:t>8.1. Aktuelni mixed-hybrid retrieval</w:t>
      </w:r>
      <w:bookmarkEnd w:id="48"/>
      <w:bookmarkEnd w:id="49"/>
    </w:p>
    <w:p w14:paraId="387086D6" w14:textId="09439AAF" w:rsidR="00AE6493" w:rsidRDefault="0018643B">
      <w:pPr>
        <w:keepNext/>
        <w:keepLines/>
        <w:spacing w:after="80"/>
      </w:pPr>
      <w:r>
        <w:t>Na 32 answerable pitanja prihvaćeni retrieval pronalazi relevantan dokaz u prvih pet rezultata za 31 pitanje i u prvih deset za svih 32. MRR@10 iznosi 0,63854, a mean recall@10 0,92448. Sva četiri grouped pitanja imaju potpuno group coverage u Top 10, odnosno svih 8/8 zahtevnih grupa dokaza je pokriveno</w:t>
      </w:r>
      <w:r w:rsidR="00B14953">
        <w:t>.</w:t>
      </w:r>
    </w:p>
    <w:p w14:paraId="4FF17FF5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D7B9B24" wp14:editId="79FB756A">
            <wp:extent cx="5897880" cy="34145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-metr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707" w14:textId="77777777" w:rsidR="00AE6493" w:rsidRDefault="0018643B">
      <w:pPr>
        <w:pStyle w:val="ReportCaption"/>
        <w:keepLines/>
        <w:spacing w:before="0" w:after="200"/>
        <w:jc w:val="center"/>
      </w:pPr>
      <w:r>
        <w:t>Slika 10. Aktuelne Hit@K metrike accepted mixed-hybrid putanje; MRR@10 i Recall@10 prikazani su u napomeni.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3ABF97D6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2602AD42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Metrika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4FBD7E3D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Rezultat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33A0CC0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Tumačenje</w:t>
            </w:r>
          </w:p>
        </w:tc>
      </w:tr>
      <w:tr w:rsidR="00AE6493" w14:paraId="33DF5FF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330B32C" w14:textId="77777777" w:rsidR="00AE6493" w:rsidRDefault="0018643B">
            <w:pPr>
              <w:spacing w:after="20"/>
            </w:pPr>
            <w:r>
              <w:rPr>
                <w:sz w:val="18"/>
              </w:rPr>
              <w:t>Hit@1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E56954B" w14:textId="77777777" w:rsidR="00AE6493" w:rsidRDefault="0018643B">
            <w:pPr>
              <w:spacing w:after="20"/>
            </w:pPr>
            <w:r>
              <w:rPr>
                <w:sz w:val="18"/>
              </w:rPr>
              <w:t>13/32 = 40,6%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AAA572E" w14:textId="77777777" w:rsidR="00AE6493" w:rsidRDefault="0018643B">
            <w:pPr>
              <w:spacing w:after="20"/>
            </w:pPr>
            <w:r>
              <w:rPr>
                <w:sz w:val="18"/>
              </w:rPr>
              <w:t>Prvi rezultat je relevantan za 13 pitanja</w:t>
            </w:r>
          </w:p>
        </w:tc>
      </w:tr>
      <w:tr w:rsidR="00AE6493" w14:paraId="40DC7F8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B727CC6" w14:textId="77777777" w:rsidR="00AE6493" w:rsidRDefault="0018643B">
            <w:pPr>
              <w:spacing w:after="20"/>
            </w:pPr>
            <w:r>
              <w:rPr>
                <w:sz w:val="18"/>
              </w:rPr>
              <w:t>Hit@3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229882E" w14:textId="77777777" w:rsidR="00AE6493" w:rsidRDefault="0018643B">
            <w:pPr>
              <w:spacing w:after="20"/>
            </w:pPr>
            <w:r>
              <w:rPr>
                <w:sz w:val="18"/>
              </w:rPr>
              <w:t>26/32 = 81,3%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E5A14CA" w14:textId="77777777" w:rsidR="00AE6493" w:rsidRDefault="0018643B">
            <w:pPr>
              <w:spacing w:after="20"/>
            </w:pPr>
            <w:r>
              <w:rPr>
                <w:sz w:val="18"/>
              </w:rPr>
              <w:t>Relevantan dokaz ulazi u prva tri za većinu pitanja</w:t>
            </w:r>
          </w:p>
        </w:tc>
      </w:tr>
      <w:tr w:rsidR="00AE6493" w14:paraId="654B40D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615E27E" w14:textId="77777777" w:rsidR="00AE6493" w:rsidRDefault="0018643B">
            <w:pPr>
              <w:spacing w:after="20"/>
            </w:pPr>
            <w:r>
              <w:rPr>
                <w:sz w:val="18"/>
              </w:rPr>
              <w:t>Hit@5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09EE44C" w14:textId="77777777" w:rsidR="00AE6493" w:rsidRDefault="0018643B">
            <w:pPr>
              <w:spacing w:after="20"/>
            </w:pPr>
            <w:r>
              <w:rPr>
                <w:sz w:val="18"/>
              </w:rPr>
              <w:t>31/32 = 96,9%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AA9205D" w14:textId="77777777" w:rsidR="00AE6493" w:rsidRDefault="0018643B">
            <w:pPr>
              <w:spacing w:after="20"/>
            </w:pPr>
            <w:r>
              <w:rPr>
                <w:sz w:val="18"/>
              </w:rPr>
              <w:t>Samo jedan retrieval miss do petog mesta</w:t>
            </w:r>
          </w:p>
        </w:tc>
      </w:tr>
      <w:tr w:rsidR="00AE6493" w14:paraId="189B419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3043727" w14:textId="77777777" w:rsidR="00AE6493" w:rsidRDefault="0018643B">
            <w:pPr>
              <w:spacing w:after="20"/>
            </w:pPr>
            <w:r>
              <w:rPr>
                <w:sz w:val="18"/>
              </w:rPr>
              <w:t>Hit@10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3C496FB" w14:textId="77777777" w:rsidR="00AE6493" w:rsidRDefault="0018643B">
            <w:pPr>
              <w:spacing w:after="20"/>
            </w:pPr>
            <w:r>
              <w:rPr>
                <w:sz w:val="18"/>
              </w:rPr>
              <w:t>32/32 = 100%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E0DD6C" w14:textId="77777777" w:rsidR="00AE6493" w:rsidRDefault="0018643B">
            <w:pPr>
              <w:spacing w:after="20"/>
            </w:pPr>
            <w:r>
              <w:rPr>
                <w:sz w:val="18"/>
              </w:rPr>
              <w:t>Sva answerable pitanja imaju dokaz u Top 10</w:t>
            </w:r>
          </w:p>
        </w:tc>
      </w:tr>
      <w:tr w:rsidR="00AE6493" w14:paraId="16CEE009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7301107" w14:textId="77777777" w:rsidR="00AE6493" w:rsidRDefault="0018643B">
            <w:pPr>
              <w:spacing w:after="20"/>
            </w:pPr>
            <w:r>
              <w:rPr>
                <w:sz w:val="18"/>
              </w:rPr>
              <w:t>MRR@10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A0A04D9" w14:textId="77777777" w:rsidR="00AE6493" w:rsidRDefault="0018643B">
            <w:pPr>
              <w:spacing w:after="20"/>
            </w:pPr>
            <w:r>
              <w:rPr>
                <w:sz w:val="18"/>
              </w:rPr>
              <w:t>0,63854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D68C15C" w14:textId="77777777" w:rsidR="00AE6493" w:rsidRDefault="0018643B">
            <w:pPr>
              <w:spacing w:after="20"/>
            </w:pPr>
            <w:r>
              <w:rPr>
                <w:sz w:val="18"/>
              </w:rPr>
              <w:t>Prvi relevantan rezultat je u proseku visoko rangiran</w:t>
            </w:r>
          </w:p>
        </w:tc>
      </w:tr>
      <w:tr w:rsidR="00AE6493" w14:paraId="5ABEEEDA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975652E" w14:textId="77777777" w:rsidR="00AE6493" w:rsidRDefault="0018643B">
            <w:pPr>
              <w:spacing w:after="20"/>
            </w:pPr>
            <w:r>
              <w:rPr>
                <w:sz w:val="18"/>
              </w:rPr>
              <w:t>Mean Recall@10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B75A1F" w14:textId="77777777" w:rsidR="00AE6493" w:rsidRDefault="0018643B">
            <w:pPr>
              <w:spacing w:after="20"/>
            </w:pPr>
            <w:r>
              <w:rPr>
                <w:sz w:val="18"/>
              </w:rPr>
              <w:t>0,92448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0092AE1" w14:textId="77777777" w:rsidR="00AE6493" w:rsidRDefault="0018643B">
            <w:pPr>
              <w:spacing w:after="20"/>
            </w:pPr>
            <w:r>
              <w:rPr>
                <w:sz w:val="18"/>
              </w:rPr>
              <w:t>Top 10 pokriva većinu svih anotiranih relevantnih target-a</w:t>
            </w:r>
          </w:p>
        </w:tc>
      </w:tr>
      <w:tr w:rsidR="00AE6493" w14:paraId="0671D0D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9DDF75C" w14:textId="77777777" w:rsidR="00AE6493" w:rsidRDefault="0018643B">
            <w:pPr>
              <w:spacing w:after="20"/>
            </w:pPr>
            <w:r>
              <w:rPr>
                <w:sz w:val="18"/>
              </w:rPr>
              <w:t>Grouped coverage@10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3678048" w14:textId="77777777" w:rsidR="00AE6493" w:rsidRDefault="0018643B">
            <w:pPr>
              <w:spacing w:after="20"/>
            </w:pPr>
            <w:r>
              <w:rPr>
                <w:sz w:val="18"/>
              </w:rPr>
              <w:t>8/8 grupa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4B1074C" w14:textId="77777777" w:rsidR="00AE6493" w:rsidRDefault="0018643B">
            <w:pPr>
              <w:spacing w:after="20"/>
            </w:pPr>
            <w:r>
              <w:rPr>
                <w:sz w:val="18"/>
              </w:rPr>
              <w:t>Potpuno pokriće složenih i multi-bank zahteva</w:t>
            </w:r>
          </w:p>
        </w:tc>
      </w:tr>
    </w:tbl>
    <w:p w14:paraId="5765A6F7" w14:textId="77777777" w:rsidR="00AE6493" w:rsidRDefault="00AE6493">
      <w:pPr>
        <w:spacing w:after="20"/>
      </w:pPr>
    </w:p>
    <w:p w14:paraId="247E6A86" w14:textId="77777777" w:rsidR="00AE6493" w:rsidRDefault="00AE6493">
      <w:pPr>
        <w:spacing w:after="20"/>
      </w:pPr>
    </w:p>
    <w:p w14:paraId="64DFAA5D" w14:textId="0264573D" w:rsidR="00AE6493" w:rsidRPr="002F0086" w:rsidRDefault="0018643B">
      <w:pPr>
        <w:pStyle w:val="Heading2"/>
      </w:pPr>
      <w:bookmarkStart w:id="50" w:name="_Toc239083300"/>
      <w:bookmarkStart w:id="51" w:name="_Toc239416299"/>
      <w:r w:rsidRPr="002F0086">
        <w:t>8.</w:t>
      </w:r>
      <w:r w:rsidR="00972928" w:rsidRPr="002F0086">
        <w:t>2</w:t>
      </w:r>
      <w:r w:rsidRPr="002F0086">
        <w:t xml:space="preserve">. </w:t>
      </w:r>
      <w:bookmarkEnd w:id="50"/>
      <w:r w:rsidR="002F0086" w:rsidRPr="002F0086">
        <w:t>Kontekst razgovora poboljšava follow-up pretragu</w:t>
      </w:r>
      <w:bookmarkEnd w:id="51"/>
    </w:p>
    <w:p w14:paraId="115B4418" w14:textId="77777777" w:rsidR="008F67A8" w:rsidRPr="002F0086" w:rsidRDefault="008F67A8">
      <w:bookmarkStart w:id="52" w:name="_Toc239083301"/>
      <w:r w:rsidRPr="002F0086">
        <w:t>Na skupu od osam follow-up slučajeva, Hit@5 porastao je sa 6/8 bez konteksta na 8/8 uz kontekst razgovora. Svih osam preformulacija upita sačuvalo je traženi obim, a sve tri provere izolacije banaka su prošle.</w:t>
      </w:r>
    </w:p>
    <w:p w14:paraId="44CE4A71" w14:textId="4C92E16F" w:rsidR="002F0086" w:rsidRPr="002F0086" w:rsidRDefault="002F0086" w:rsidP="002F0086">
      <w:r w:rsidRPr="002F0086">
        <w:t>Od 55 slučajeva za usmeravanje upita, 53 su pravilno klasifikovana (96,36%). Svi filing upiti za podržane banke, nepovezani zahtevi i zahtevi van definisanog obima imali su očekivano ponašanje, dok je obim upita sačuvan u svih 55 slučajeva.</w:t>
      </w:r>
    </w:p>
    <w:p w14:paraId="185E4498" w14:textId="6172EF82" w:rsidR="00AE6493" w:rsidRPr="00280E97" w:rsidRDefault="0018643B">
      <w:pPr>
        <w:pStyle w:val="Heading2"/>
      </w:pPr>
      <w:bookmarkStart w:id="53" w:name="_Toc239416300"/>
      <w:r w:rsidRPr="00280E97">
        <w:lastRenderedPageBreak/>
        <w:t>8.</w:t>
      </w:r>
      <w:r w:rsidR="00972928" w:rsidRPr="00280E97">
        <w:t>3</w:t>
      </w:r>
      <w:r w:rsidRPr="00280E97">
        <w:t>. Evidence-audit challenge otkriva korisnu granicu</w:t>
      </w:r>
      <w:bookmarkEnd w:id="52"/>
      <w:bookmarkEnd w:id="53"/>
    </w:p>
    <w:p w14:paraId="737A2866" w14:textId="1ED0A127" w:rsidR="00AE6493" w:rsidRPr="009357B6" w:rsidRDefault="00280E97">
      <w:pPr>
        <w:rPr>
          <w:lang w:val="sr-Latn-RS"/>
        </w:rPr>
      </w:pPr>
      <w:r>
        <w:t>uradjen je i “</w:t>
      </w:r>
      <w:r w:rsidR="00A77004">
        <w:t xml:space="preserve">challenge </w:t>
      </w:r>
      <w:r>
        <w:t>”</w:t>
      </w:r>
      <w:r w:rsidR="00A77004">
        <w:t xml:space="preserve"> skup sa komplikovanim i nejasnim pitanjima.</w:t>
      </w:r>
      <w:r w:rsidR="0018643B" w:rsidRPr="00280E97">
        <w:t xml:space="preserve"> </w:t>
      </w:r>
      <w:r w:rsidR="00A77004">
        <w:t>S</w:t>
      </w:r>
      <w:r w:rsidR="0018643B" w:rsidRPr="00280E97">
        <w:t>tatus accuracy je 8/10, relevant-citation hit za očekivane supported slučajeve 5/6, citation completeness 8/10, mean precision 90%, a oba citation-trap slučaja su izbegnuta. Dva promašaja: ambiguous Truist pitanje odgovoreno je za korporaciju bez razrešavanja alternativnog bank entiteta, a JPMorgan Chase Bank Advanced ratio ostao je unsupported jer relevantna tabela nije ušla u finalni evidence set.</w:t>
      </w:r>
      <w:r w:rsidR="00E24C1F" w:rsidRPr="00280E97">
        <w:t xml:space="preserve"> Ideja i jeste bila da</w:t>
      </w:r>
      <w:r w:rsidR="009357B6" w:rsidRPr="00280E97">
        <w:t xml:space="preserve"> proverimo </w:t>
      </w:r>
      <w:r w:rsidR="009357B6" w:rsidRPr="00280E97">
        <w:rPr>
          <w:lang w:val="sr-Latn-RS"/>
        </w:rPr>
        <w:t>sposobnost odgovora kod nejasnih ili nepotpunih pitanja.</w:t>
      </w:r>
    </w:p>
    <w:p w14:paraId="56EFE1F7" w14:textId="77777777" w:rsidR="00AE6493" w:rsidRDefault="0018643B">
      <w:pPr>
        <w:pStyle w:val="Heading1"/>
        <w:pageBreakBefore/>
      </w:pPr>
      <w:bookmarkStart w:id="54" w:name="_Toc239083302"/>
      <w:bookmarkStart w:id="55" w:name="_Toc239416301"/>
      <w:r>
        <w:lastRenderedPageBreak/>
        <w:t>9. Diskusija</w:t>
      </w:r>
      <w:bookmarkEnd w:id="54"/>
      <w:bookmarkEnd w:id="55"/>
    </w:p>
    <w:p w14:paraId="4BBCA3C9" w14:textId="77777777" w:rsidR="00AE6493" w:rsidRDefault="0018643B">
      <w:pPr>
        <w:pStyle w:val="Heading2"/>
      </w:pPr>
      <w:bookmarkStart w:id="56" w:name="_Toc239083303"/>
      <w:bookmarkStart w:id="57" w:name="_Toc239416302"/>
      <w:r>
        <w:t>9.1. Zašto aktuelna arhitektura radi</w:t>
      </w:r>
      <w:bookmarkEnd w:id="56"/>
      <w:bookmarkEnd w:id="57"/>
    </w:p>
    <w:p w14:paraId="1EE434CE" w14:textId="2B1EA457" w:rsidR="00AE6493" w:rsidRDefault="0018643B">
      <w:r>
        <w:t>BankScope kvalitet ne dolazi iz jedne komponente. Potpun dokument sprečava da retrieval traži nešto što nije ni preuzeto. Strukturni parser i stabilni ID-jevi čuvaju</w:t>
      </w:r>
      <w:r w:rsidR="00A77004">
        <w:t xml:space="preserve"> </w:t>
      </w:r>
      <w:r w:rsidR="00B5171D">
        <w:t>put svakog zapisa do izvornog dokumenta.</w:t>
      </w:r>
      <w:r>
        <w:t xml:space="preserve"> Whole-table evidence sprečava gubitak zaglavlja i perioda. Dense i lexical signal pokrivaju različite jezičke obrasce. Per-bank retrieval sprečava crowding. Strict generation i lokalna validacija sprečavaju da model fluentno pređe granicu dokaza. Konačno, citation drawer zatvara krug time što korisniku vraća isti kanonski objekat koji je podržao odgovor.</w:t>
      </w:r>
    </w:p>
    <w:p w14:paraId="33CA940F" w14:textId="3941566D" w:rsidR="00AE6493" w:rsidRDefault="0018643B">
      <w:r>
        <w:t>Ovaj dizajn je naročito prikladan finansijskom domenu, gde mala razlika u entitetu, pristupu ili periodu menja značenje broja. Sistem radije vraća ambiguous ili unsupported nego da pretvori topičku sličnost u potvrdu. Za višebankarska pitanja ownership je jednako važan kao recall: dokaz mora biti pronađen, ali i pripisiv pravoj banci.</w:t>
      </w:r>
    </w:p>
    <w:p w14:paraId="7D9ED963" w14:textId="77777777" w:rsidR="00AE6493" w:rsidRDefault="0018643B">
      <w:pPr>
        <w:pStyle w:val="Heading2"/>
      </w:pPr>
      <w:bookmarkStart w:id="58" w:name="_Toc239083304"/>
      <w:bookmarkStart w:id="59" w:name="_Toc239416303"/>
      <w:r>
        <w:t>9.2. Kratke razvojne pouke</w:t>
      </w:r>
      <w:bookmarkEnd w:id="58"/>
      <w:bookmarkEnd w:id="59"/>
    </w:p>
    <w:p w14:paraId="5206B847" w14:textId="6D9FB468" w:rsidR="00AE6493" w:rsidRDefault="0018643B">
      <w:r>
        <w:t>Nekoliko ranijih pravaca ostalo je van baseline-a. Prilagođeni parser i masovno row/cell locator razlaganje arhivirani su kada je sec2md + whole-table putanja dala jednostavniji i bolji evidence model. Testirani Qwen reranker na locator-heavy korpusu povećao je latenciju i pogoršao relevantne metrike, pa nije zadržan. Bounded agentic retrieval očuvao je baseline dokaze, ali nije p</w:t>
      </w:r>
      <w:r w:rsidR="008A5406">
        <w:t xml:space="preserve">ostigao </w:t>
      </w:r>
      <w:r>
        <w:t xml:space="preserve"> prag za pouzdano recovery ponašanje.</w:t>
      </w:r>
    </w:p>
    <w:p w14:paraId="3F961628" w14:textId="77777777" w:rsidR="00AE6493" w:rsidRDefault="00AE6493">
      <w:pPr>
        <w:spacing w:after="20"/>
      </w:pPr>
    </w:p>
    <w:p w14:paraId="7BDCD04C" w14:textId="77777777" w:rsidR="00AE6493" w:rsidRDefault="0018643B">
      <w:pPr>
        <w:pStyle w:val="Heading1"/>
        <w:pageBreakBefore/>
      </w:pPr>
      <w:bookmarkStart w:id="60" w:name="_Toc239416304"/>
      <w:r>
        <w:lastRenderedPageBreak/>
        <w:t>10. Zaključak</w:t>
      </w:r>
      <w:bookmarkEnd w:id="60"/>
    </w:p>
    <w:p w14:paraId="006CFF54" w14:textId="4F6893BD" w:rsidR="00581962" w:rsidRDefault="00024CE0">
      <w:r>
        <w:t>BankScope je važan zato što pokazuje kako generativna pretraga može da se primeni u domenu u kome pogrešan entitet, period, regulatorni pristup ili izvor menjaju značenje odgovora. Umesto da se pouzdanost prepusti fluentnosti modela, projekat je gradi kroz proverljiv dokazni lanac</w:t>
      </w:r>
      <w:r w:rsidR="00511928">
        <w:t>:</w:t>
      </w:r>
      <w:r>
        <w:t xml:space="preserve"> od kompletnog SEC dokumenta do citata koji korisnik može da otvori. Takav pristup je relevantan ne samo za istraživanje 10-K izveštaja već i za širu upotrebu AI sistema u finansijama, riziku, reviziji i drugim okruženjima u kojima su poreklo i reproduktivnost obavezni.</w:t>
      </w:r>
    </w:p>
    <w:p w14:paraId="708BE1AD" w14:textId="77777777" w:rsidR="00581962" w:rsidRDefault="00024CE0">
      <w:r>
        <w:t>Posebno dobro su rešeni problemi koji se u RAG sistemima često posmatraju odvojeno. Akvizicija proverava kompletnost primary filing-a; stabilni identiteti i source hash veze čuvaju poreklo; whole-table model odvaja kompaktnu retrieval reprezentaciju od kompletnog kanonskog dokaza; Qdrant dense i BM25S lexical signal spajaju se application-side RRF-om; a bank-balanced tok čuva vlasništvo nad dokazom u poređenjima. Na izlazu, striktne šeme, numerička i citatna validacija, kontrolisana apstinencija i kanonski source resolver sprečavaju da verodostojan ton zameni stvarnu podršku.</w:t>
      </w:r>
    </w:p>
    <w:p w14:paraId="3DA2BC6D" w14:textId="7DBA9B24" w:rsidR="00581962" w:rsidRDefault="00024CE0">
      <w:r>
        <w:t xml:space="preserve">Zbog toga je glavni doprinos BankScope-a više od jedne uspešne metrike ili demonstracije interfejsa. </w:t>
      </w:r>
      <w:r w:rsidR="00A754B8">
        <w:t>I</w:t>
      </w:r>
      <w:r>
        <w:t>zgrad</w:t>
      </w:r>
      <w:r w:rsidR="00A754B8">
        <w:t>jen</w:t>
      </w:r>
      <w:r>
        <w:t xml:space="preserve"> celovit, lokalni i auditabilan istraživački sistem u kome su korpus, indeksi, retrieval, generacija, konverzacija, evaluacija i korisničko iskustvo povezan</w:t>
      </w:r>
      <w:r w:rsidR="00A754B8">
        <w:t>i.</w:t>
      </w:r>
    </w:p>
    <w:p w14:paraId="52A1D042" w14:textId="77777777" w:rsidR="00AE6493" w:rsidRDefault="0018643B">
      <w:pPr>
        <w:pStyle w:val="Heading1"/>
        <w:pageBreakBefore/>
      </w:pPr>
      <w:bookmarkStart w:id="61" w:name="_Toc239083309"/>
      <w:bookmarkStart w:id="62" w:name="_Toc239416305"/>
      <w:r>
        <w:lastRenderedPageBreak/>
        <w:t>Reference</w:t>
      </w:r>
      <w:bookmarkEnd w:id="61"/>
      <w:bookmarkEnd w:id="62"/>
    </w:p>
    <w:p w14:paraId="24BF53BD" w14:textId="77777777" w:rsidR="00AE6493" w:rsidRDefault="0018643B">
      <w:pPr>
        <w:pStyle w:val="References"/>
      </w:pPr>
      <w:r>
        <w:t>[1] P. Lewis et al., “Retrieval-Augmented Generation for Knowledge-Intensive NLP Tasks,” Advances in Neural Information Processing Systems 33, 2020.</w:t>
      </w:r>
    </w:p>
    <w:p w14:paraId="5AFC3261" w14:textId="77777777" w:rsidR="00AE6493" w:rsidRDefault="0018643B">
      <w:pPr>
        <w:pStyle w:val="References"/>
      </w:pPr>
      <w:r>
        <w:t>[2] V. Karpukhin et al., “Dense Passage Retrieval for Open-Domain Question Answering,” Proc. EMNLP, 2020, doi: 10.18653/v1/2020.emnlp-main.550.</w:t>
      </w:r>
    </w:p>
    <w:p w14:paraId="1825A056" w14:textId="77777777" w:rsidR="00AE6493" w:rsidRDefault="0018643B">
      <w:pPr>
        <w:pStyle w:val="References"/>
      </w:pPr>
      <w:r>
        <w:t>[3] N. Reimers and I. Gurevych, “Sentence-BERT: Sentence Embeddings using Siamese BERT-Networks,” Proc. EMNLP-IJCNLP, 2019, doi: 10.18653/v1/D19-1410.</w:t>
      </w:r>
    </w:p>
    <w:p w14:paraId="7684C8B3" w14:textId="77777777" w:rsidR="00AE6493" w:rsidRDefault="0018643B">
      <w:pPr>
        <w:pStyle w:val="References"/>
      </w:pPr>
      <w:r>
        <w:t>[4] S. Robertson and H. Zaragoza, “The Probabilistic Relevance Framework: BM25 and Beyond,” Foundations and Trends in Information Retrieval, 2009, doi: 10.1561/1500000019.</w:t>
      </w:r>
    </w:p>
    <w:p w14:paraId="5F14637A" w14:textId="77777777" w:rsidR="00AE6493" w:rsidRDefault="0018643B">
      <w:pPr>
        <w:pStyle w:val="References"/>
      </w:pPr>
      <w:r>
        <w:t>[5] G. V. Cormack, C. L. A. Clarke and S. Büttcher, “Reciprocal Rank Fusion Outperforms Condorcet and Individual Rank Learning Methods,” Proc. SIGIR, 2009, doi: 10.1145/1571941.1572114.</w:t>
      </w:r>
    </w:p>
    <w:p w14:paraId="2C392141" w14:textId="77777777" w:rsidR="00AE6493" w:rsidRDefault="0018643B">
      <w:pPr>
        <w:pStyle w:val="References"/>
      </w:pPr>
      <w:r>
        <w:t>[6] J. Herzig et al., “Open Domain Question Answering over Tables via Dense Retrieval,” Proc. NAACL, 2021, doi: 10.18653/v1/2021.naacl-main.43.</w:t>
      </w:r>
    </w:p>
    <w:p w14:paraId="26BD7D9A" w14:textId="77777777" w:rsidR="00AE6493" w:rsidRDefault="0018643B">
      <w:pPr>
        <w:pStyle w:val="References"/>
      </w:pPr>
      <w:r>
        <w:t>[7] Z. Chen et al., “FinQA: A Dataset of Numerical Reasoning over Financial Data,” Proc. EMNLP, 2021, doi: 10.18653/v1/2021.emnlp-main.300.</w:t>
      </w:r>
    </w:p>
    <w:p w14:paraId="4E883F42" w14:textId="77777777" w:rsidR="00AE6493" w:rsidRDefault="0018643B">
      <w:pPr>
        <w:pStyle w:val="References"/>
      </w:pPr>
      <w:r>
        <w:t>[8] Y. Zhang et al., “Qwen3 Embedding: Advancing Text Embedding and Reranking Through Foundation Models,” arXiv:2506.05176, 2025.</w:t>
      </w:r>
    </w:p>
    <w:p w14:paraId="5BEF974C" w14:textId="77777777" w:rsidR="00AE6493" w:rsidRDefault="0018643B">
      <w:pPr>
        <w:pStyle w:val="References"/>
      </w:pPr>
      <w:r>
        <w:t>[9] X. H. Lù, “BM25S: Orders of Magnitude Faster Lexical Search via Eager Sparse Scoring,” arXiv:2407.03618, 2024.</w:t>
      </w:r>
    </w:p>
    <w:p w14:paraId="118C3406" w14:textId="77777777" w:rsidR="00AE6493" w:rsidRDefault="0018643B">
      <w:pPr>
        <w:pStyle w:val="References"/>
      </w:pPr>
      <w:r>
        <w:t>[10] U.S. Securities and Exchange Commission, “Developer Resources” i “Accessing EDGAR Data,” sec.gov, pristupljeno 31. 8. 2026.</w:t>
      </w:r>
    </w:p>
    <w:p w14:paraId="4AB495DB" w14:textId="77777777" w:rsidR="00AE6493" w:rsidRDefault="0018643B">
      <w:pPr>
        <w:pStyle w:val="References"/>
      </w:pPr>
      <w:r>
        <w:t>[11] L. A. Storian, “sec2md: Convert SEC filings to structured Markdown,” GitHub repozitorijum, github.com/lucasastorian/sec2md, pristupljeno 31. 8. 2026.</w:t>
      </w:r>
    </w:p>
    <w:p w14:paraId="0CE5DDEF" w14:textId="77777777" w:rsidR="00AE6493" w:rsidRDefault="0018643B">
      <w:pPr>
        <w:pStyle w:val="References"/>
      </w:pPr>
      <w:r>
        <w:t>[12] UKPLab, “SentenceTransformers semantic search documentation,” sbert.net, pristupljeno 31. 8. 2026.</w:t>
      </w:r>
    </w:p>
    <w:p w14:paraId="697FD876" w14:textId="77777777" w:rsidR="00AE6493" w:rsidRDefault="0018643B">
      <w:pPr>
        <w:pStyle w:val="References"/>
      </w:pPr>
      <w:r>
        <w:t>[13] Qdrant, “Qdrant Client and Local Mode Documentation,” qdrant.tech, pristupljeno 31. 8. 2026.</w:t>
      </w:r>
    </w:p>
    <w:p w14:paraId="68A0215F" w14:textId="77777777" w:rsidR="00AE6493" w:rsidRDefault="0018643B">
      <w:pPr>
        <w:pStyle w:val="References"/>
      </w:pPr>
      <w:r>
        <w:t>[14] IEEE Author Center, “Structure Your Paper,” ieeeauthorcenter.ieee.org, pristupljeno 31. 8. 2026.</w:t>
      </w:r>
    </w:p>
    <w:p w14:paraId="622D390A" w14:textId="77777777" w:rsidR="00AE6493" w:rsidRDefault="0018643B">
      <w:pPr>
        <w:pStyle w:val="References"/>
      </w:pPr>
      <w:r>
        <w:t>[15] N. Bakić, “Banking Technology and Operational Risk Intelligence Assistant (BankScope),” commit 65a216132bc99e32229456751789754157e092aa, pregledano 31. 8. 2026.</w:t>
      </w:r>
    </w:p>
    <w:p w14:paraId="7BF21450" w14:textId="77777777" w:rsidR="00AE6493" w:rsidRDefault="0018643B">
      <w:pPr>
        <w:pStyle w:val="References"/>
      </w:pPr>
      <w:r>
        <w:t>[16] BankScope, “Architecture Decision Records 001–016,” docs/decisions/, 2026.</w:t>
      </w:r>
    </w:p>
    <w:p w14:paraId="11023F8B" w14:textId="77777777" w:rsidR="00AE6493" w:rsidRDefault="0018643B">
      <w:pPr>
        <w:pStyle w:val="References"/>
      </w:pPr>
      <w:r>
        <w:t>[17] BankScope, “Frozen retrieval, generation, comparison, routing and application evaluation artifacts,” data/evaluation/ i data/evaluation/results/, 2026.</w:t>
      </w:r>
    </w:p>
    <w:p w14:paraId="1E4C825A" w14:textId="77777777" w:rsidR="00AE6493" w:rsidRDefault="0018643B">
      <w:pPr>
        <w:pStyle w:val="References"/>
      </w:pPr>
      <w:r>
        <w:t>[18] BankScope, “QA demo and evidence-audit challenge,” docs/final-report-assets/qa-demo-2026-08-31/ i docs/evidence_audit_evaluation.md, 31. 8. 2026.</w:t>
      </w:r>
    </w:p>
    <w:p w14:paraId="78317BC7" w14:textId="77777777" w:rsidR="00AE6493" w:rsidRDefault="0018643B">
      <w:pPr>
        <w:pStyle w:val="Heading1"/>
        <w:pageBreakBefore/>
      </w:pPr>
      <w:bookmarkStart w:id="63" w:name="_Toc239083310"/>
      <w:bookmarkStart w:id="64" w:name="_Toc239416306"/>
      <w:r>
        <w:lastRenderedPageBreak/>
        <w:t>Dodatak A. Aktuelni sistemski snapshot</w:t>
      </w:r>
      <w:bookmarkEnd w:id="63"/>
      <w:bookmarkEnd w:id="6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815"/>
      </w:tblGrid>
      <w:tr w:rsidR="00AE6493" w14:paraId="636B2DFA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1D666D44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  <w:vAlign w:val="center"/>
          </w:tcPr>
          <w:p w14:paraId="7D7A99CC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Vrednost</w:t>
            </w:r>
          </w:p>
        </w:tc>
      </w:tr>
      <w:tr w:rsidR="00AE6493" w14:paraId="4A736235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1CFCE3A" w14:textId="77777777" w:rsidR="00AE6493" w:rsidRDefault="0018643B">
            <w:pPr>
              <w:spacing w:after="20"/>
            </w:pPr>
            <w:r>
              <w:rPr>
                <w:sz w:val="16"/>
              </w:rPr>
              <w:t>Banke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C274AF5" w14:textId="77777777" w:rsidR="00AE6493" w:rsidRDefault="0018643B">
            <w:pPr>
              <w:spacing w:after="20"/>
            </w:pPr>
            <w:r>
              <w:rPr>
                <w:sz w:val="16"/>
              </w:rPr>
              <w:t>JPM, BAC, C, COF, STT, PNC, TFC, GS, ALLY, LOB</w:t>
            </w:r>
          </w:p>
        </w:tc>
      </w:tr>
      <w:tr w:rsidR="00AE6493" w14:paraId="6801ACCD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8B76DA" w14:textId="77777777" w:rsidR="00AE6493" w:rsidRDefault="0018643B">
            <w:pPr>
              <w:spacing w:after="20"/>
            </w:pPr>
            <w:r>
              <w:rPr>
                <w:sz w:val="16"/>
              </w:rPr>
              <w:t>Filings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C5B5CBD" w14:textId="77777777" w:rsidR="00AE6493" w:rsidRDefault="0018643B">
            <w:pPr>
              <w:spacing w:after="20"/>
            </w:pPr>
            <w:r>
              <w:rPr>
                <w:sz w:val="16"/>
              </w:rPr>
              <w:t>10 kompletnih primary 2025 Form 10-K dokumenata</w:t>
            </w:r>
          </w:p>
        </w:tc>
      </w:tr>
      <w:tr w:rsidR="00AE6493" w14:paraId="4CA21D0D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34F3520" w14:textId="77777777" w:rsidR="00AE6493" w:rsidRDefault="0018643B">
            <w:pPr>
              <w:spacing w:after="20"/>
            </w:pPr>
            <w:r>
              <w:rPr>
                <w:sz w:val="16"/>
              </w:rPr>
              <w:t>Dense retrieval zapisi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0B5E1BF" w14:textId="77777777" w:rsidR="00AE6493" w:rsidRDefault="0018643B">
            <w:pPr>
              <w:spacing w:after="20"/>
            </w:pPr>
            <w:r>
              <w:rPr>
                <w:sz w:val="16"/>
              </w:rPr>
              <w:t>6.550</w:t>
            </w:r>
          </w:p>
        </w:tc>
      </w:tr>
      <w:tr w:rsidR="00AE6493" w14:paraId="255A569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2414C33" w14:textId="77777777" w:rsidR="00AE6493" w:rsidRDefault="0018643B">
            <w:pPr>
              <w:spacing w:after="20"/>
            </w:pPr>
            <w:r>
              <w:rPr>
                <w:sz w:val="16"/>
              </w:rPr>
              <w:t>Kanonske tabele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14F727" w14:textId="77777777" w:rsidR="00AE6493" w:rsidRDefault="0018643B">
            <w:pPr>
              <w:spacing w:after="20"/>
            </w:pPr>
            <w:r>
              <w:rPr>
                <w:sz w:val="16"/>
              </w:rPr>
              <w:t>2.085</w:t>
            </w:r>
          </w:p>
        </w:tc>
      </w:tr>
      <w:tr w:rsidR="00AE6493" w14:paraId="0B103C73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5B95513" w14:textId="77777777" w:rsidR="00AE6493" w:rsidRDefault="0018643B">
            <w:pPr>
              <w:spacing w:after="20"/>
            </w:pPr>
            <w:r>
              <w:rPr>
                <w:sz w:val="16"/>
              </w:rPr>
              <w:t>Glossary locatori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2016870" w14:textId="77777777" w:rsidR="00AE6493" w:rsidRDefault="0018643B">
            <w:pPr>
              <w:spacing w:after="20"/>
            </w:pPr>
            <w:r>
              <w:rPr>
                <w:sz w:val="16"/>
              </w:rPr>
              <w:t>400 lexical-only zapisa</w:t>
            </w:r>
          </w:p>
        </w:tc>
      </w:tr>
      <w:tr w:rsidR="00AE6493" w14:paraId="191B37DA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EBBE42" w14:textId="77777777" w:rsidR="00AE6493" w:rsidRDefault="0018643B">
            <w:pPr>
              <w:spacing w:after="20"/>
            </w:pPr>
            <w:r>
              <w:rPr>
                <w:sz w:val="16"/>
              </w:rPr>
              <w:t>Embedding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6EE901B" w14:textId="77777777" w:rsidR="00AE6493" w:rsidRDefault="0018643B">
            <w:pPr>
              <w:spacing w:after="20"/>
            </w:pPr>
            <w:r>
              <w:rPr>
                <w:sz w:val="16"/>
              </w:rPr>
              <w:t>Qwen/Qwen3-Embedding-0.6B, rev. 97b0c614…, 1.024 dimenzije</w:t>
            </w:r>
          </w:p>
        </w:tc>
      </w:tr>
      <w:tr w:rsidR="00AE6493" w14:paraId="741B7908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43A6330" w14:textId="77777777" w:rsidR="00AE6493" w:rsidRDefault="0018643B">
            <w:pPr>
              <w:spacing w:after="20"/>
            </w:pPr>
            <w:r>
              <w:rPr>
                <w:sz w:val="16"/>
              </w:rPr>
              <w:t>Dense store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EFBFCBC" w14:textId="77777777" w:rsidR="00AE6493" w:rsidRDefault="0018643B">
            <w:pPr>
              <w:spacing w:after="20"/>
            </w:pPr>
            <w:r>
              <w:rPr>
                <w:sz w:val="16"/>
              </w:rPr>
              <w:t>Persistent local Qdrant, cosine</w:t>
            </w:r>
          </w:p>
        </w:tc>
      </w:tr>
      <w:tr w:rsidR="00AE6493" w14:paraId="6AE15A3A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CFF25B6" w14:textId="77777777" w:rsidR="00AE6493" w:rsidRDefault="0018643B">
            <w:pPr>
              <w:spacing w:after="20"/>
            </w:pPr>
            <w:r>
              <w:rPr>
                <w:sz w:val="16"/>
              </w:rPr>
              <w:t>Sparse store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356900F" w14:textId="77777777" w:rsidR="00AE6493" w:rsidRDefault="0018643B">
            <w:pPr>
              <w:spacing w:after="20"/>
            </w:pPr>
            <w:r>
              <w:rPr>
                <w:sz w:val="16"/>
              </w:rPr>
              <w:t>BM25S, Lucene-style</w:t>
            </w:r>
          </w:p>
        </w:tc>
      </w:tr>
      <w:tr w:rsidR="00AE6493" w14:paraId="2FEC0129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24F478C" w14:textId="77777777" w:rsidR="00AE6493" w:rsidRDefault="0018643B">
            <w:pPr>
              <w:spacing w:after="20"/>
            </w:pPr>
            <w:r>
              <w:rPr>
                <w:sz w:val="16"/>
              </w:rPr>
              <w:t>Fusion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678B608" w14:textId="77777777" w:rsidR="00AE6493" w:rsidRDefault="0018643B">
            <w:pPr>
              <w:spacing w:after="20"/>
            </w:pPr>
            <w:r>
              <w:rPr>
                <w:sz w:val="16"/>
              </w:rPr>
              <w:t>Application RRF, k=60</w:t>
            </w:r>
          </w:p>
        </w:tc>
      </w:tr>
      <w:tr w:rsidR="00AE6493" w14:paraId="502A68CB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BF55AD7" w14:textId="77777777" w:rsidR="00AE6493" w:rsidRDefault="0018643B">
            <w:pPr>
              <w:spacing w:after="20"/>
            </w:pPr>
            <w:r>
              <w:rPr>
                <w:sz w:val="16"/>
              </w:rPr>
              <w:t>Candidate pools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EAA8E85" w14:textId="77777777" w:rsidR="00AE6493" w:rsidRDefault="0018643B">
            <w:pPr>
              <w:spacing w:after="20"/>
            </w:pPr>
            <w:r>
              <w:rPr>
                <w:sz w:val="16"/>
              </w:rPr>
              <w:t>30 dense + 30 sparse</w:t>
            </w:r>
          </w:p>
        </w:tc>
      </w:tr>
      <w:tr w:rsidR="00AE6493" w14:paraId="4FDCCF2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60323D8" w14:textId="77777777" w:rsidR="00AE6493" w:rsidRDefault="0018643B">
            <w:pPr>
              <w:spacing w:after="20"/>
            </w:pPr>
            <w:r>
              <w:rPr>
                <w:sz w:val="16"/>
              </w:rPr>
              <w:t>Multi-bank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182BEC1" w14:textId="77777777" w:rsidR="00AE6493" w:rsidRDefault="0018643B">
            <w:pPr>
              <w:spacing w:after="20"/>
            </w:pPr>
            <w:r>
              <w:rPr>
                <w:sz w:val="16"/>
              </w:rPr>
              <w:t>2–4 banke, independent retrieval po ticker-u</w:t>
            </w:r>
          </w:p>
        </w:tc>
      </w:tr>
      <w:tr w:rsidR="00AE6493" w14:paraId="7CC15015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504BBC0" w14:textId="77777777" w:rsidR="00AE6493" w:rsidRDefault="0018643B">
            <w:pPr>
              <w:spacing w:after="20"/>
            </w:pPr>
            <w:r>
              <w:rPr>
                <w:sz w:val="16"/>
              </w:rPr>
              <w:t>Agentic RAG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1A39CC1" w14:textId="77777777" w:rsidR="00AE6493" w:rsidRDefault="0018643B">
            <w:pPr>
              <w:spacing w:after="20"/>
            </w:pPr>
            <w:r>
              <w:rPr>
                <w:sz w:val="16"/>
              </w:rPr>
              <w:t>Eksperimentalni additive-only put, default false</w:t>
            </w:r>
          </w:p>
        </w:tc>
      </w:tr>
      <w:tr w:rsidR="00AE6493" w14:paraId="721425C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F2A29C5" w14:textId="77777777" w:rsidR="00AE6493" w:rsidRDefault="0018643B">
            <w:pPr>
              <w:spacing w:after="20"/>
            </w:pPr>
            <w:r>
              <w:rPr>
                <w:sz w:val="16"/>
              </w:rPr>
              <w:t>Conversation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F913E6A" w14:textId="77777777" w:rsidR="00AE6493" w:rsidRDefault="0018643B">
            <w:pPr>
              <w:spacing w:after="20"/>
            </w:pPr>
            <w:r>
              <w:rPr>
                <w:sz w:val="16"/>
              </w:rPr>
              <w:t>LangGraph front door + bounded history/summary + SQLite</w:t>
            </w:r>
          </w:p>
        </w:tc>
      </w:tr>
      <w:tr w:rsidR="00AE6493" w14:paraId="573291F4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9FAF348" w14:textId="77777777" w:rsidR="00AE6493" w:rsidRDefault="0018643B">
            <w:pPr>
              <w:spacing w:after="20"/>
            </w:pPr>
            <w:r>
              <w:rPr>
                <w:sz w:val="16"/>
              </w:rPr>
              <w:t>API/UI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B53C17B" w14:textId="77777777" w:rsidR="00AE6493" w:rsidRDefault="0018643B">
            <w:pPr>
              <w:spacing w:after="20"/>
            </w:pPr>
            <w:r>
              <w:rPr>
                <w:sz w:val="16"/>
              </w:rPr>
              <w:t>FastAPI/SSE + React 19/TypeScript/Vite</w:t>
            </w:r>
          </w:p>
        </w:tc>
      </w:tr>
    </w:tbl>
    <w:p w14:paraId="4A162AA9" w14:textId="77777777" w:rsidR="00AE6493" w:rsidRDefault="00AE6493">
      <w:pPr>
        <w:spacing w:after="20"/>
      </w:pPr>
    </w:p>
    <w:sectPr w:rsidR="00AE6493" w:rsidSect="00034616">
      <w:headerReference w:type="default" r:id="rId18"/>
      <w:footerReference w:type="default" r:id="rId19"/>
      <w:pgSz w:w="11906" w:h="16838"/>
      <w:pgMar w:top="1020" w:right="1134" w:bottom="1020" w:left="1134" w:header="425" w:footer="4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D7F8" w14:textId="77777777" w:rsidR="00AF1788" w:rsidRDefault="00AF1788">
      <w:pPr>
        <w:spacing w:after="0" w:line="240" w:lineRule="auto"/>
      </w:pPr>
      <w:r>
        <w:separator/>
      </w:r>
    </w:p>
  </w:endnote>
  <w:endnote w:type="continuationSeparator" w:id="0">
    <w:p w14:paraId="1F62A49F" w14:textId="77777777" w:rsidR="00AF1788" w:rsidRDefault="00AF1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A161" w14:textId="01C26173" w:rsidR="00AE6493" w:rsidRDefault="0018643B" w:rsidP="00D40902">
    <w:pPr>
      <w:pStyle w:val="Footer"/>
    </w:pPr>
    <w:r>
      <w:fldChar w:fldCharType="begin"/>
    </w:r>
    <w:r>
      <w:instrText>PAGE</w:instrText>
    </w:r>
    <w:r>
      <w:fldChar w:fldCharType="separate"/>
    </w:r>
    <w:r w:rsidR="00FB2DD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F657" w14:textId="77777777" w:rsidR="00AF1788" w:rsidRDefault="00AF1788">
      <w:pPr>
        <w:spacing w:after="0" w:line="240" w:lineRule="auto"/>
      </w:pPr>
      <w:r>
        <w:separator/>
      </w:r>
    </w:p>
  </w:footnote>
  <w:footnote w:type="continuationSeparator" w:id="0">
    <w:p w14:paraId="3D6DE354" w14:textId="77777777" w:rsidR="00AF1788" w:rsidRDefault="00AF1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64B4" w14:textId="77777777" w:rsidR="00AE6493" w:rsidRDefault="0018643B">
    <w:pPr>
      <w:pStyle w:val="Header"/>
      <w:jc w:val="right"/>
    </w:pPr>
    <w:r>
      <w:rPr>
        <w:b/>
        <w:color w:val="5F6F89"/>
        <w:sz w:val="16"/>
      </w:rPr>
      <w:t>BANKSCOPE  •  NAUČNO-TEHNIČKI IZVEŠTAJ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376068">
    <w:abstractNumId w:val="8"/>
  </w:num>
  <w:num w:numId="2" w16cid:durableId="52192607">
    <w:abstractNumId w:val="6"/>
  </w:num>
  <w:num w:numId="3" w16cid:durableId="1029377490">
    <w:abstractNumId w:val="5"/>
  </w:num>
  <w:num w:numId="4" w16cid:durableId="394855722">
    <w:abstractNumId w:val="4"/>
  </w:num>
  <w:num w:numId="5" w16cid:durableId="480772877">
    <w:abstractNumId w:val="7"/>
  </w:num>
  <w:num w:numId="6" w16cid:durableId="945120208">
    <w:abstractNumId w:val="3"/>
  </w:num>
  <w:num w:numId="7" w16cid:durableId="1072239361">
    <w:abstractNumId w:val="2"/>
  </w:num>
  <w:num w:numId="8" w16cid:durableId="1024287729">
    <w:abstractNumId w:val="1"/>
  </w:num>
  <w:num w:numId="9" w16cid:durableId="143250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D0"/>
    <w:rsid w:val="0001606F"/>
    <w:rsid w:val="00024CE0"/>
    <w:rsid w:val="00034616"/>
    <w:rsid w:val="0006063C"/>
    <w:rsid w:val="00084B76"/>
    <w:rsid w:val="000F0F7F"/>
    <w:rsid w:val="0010085E"/>
    <w:rsid w:val="0012657B"/>
    <w:rsid w:val="00131F20"/>
    <w:rsid w:val="001505AF"/>
    <w:rsid w:val="0015074B"/>
    <w:rsid w:val="001778C3"/>
    <w:rsid w:val="0018643B"/>
    <w:rsid w:val="001A148B"/>
    <w:rsid w:val="001D62CF"/>
    <w:rsid w:val="001E3D71"/>
    <w:rsid w:val="001F2005"/>
    <w:rsid w:val="001F60CF"/>
    <w:rsid w:val="002363A2"/>
    <w:rsid w:val="00280E97"/>
    <w:rsid w:val="0029639D"/>
    <w:rsid w:val="002B72C9"/>
    <w:rsid w:val="002E6B84"/>
    <w:rsid w:val="002F0086"/>
    <w:rsid w:val="00300B29"/>
    <w:rsid w:val="00326F90"/>
    <w:rsid w:val="00346915"/>
    <w:rsid w:val="00363260"/>
    <w:rsid w:val="00374A06"/>
    <w:rsid w:val="00390856"/>
    <w:rsid w:val="003B1565"/>
    <w:rsid w:val="00402DAC"/>
    <w:rsid w:val="004316A6"/>
    <w:rsid w:val="00485BDA"/>
    <w:rsid w:val="005000E2"/>
    <w:rsid w:val="00511928"/>
    <w:rsid w:val="00513DEA"/>
    <w:rsid w:val="00537F3D"/>
    <w:rsid w:val="00581962"/>
    <w:rsid w:val="005D2F7C"/>
    <w:rsid w:val="005E1778"/>
    <w:rsid w:val="00660CB6"/>
    <w:rsid w:val="00665CF2"/>
    <w:rsid w:val="006C6C87"/>
    <w:rsid w:val="006D2578"/>
    <w:rsid w:val="006E3719"/>
    <w:rsid w:val="006F01DD"/>
    <w:rsid w:val="00704758"/>
    <w:rsid w:val="0070574C"/>
    <w:rsid w:val="00723504"/>
    <w:rsid w:val="0074109A"/>
    <w:rsid w:val="007475AE"/>
    <w:rsid w:val="0075278F"/>
    <w:rsid w:val="00766D6F"/>
    <w:rsid w:val="007C29CC"/>
    <w:rsid w:val="007E0420"/>
    <w:rsid w:val="00816321"/>
    <w:rsid w:val="0082787C"/>
    <w:rsid w:val="008436F0"/>
    <w:rsid w:val="00850614"/>
    <w:rsid w:val="00861726"/>
    <w:rsid w:val="008A5406"/>
    <w:rsid w:val="008D3D3D"/>
    <w:rsid w:val="008F1D63"/>
    <w:rsid w:val="008F67A8"/>
    <w:rsid w:val="009024A6"/>
    <w:rsid w:val="0091321D"/>
    <w:rsid w:val="00914591"/>
    <w:rsid w:val="00916BC0"/>
    <w:rsid w:val="009357B6"/>
    <w:rsid w:val="00961DFA"/>
    <w:rsid w:val="00972928"/>
    <w:rsid w:val="009A67CC"/>
    <w:rsid w:val="009D1CE1"/>
    <w:rsid w:val="009E29C1"/>
    <w:rsid w:val="009F4232"/>
    <w:rsid w:val="00A05FCB"/>
    <w:rsid w:val="00A1617A"/>
    <w:rsid w:val="00A5619A"/>
    <w:rsid w:val="00A71EFE"/>
    <w:rsid w:val="00A754B8"/>
    <w:rsid w:val="00A77004"/>
    <w:rsid w:val="00AA1D8D"/>
    <w:rsid w:val="00AB5375"/>
    <w:rsid w:val="00AE6493"/>
    <w:rsid w:val="00AF1788"/>
    <w:rsid w:val="00B00618"/>
    <w:rsid w:val="00B124C6"/>
    <w:rsid w:val="00B14953"/>
    <w:rsid w:val="00B214BE"/>
    <w:rsid w:val="00B24A82"/>
    <w:rsid w:val="00B3544B"/>
    <w:rsid w:val="00B47730"/>
    <w:rsid w:val="00B5171D"/>
    <w:rsid w:val="00B727EF"/>
    <w:rsid w:val="00BA41D4"/>
    <w:rsid w:val="00BB4823"/>
    <w:rsid w:val="00BD05CE"/>
    <w:rsid w:val="00C23D0D"/>
    <w:rsid w:val="00C25E63"/>
    <w:rsid w:val="00C32789"/>
    <w:rsid w:val="00C70768"/>
    <w:rsid w:val="00C74880"/>
    <w:rsid w:val="00C831DA"/>
    <w:rsid w:val="00C91962"/>
    <w:rsid w:val="00C95B29"/>
    <w:rsid w:val="00CB0664"/>
    <w:rsid w:val="00D31CE8"/>
    <w:rsid w:val="00D40902"/>
    <w:rsid w:val="00D44209"/>
    <w:rsid w:val="00D64BEE"/>
    <w:rsid w:val="00D86878"/>
    <w:rsid w:val="00DC30C8"/>
    <w:rsid w:val="00DF749B"/>
    <w:rsid w:val="00E05928"/>
    <w:rsid w:val="00E24C1F"/>
    <w:rsid w:val="00E35C4D"/>
    <w:rsid w:val="00E53B68"/>
    <w:rsid w:val="00E5456F"/>
    <w:rsid w:val="00E61B19"/>
    <w:rsid w:val="00EA2BF8"/>
    <w:rsid w:val="00EB2E94"/>
    <w:rsid w:val="00EB34B1"/>
    <w:rsid w:val="00EB516F"/>
    <w:rsid w:val="00EE0286"/>
    <w:rsid w:val="00EF2291"/>
    <w:rsid w:val="00EF6B70"/>
    <w:rsid w:val="00F25BDE"/>
    <w:rsid w:val="00F40BDF"/>
    <w:rsid w:val="00F41314"/>
    <w:rsid w:val="00F7753B"/>
    <w:rsid w:val="00FB035F"/>
    <w:rsid w:val="00FB2DD3"/>
    <w:rsid w:val="00FB5A69"/>
    <w:rsid w:val="00FC693F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E173B"/>
  <w14:defaultImageDpi w14:val="300"/>
  <w15:docId w15:val="{2CE6C2BB-73F8-4B03-8365-FF567624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3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02A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962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E83C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91962"/>
    <w:rPr>
      <w:rFonts w:asciiTheme="majorHAnsi" w:eastAsiaTheme="majorEastAsia" w:hAnsiTheme="majorHAnsi" w:cstheme="majorBidi"/>
      <w:b/>
      <w:bCs/>
      <w:color w:val="E83C3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02A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3159B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 Caption"/>
    <w:pPr>
      <w:spacing w:before="60" w:after="180"/>
    </w:pPr>
    <w:rPr>
      <w:rFonts w:ascii="Aptos" w:hAnsi="Aptos"/>
      <w:i/>
      <w:color w:val="5F6F89"/>
      <w:sz w:val="18"/>
    </w:rPr>
  </w:style>
  <w:style w:type="paragraph" w:customStyle="1" w:styleId="References">
    <w:name w:val="References"/>
    <w:pPr>
      <w:spacing w:after="80"/>
      <w:ind w:left="369" w:hanging="369"/>
    </w:pPr>
    <w:rPr>
      <w:rFonts w:ascii="Aptos" w:hAnsi="Aptos"/>
      <w:color w:val="17233B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FB2D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2DD3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B2D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20</Pages>
  <Words>3697</Words>
  <Characters>23075</Characters>
  <Application>Microsoft Office Word</Application>
  <DocSecurity>0</DocSecurity>
  <Lines>501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BankScope — naučno-tehnički izveštaj</vt:lpstr>
    </vt:vector>
  </TitlesOfParts>
  <Manager/>
  <Company/>
  <LinksUpToDate>false</LinksUpToDate>
  <CharactersWithSpaces>26429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BankScope — naučno-tehnički izveštaj</dc:title>
  <dc:subject>Arhitektura, evaluacija i pouzdanost evidence-grounded RAG sistema</dc:subject>
  <dc:creator>Nikola Bakić</dc:creator>
  <cp:keywords>BankScope, RAG, SEC 10-K, Qdrant, BM25S, canonical evidence</cp:keywords>
  <dc:description>Nova verzija izveštaja pripremljena 31. avgusta 2026.</dc:description>
  <cp:lastModifiedBy>Nikola Bakic</cp:lastModifiedBy>
  <cp:revision>104</cp:revision>
  <dcterms:created xsi:type="dcterms:W3CDTF">2026-08-31T13:58:00Z</dcterms:created>
  <dcterms:modified xsi:type="dcterms:W3CDTF">2026-09-04T12:10:00Z</dcterms:modified>
  <cp:category/>
</cp:coreProperties>
</file>