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ТЕХНОЛОГИЯ ПРОИЗВОДСТВА ПЕРСПЕКТИВНОЙ ОХЛАЖДАЮЩЕЙ ЖИДКОСТИ С РАСШИРЕННЫМ ДИАПАЗОНОМ ЭКСПЛУАТАЦИИ (−65…+130 °C) ДЛЯ ВЫСОКОФОРСИРОВАННЫХ ДВИГАТЕЛЕЙ ВНУТРЕННЕГО СГОРАНИЯ</w:t>
      </w:r>
    </w:p>
    <w:p>
      <w:pPr>
        <w:spacing w:after="120" w:line="360"/>
        <w:ind w:firstLine="720"/>
        <w:jc w:val="both"/>
      </w:pPr>
      <w:r>
        <w:rPr>
          <w:rFonts w:ascii="Times New Roman" w:cs="Times New Roman" w:eastAsia="Times New Roman" w:hAnsi="Times New Roman"/>
          <w:b/>
          <w:bCs/>
          <w:sz w:val="28"/>
          <w:szCs w:val="28"/>
        </w:rPr>
        <w:t xml:space="preserve">Аннотация. </w:t>
      </w:r>
      <w:r>
        <w:rPr>
          <w:rFonts w:ascii="Times New Roman" w:cs="Times New Roman" w:eastAsia="Times New Roman" w:hAnsi="Times New Roman"/>
          <w:sz w:val="28"/>
          <w:szCs w:val="28"/>
        </w:rPr>
        <w:t xml:space="preserve">Традиционные охлаждающие жидкости ограничены по ресурсу при высоких температурах и давлениях. Целью работы является разработка технологии охлаждающей жидкости для условий −65…+130 °C и 0,25 МПа. Использован подход P-OAT с обоснованием рецептуры и последовательности синтеза. Получены целевые показатели: плотность 1,090–1,100 г/см³ при +20 °C, pH 8,2–9,0, температура начала кристаллизации ≤ −65 °C. Состав применим в высокофорсированных ДВС.</w:t>
      </w:r>
    </w:p>
    <w:p>
      <w:pPr>
        <w:spacing w:after="240" w:line="360"/>
        <w:ind w:firstLine="720"/>
        <w:jc w:val="both"/>
      </w:pPr>
      <w:r>
        <w:rPr>
          <w:rFonts w:ascii="Times New Roman" w:cs="Times New Roman" w:eastAsia="Times New Roman" w:hAnsi="Times New Roman"/>
          <w:b/>
          <w:bCs/>
          <w:sz w:val="28"/>
          <w:szCs w:val="28"/>
        </w:rPr>
        <w:t xml:space="preserve">Ключевые слова: </w:t>
      </w:r>
      <w:r>
        <w:rPr>
          <w:rFonts w:ascii="Times New Roman" w:cs="Times New Roman" w:eastAsia="Times New Roman" w:hAnsi="Times New Roman"/>
          <w:sz w:val="28"/>
          <w:szCs w:val="28"/>
        </w:rPr>
        <w:t xml:space="preserve">охлаждающая жидкость, этиленгликоль, карбоксилатные ингибиторы, фосфатные присадки, P-OAT, термостабильность, высокофорсированные ДВС.</w:t>
      </w:r>
    </w:p>
    <w:p>
      <w:pPr>
        <w:pStyle w:val="Heading1"/>
        <w:spacing w:after="240" w:before="360" w:line="360"/>
        <w:jc w:val="left"/>
      </w:pPr>
      <w:r>
        <w:rPr>
          <w:rFonts w:ascii="Times New Roman" w:cs="Times New Roman" w:eastAsia="Times New Roman" w:hAnsi="Times New Roman"/>
          <w:b/>
          <w:bCs/>
          <w:sz w:val="32"/>
          <w:szCs w:val="32"/>
        </w:rPr>
        <w:t xml:space="preserve">1. Введение</w:t>
      </w:r>
    </w:p>
    <w:p>
      <w:pPr>
        <w:spacing w:after="120" w:line="360"/>
        <w:ind w:firstLine="720"/>
        <w:jc w:val="both"/>
      </w:pPr>
      <w:r>
        <w:rPr>
          <w:rFonts w:ascii="Times New Roman" w:cs="Times New Roman" w:eastAsia="Times New Roman" w:hAnsi="Times New Roman"/>
          <w:sz w:val="28"/>
          <w:szCs w:val="28"/>
        </w:rPr>
        <w:t xml:space="preserve">Современный этап развития двигателестроения характеризуется устойчивым ростом удельной мощности и форсированности двигателей внутреннего сгорания (ДВС). Тепловая нагрузка на систему охлаждения возрастает, что предъявляет повышенные требования к рабочей жидкости: расширенный температурный диапазон, устойчивость при избыточном давлении, многометалльная коррозионная защита и продолжительный ресурс без замены [ссылка нужна: обзорная статья по эволюции требований к ОЖ современных ДВС].</w:t>
      </w:r>
    </w:p>
    <w:p>
      <w:pPr>
        <w:spacing w:after="120" w:line="360"/>
        <w:ind w:firstLine="720"/>
        <w:jc w:val="both"/>
      </w:pPr>
      <w:r>
        <w:rPr>
          <w:rFonts w:ascii="Times New Roman" w:cs="Times New Roman" w:eastAsia="Times New Roman" w:hAnsi="Times New Roman"/>
          <w:sz w:val="28"/>
          <w:szCs w:val="28"/>
        </w:rPr>
        <w:t xml:space="preserve">Эволюция охлаждающих жидкостей прошла несколько поколений. Технология IAT (Inorganic Additive Technology) на основе силикатов, фосфатов и нитритов обеспечивала быстрый отклик защиты, но имела ограниченный ресурс из-за расходования ингибиторов. Технология OAT (Organic Acid Technology) на основе солей карбоновых кислот существенно увеличила срок службы за счёт каталитического характера действия органических ингибиторов, образующих защитную плёнку на металлических поверхностях. Гибридные технологии HOAT объединили преимущества OAT с минеральными добавками. Технология P-OAT (Phosphated OAT) представляет собой развитие OAT с введением фосфатных составляющих для усиления защиты в высоконагруженных контурах [ссылка нужна: монография или обзор по классификации поколений ОЖ].</w:t>
      </w:r>
    </w:p>
    <w:p>
      <w:pPr>
        <w:spacing w:after="120" w:line="360"/>
        <w:ind w:firstLine="720"/>
        <w:jc w:val="both"/>
      </w:pPr>
      <w:r>
        <w:rPr>
          <w:rFonts w:ascii="Times New Roman" w:cs="Times New Roman" w:eastAsia="Times New Roman" w:hAnsi="Times New Roman"/>
          <w:sz w:val="28"/>
          <w:szCs w:val="28"/>
        </w:rPr>
        <w:t xml:space="preserve">Эксплуатация при температуре до +130 °C и давлении 0,25 МПа создаёт условия, при которых традиционные составы IAT и часть рецептур HOAT теряют работоспособность из-за термической деструкции компонентов и образования шлама. Необходима технология, исключающая термически нестабильные ингибиторы и обеспечивающая защиту чёрных и цветных металлов в указанном диапазоне.</w:t>
      </w:r>
    </w:p>
    <w:p>
      <w:pPr>
        <w:spacing w:after="120" w:line="360"/>
        <w:ind w:firstLine="720"/>
        <w:jc w:val="both"/>
      </w:pPr>
      <w:r>
        <w:rPr>
          <w:rFonts w:ascii="Times New Roman" w:cs="Times New Roman" w:eastAsia="Times New Roman" w:hAnsi="Times New Roman"/>
          <w:b/>
          <w:bCs/>
          <w:sz w:val="28"/>
          <w:szCs w:val="28"/>
        </w:rPr>
        <w:t xml:space="preserve">Цель работы: </w:t>
      </w:r>
      <w:r>
        <w:rPr>
          <w:rFonts w:ascii="Times New Roman" w:cs="Times New Roman" w:eastAsia="Times New Roman" w:hAnsi="Times New Roman"/>
          <w:sz w:val="28"/>
          <w:szCs w:val="28"/>
        </w:rPr>
        <w:t xml:space="preserve">разработать технологию производства охлаждающей жидкости типа P-OAT для эксплуатации при температуре от −65 до +130 °C и давлении в системе охлаждения не менее 0,25 МПа.</w:t>
      </w:r>
    </w:p>
    <w:p>
      <w:pPr>
        <w:spacing w:after="120" w:line="360"/>
        <w:ind w:firstLine="720"/>
        <w:jc w:val="both"/>
      </w:pPr>
      <w:r>
        <w:rPr>
          <w:rFonts w:ascii="Times New Roman" w:cs="Times New Roman" w:eastAsia="Times New Roman" w:hAnsi="Times New Roman"/>
          <w:b/>
          <w:bCs/>
          <w:sz w:val="28"/>
          <w:szCs w:val="28"/>
        </w:rPr>
        <w:t xml:space="preserve">Задачи:</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обосновать выбор базовой основы и пакета ингибирующих присадок;</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определить последовательность технологических операций;</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задать целевые физико-химические показатели готового продукта;</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провести расчётные обоснования температурных характеристик.</w:t>
      </w:r>
    </w:p>
    <w:p>
      <w:pPr>
        <w:pStyle w:val="Heading1"/>
        <w:spacing w:after="240" w:before="360" w:line="360"/>
        <w:jc w:val="left"/>
      </w:pPr>
      <w:r>
        <w:rPr>
          <w:rFonts w:ascii="Times New Roman" w:cs="Times New Roman" w:eastAsia="Times New Roman" w:hAnsi="Times New Roman"/>
          <w:b/>
          <w:bCs/>
          <w:sz w:val="32"/>
          <w:szCs w:val="32"/>
        </w:rPr>
        <w:t xml:space="preserve">2. Технология производства, последовательность операций и рецептура</w:t>
      </w:r>
    </w:p>
    <w:p>
      <w:pPr>
        <w:spacing w:after="180" w:before="120" w:line="360"/>
        <w:ind w:left="720" w:right="720"/>
        <w:jc w:val="both"/>
      </w:pPr>
      <w:r>
        <w:rPr>
          <w:rFonts w:ascii="Times New Roman" w:cs="Times New Roman" w:eastAsia="Times New Roman" w:hAnsi="Times New Roman"/>
          <w:i/>
          <w:iCs/>
          <w:sz w:val="28"/>
          <w:szCs w:val="28"/>
        </w:rPr>
        <w:t xml:space="preserve">[ВПИСАТЬ: точные массы компонентов в кг и режимы синтеза из внутренней технической документации. Раздел заполняется пользователем — в данной версии черновика приведены только структурные подразделы.]</w:t>
      </w:r>
    </w:p>
    <w:p>
      <w:pPr>
        <w:pStyle w:val="Heading2"/>
        <w:spacing w:after="180" w:before="280" w:line="360"/>
        <w:jc w:val="left"/>
      </w:pPr>
      <w:r>
        <w:rPr>
          <w:rFonts w:ascii="Times New Roman" w:cs="Times New Roman" w:eastAsia="Times New Roman" w:hAnsi="Times New Roman"/>
          <w:b/>
          <w:bCs/>
          <w:sz w:val="30"/>
          <w:szCs w:val="30"/>
        </w:rPr>
        <w:t xml:space="preserve">2.1. Подготовка деминерализованной воды</w:t>
      </w:r>
    </w:p>
    <w:p>
      <w:pPr>
        <w:spacing w:after="120" w:line="360"/>
        <w:ind w:firstLine="720"/>
        <w:jc w:val="both"/>
      </w:pPr>
      <w:r>
        <w:rPr>
          <w:rFonts w:ascii="Times New Roman" w:cs="Times New Roman" w:eastAsia="Times New Roman" w:hAnsi="Times New Roman"/>
          <w:sz w:val="28"/>
          <w:szCs w:val="28"/>
        </w:rPr>
        <w:t xml:space="preserve">В качестве растворителя пакета присадок используется вода, очищенная обратным осмосом и/или дистилляцией, с удельным сопротивлением не менее 18 МОм·см.</w:t>
      </w:r>
    </w:p>
    <w:p>
      <w:pPr>
        <w:spacing w:after="120" w:line="360"/>
        <w:ind w:firstLine="720"/>
        <w:jc w:val="both"/>
      </w:pPr>
      <w:r>
        <w:rPr>
          <w:rFonts w:ascii="Times New Roman" w:cs="Times New Roman" w:eastAsia="Times New Roman" w:hAnsi="Times New Roman"/>
          <w:sz w:val="28"/>
          <w:szCs w:val="28"/>
        </w:rPr>
        <w:t xml:space="preserve">[ВПИСАТЬ: режим подготовки, объёмы, контрольные точки.]</w:t>
      </w:r>
    </w:p>
    <w:p>
      <w:pPr>
        <w:pStyle w:val="Heading2"/>
        <w:spacing w:after="180" w:before="280" w:line="360"/>
        <w:jc w:val="left"/>
      </w:pPr>
      <w:r>
        <w:rPr>
          <w:rFonts w:ascii="Times New Roman" w:cs="Times New Roman" w:eastAsia="Times New Roman" w:hAnsi="Times New Roman"/>
          <w:b/>
          <w:bCs/>
          <w:sz w:val="30"/>
          <w:szCs w:val="30"/>
        </w:rPr>
        <w:t xml:space="preserve">2.2. Нейтрализация карбоновых кислот щёлочью с ультразвуковой гомогенизацией</w:t>
      </w:r>
    </w:p>
    <w:p>
      <w:pPr>
        <w:spacing w:after="120" w:line="360"/>
        <w:ind w:firstLine="720"/>
        <w:jc w:val="both"/>
      </w:pPr>
      <w:r>
        <w:rPr>
          <w:rFonts w:ascii="Times New Roman" w:cs="Times New Roman" w:eastAsia="Times New Roman" w:hAnsi="Times New Roman"/>
          <w:sz w:val="28"/>
          <w:szCs w:val="28"/>
        </w:rPr>
        <w:t xml:space="preserve">Смесь себациновой и бензойной кислот переводится в солевую форму нейтрализацией гидроксидом натрия (или калия) в реакторе с ультразвуковой гомогенизацией. Ультразвуковое воздействие обеспечивает интенсивное диспергирование и стабилизацию молекулярной структуры солевого раствора.</w:t>
      </w:r>
    </w:p>
    <w:p>
      <w:pPr>
        <w:spacing w:after="120" w:line="360"/>
        <w:ind w:firstLine="720"/>
        <w:jc w:val="both"/>
      </w:pPr>
      <w:r>
        <w:rPr>
          <w:rFonts w:ascii="Times New Roman" w:cs="Times New Roman" w:eastAsia="Times New Roman" w:hAnsi="Times New Roman"/>
          <w:sz w:val="28"/>
          <w:szCs w:val="28"/>
        </w:rPr>
        <w:t xml:space="preserve">[ВПИСАТЬ: температура нейтрализации, °C; продолжительность, ч; параметры ультразвуковой обработки; массовые соотношения кислот и щёлочи.]</w:t>
      </w:r>
    </w:p>
    <w:p>
      <w:pPr>
        <w:pStyle w:val="Heading2"/>
        <w:spacing w:after="180" w:before="280" w:line="360"/>
        <w:jc w:val="left"/>
      </w:pPr>
      <w:r>
        <w:rPr>
          <w:rFonts w:ascii="Times New Roman" w:cs="Times New Roman" w:eastAsia="Times New Roman" w:hAnsi="Times New Roman"/>
          <w:b/>
          <w:bCs/>
          <w:sz w:val="30"/>
          <w:szCs w:val="30"/>
        </w:rPr>
        <w:t xml:space="preserve">2.3. Введение фосфатов и триазолов</w:t>
      </w:r>
    </w:p>
    <w:p>
      <w:pPr>
        <w:spacing w:after="120" w:line="360"/>
        <w:ind w:firstLine="720"/>
        <w:jc w:val="both"/>
      </w:pPr>
      <w:r>
        <w:rPr>
          <w:rFonts w:ascii="Times New Roman" w:cs="Times New Roman" w:eastAsia="Times New Roman" w:hAnsi="Times New Roman"/>
          <w:sz w:val="28"/>
          <w:szCs w:val="28"/>
        </w:rPr>
        <w:t xml:space="preserve">В нейтрализованный раствор вводятся фосфатная составляющая и триазольный ингибитор (бензотриазол или толилтриазол) в заданной последовательности.</w:t>
      </w:r>
    </w:p>
    <w:p>
      <w:pPr>
        <w:spacing w:after="120" w:line="360"/>
        <w:ind w:firstLine="720"/>
        <w:jc w:val="both"/>
      </w:pPr>
      <w:r>
        <w:rPr>
          <w:rFonts w:ascii="Times New Roman" w:cs="Times New Roman" w:eastAsia="Times New Roman" w:hAnsi="Times New Roman"/>
          <w:sz w:val="28"/>
          <w:szCs w:val="28"/>
        </w:rPr>
        <w:t xml:space="preserve">[ВПИСАТЬ: порядок ввода, температурный режим, массы.]</w:t>
      </w:r>
    </w:p>
    <w:p>
      <w:pPr>
        <w:pStyle w:val="Heading2"/>
        <w:spacing w:after="180" w:before="280" w:line="360"/>
        <w:jc w:val="left"/>
      </w:pPr>
      <w:r>
        <w:rPr>
          <w:rFonts w:ascii="Times New Roman" w:cs="Times New Roman" w:eastAsia="Times New Roman" w:hAnsi="Times New Roman"/>
          <w:b/>
          <w:bCs/>
          <w:sz w:val="30"/>
          <w:szCs w:val="30"/>
        </w:rPr>
        <w:t xml:space="preserve">2.4. Смешение водного концентрата с моноэтиленгликолем</w:t>
      </w:r>
    </w:p>
    <w:p>
      <w:pPr>
        <w:spacing w:after="120" w:line="360"/>
        <w:ind w:firstLine="720"/>
        <w:jc w:val="both"/>
      </w:pPr>
      <w:r>
        <w:rPr>
          <w:rFonts w:ascii="Times New Roman" w:cs="Times New Roman" w:eastAsia="Times New Roman" w:hAnsi="Times New Roman"/>
          <w:sz w:val="28"/>
          <w:szCs w:val="28"/>
        </w:rPr>
        <w:t xml:space="preserve">Подготовленный водный концентрат пакета присадок вводится в моноэтиленгликоль (МЭГ) высшего сорта с последующим перемешиванием до получения однородного раствора.</w:t>
      </w:r>
    </w:p>
    <w:p>
      <w:pPr>
        <w:spacing w:after="120" w:line="360"/>
        <w:ind w:firstLine="720"/>
        <w:jc w:val="both"/>
      </w:pPr>
      <w:r>
        <w:rPr>
          <w:rFonts w:ascii="Times New Roman" w:cs="Times New Roman" w:eastAsia="Times New Roman" w:hAnsi="Times New Roman"/>
          <w:sz w:val="28"/>
          <w:szCs w:val="28"/>
        </w:rPr>
        <w:t xml:space="preserve">[ВПИСАТЬ: соотношение МЭГ/водный концентрат, температура смешения, продолжительность перемешивания.]</w:t>
      </w:r>
    </w:p>
    <w:p>
      <w:pPr>
        <w:pStyle w:val="Heading2"/>
        <w:spacing w:after="180" w:before="280" w:line="360"/>
        <w:jc w:val="left"/>
      </w:pPr>
      <w:r>
        <w:rPr>
          <w:rFonts w:ascii="Times New Roman" w:cs="Times New Roman" w:eastAsia="Times New Roman" w:hAnsi="Times New Roman"/>
          <w:b/>
          <w:bCs/>
          <w:sz w:val="30"/>
          <w:szCs w:val="30"/>
        </w:rPr>
        <w:t xml:space="preserve">2.5. Контроль качества готового продукта</w:t>
      </w:r>
    </w:p>
    <w:p>
      <w:pPr>
        <w:spacing w:after="120" w:line="360"/>
        <w:ind w:firstLine="720"/>
        <w:jc w:val="both"/>
      </w:pPr>
      <w:r>
        <w:rPr>
          <w:rFonts w:ascii="Times New Roman" w:cs="Times New Roman" w:eastAsia="Times New Roman" w:hAnsi="Times New Roman"/>
          <w:sz w:val="28"/>
          <w:szCs w:val="28"/>
        </w:rPr>
        <w:t xml:space="preserve">Контролируемые параметры готовой охлаждающей жидкости:</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плотность при +20 °C;</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водородный показатель (pH);</w:t>
      </w:r>
    </w:p>
    <w:p>
      <w:pPr>
        <w:pStyle w:val="ListParagraph"/>
        <w:numPr>
          <w:ilvl w:val="0"/>
          <w:numId w:val="2"/>
        </w:numPr>
        <w:spacing w:after="80" w:line="360"/>
        <w:jc w:val="both"/>
      </w:pPr>
      <w:r>
        <w:rPr>
          <w:rFonts w:ascii="Times New Roman" w:cs="Times New Roman" w:eastAsia="Times New Roman" w:hAnsi="Times New Roman"/>
          <w:sz w:val="28"/>
          <w:szCs w:val="28"/>
        </w:rPr>
        <w:t xml:space="preserve">температура начала кристаллизации;</w:t>
      </w:r>
    </w:p>
    <w:p>
      <w:pPr>
        <w:pStyle w:val="ListParagraph"/>
        <w:numPr>
          <w:ilvl w:val="0"/>
          <w:numId w:val="2"/>
        </w:numPr>
        <w:spacing w:after="80" w:line="360"/>
        <w:jc w:val="both"/>
      </w:pPr>
      <w:r>
        <w:rPr>
          <w:rFonts w:ascii="Times New Roman" w:cs="Times New Roman" w:eastAsia="Times New Roman" w:hAnsi="Times New Roman"/>
          <w:sz w:val="28"/>
          <w:szCs w:val="28"/>
        </w:rPr>
        <w:t xml:space="preserve">температура кипения;</w:t>
      </w:r>
    </w:p>
    <w:p>
      <w:pPr>
        <w:pStyle w:val="ListParagraph"/>
        <w:numPr>
          <w:ilvl w:val="0"/>
          <w:numId w:val="2"/>
        </w:numPr>
        <w:spacing w:after="80" w:line="360"/>
        <w:jc w:val="both"/>
      </w:pPr>
      <w:r>
        <w:rPr>
          <w:rFonts w:ascii="Times New Roman" w:cs="Times New Roman" w:eastAsia="Times New Roman" w:hAnsi="Times New Roman"/>
          <w:sz w:val="28"/>
          <w:szCs w:val="28"/>
        </w:rPr>
        <w:t xml:space="preserve">резерв щёлочности.</w:t>
      </w:r>
    </w:p>
    <w:p>
      <w:pPr>
        <w:spacing w:after="120" w:line="360"/>
        <w:ind w:firstLine="720"/>
        <w:jc w:val="both"/>
      </w:pPr>
      <w:r>
        <w:rPr>
          <w:rFonts w:ascii="Times New Roman" w:cs="Times New Roman" w:eastAsia="Times New Roman" w:hAnsi="Times New Roman"/>
          <w:sz w:val="28"/>
          <w:szCs w:val="28"/>
        </w:rPr>
        <w:t xml:space="preserve">Методики и контрольные значения — см. раздел 4.</w:t>
      </w:r>
    </w:p>
    <w:p>
      <w:pPr>
        <w:pStyle w:val="Heading1"/>
        <w:spacing w:after="240" w:before="360" w:line="360"/>
        <w:jc w:val="left"/>
      </w:pPr>
      <w:r>
        <w:rPr>
          <w:rFonts w:ascii="Times New Roman" w:cs="Times New Roman" w:eastAsia="Times New Roman" w:hAnsi="Times New Roman"/>
          <w:b/>
          <w:bCs/>
          <w:sz w:val="32"/>
          <w:szCs w:val="32"/>
        </w:rPr>
        <w:t xml:space="preserve">3. Обоснование выбора компонентов</w:t>
      </w:r>
    </w:p>
    <w:p>
      <w:pPr>
        <w:pStyle w:val="Heading2"/>
        <w:spacing w:after="180" w:before="280" w:line="360"/>
        <w:jc w:val="left"/>
      </w:pPr>
      <w:r>
        <w:rPr>
          <w:rFonts w:ascii="Times New Roman" w:cs="Times New Roman" w:eastAsia="Times New Roman" w:hAnsi="Times New Roman"/>
          <w:b/>
          <w:bCs/>
          <w:sz w:val="30"/>
          <w:szCs w:val="30"/>
        </w:rPr>
        <w:t xml:space="preserve">3.1. Базовая основа: моноэтиленгликоль</w:t>
      </w:r>
    </w:p>
    <w:p>
      <w:pPr>
        <w:spacing w:after="120" w:line="360"/>
        <w:ind w:firstLine="720"/>
        <w:jc w:val="both"/>
      </w:pPr>
      <w:r>
        <w:rPr>
          <w:rFonts w:ascii="Times New Roman" w:cs="Times New Roman" w:eastAsia="Times New Roman" w:hAnsi="Times New Roman"/>
          <w:sz w:val="28"/>
          <w:szCs w:val="28"/>
        </w:rPr>
        <w:t xml:space="preserve">В качестве базовой основы выбран моноэтиленгликоль (МЭГ) высшего сорта. Альтернативные двухатомные спирты — пропиленгликоль (ПГ) и глицерин — рассмотрены и отклонены по совокупности теплофизических и эксплуатационных характеристик.</w:t>
      </w:r>
    </w:p>
    <w:p>
      <w:pPr>
        <w:spacing w:after="120" w:line="360"/>
        <w:ind w:firstLine="720"/>
        <w:jc w:val="both"/>
      </w:pPr>
      <w:r>
        <w:rPr>
          <w:rFonts w:ascii="Times New Roman" w:cs="Times New Roman" w:eastAsia="Times New Roman" w:hAnsi="Times New Roman"/>
          <w:sz w:val="28"/>
          <w:szCs w:val="28"/>
        </w:rPr>
        <w:t xml:space="preserve">Удельная теплоёмкость водных растворов МЭГ выше, чем у растворов ПГ при сопоставимой концентрации, что обеспечивает более эффективный теплоотвод от нагретых деталей ДВС [ссылка нужна: справочные данные по теплофизическим свойствам водных растворов гликолей]. Кинематическая вязкость растворов МЭГ в области отрицательных температур существенно ниже, чем у растворов ПГ и глицерина, что критично для обеспечения циркуляции в системе охлаждения при −65 °C: глицериновые композиции при таких температурах теряют текучесть и не обеспечивают штатную работу насоса [ссылка нужна: данные по вязкости водно-гликолевых смесей при низких температурах].</w:t>
      </w:r>
    </w:p>
    <w:p>
      <w:pPr>
        <w:spacing w:after="120" w:line="360"/>
        <w:ind w:firstLine="720"/>
        <w:jc w:val="both"/>
      </w:pPr>
      <w:r>
        <w:rPr>
          <w:rFonts w:ascii="Times New Roman" w:cs="Times New Roman" w:eastAsia="Times New Roman" w:hAnsi="Times New Roman"/>
          <w:sz w:val="28"/>
          <w:szCs w:val="28"/>
        </w:rPr>
        <w:t xml:space="preserve">Минимальная температура кристаллизации бинарной смеси с водой достигается у МЭГ при концентрации, соответствующей эвтектической области диаграммы состояния системы МЭГ–H₂O, и составляет величину ниже −65 °C. Для пропиленгликоля минимум эвтектики выше, что не позволяет гарантированно обеспечить заданное требование по нижней границе рабочего диапазона. Глицерин по диаграмме состояния с водой даёт минимум кристаллизации в области около −47 °C, что недостаточно [ссылка нужна: фазовые диаграммы систем МЭГ–H₂O, ПГ–H₂O, глицерин–H₂O].</w:t>
      </w:r>
    </w:p>
    <w:p>
      <w:pPr>
        <w:spacing w:after="120" w:line="360"/>
        <w:ind w:firstLine="720"/>
        <w:jc w:val="both"/>
      </w:pPr>
      <w:r>
        <w:rPr>
          <w:rFonts w:ascii="Times New Roman" w:cs="Times New Roman" w:eastAsia="Times New Roman" w:hAnsi="Times New Roman"/>
          <w:sz w:val="28"/>
          <w:szCs w:val="28"/>
        </w:rPr>
        <w:t xml:space="preserve">Дополнительным фактором является доступность сырья и устоявшаяся номенклатура нормативных требований к МЭГ высшего сорта (ГОСТ 19710 и аналогичные), что обеспечивает воспроизводимость качества базовой основы при серийном производстве.</w:t>
      </w:r>
    </w:p>
    <w:p>
      <w:pPr>
        <w:pStyle w:val="Heading2"/>
        <w:spacing w:after="180" w:before="280" w:line="360"/>
        <w:jc w:val="left"/>
      </w:pPr>
      <w:r>
        <w:rPr>
          <w:rFonts w:ascii="Times New Roman" w:cs="Times New Roman" w:eastAsia="Times New Roman" w:hAnsi="Times New Roman"/>
          <w:b/>
          <w:bCs/>
          <w:sz w:val="30"/>
          <w:szCs w:val="30"/>
        </w:rPr>
        <w:t xml:space="preserve">3.2. Пакет карбоксилатных ингибиторов</w:t>
      </w:r>
    </w:p>
    <w:p>
      <w:pPr>
        <w:spacing w:after="120" w:line="360"/>
        <w:ind w:firstLine="720"/>
        <w:jc w:val="both"/>
      </w:pPr>
      <w:r>
        <w:rPr>
          <w:rFonts w:ascii="Times New Roman" w:cs="Times New Roman" w:eastAsia="Times New Roman" w:hAnsi="Times New Roman"/>
          <w:sz w:val="28"/>
          <w:szCs w:val="28"/>
        </w:rPr>
        <w:t xml:space="preserve">В состав пакета введена смесь себациновой и бензойной кислот в солевой форме. Применение смеси, а не индивидуальной кислоты, обусловлено принципом многометалльной защиты и расширения рабочего диапазона pH.</w:t>
      </w:r>
    </w:p>
    <w:p>
      <w:pPr>
        <w:spacing w:after="120" w:line="360"/>
        <w:ind w:firstLine="720"/>
        <w:jc w:val="both"/>
      </w:pPr>
      <w:r>
        <w:rPr>
          <w:rFonts w:ascii="Times New Roman" w:cs="Times New Roman" w:eastAsia="Times New Roman" w:hAnsi="Times New Roman"/>
          <w:sz w:val="28"/>
          <w:szCs w:val="28"/>
        </w:rPr>
        <w:t xml:space="preserve">Карбоксилатные ингибиторы действуют по механизму избирательной хемосорбции на поверхности металла с образованием тонкой адсорбционной плёнки, блокирующей анодные участки коррозионных пар [ссылка нужна: обзорная статья по механизму действия OAT-ингибиторов]. При этом разные карбоксилаты проявляют различную эффективность по отношению к разным металлам: длинноцепочечные двухосновные кислоты предпочтительно защищают чёрные металлы и алюминий, ароматические монокарбоновые — припои и чугун. Применение смеси обеспечивает одновременную защиту всей номенклатуры конструкционных металлов системы охлаждения (чугун, сталь, алюминиевые сплавы, медь, латунь, припои) без необходимости избыточного увеличения концентрации одного компонента.</w:t>
      </w:r>
    </w:p>
    <w:p>
      <w:pPr>
        <w:spacing w:after="120" w:line="360"/>
        <w:ind w:firstLine="720"/>
        <w:jc w:val="both"/>
      </w:pPr>
      <w:r>
        <w:rPr>
          <w:rFonts w:ascii="Times New Roman" w:cs="Times New Roman" w:eastAsia="Times New Roman" w:hAnsi="Times New Roman"/>
          <w:sz w:val="28"/>
          <w:szCs w:val="28"/>
        </w:rPr>
        <w:t xml:space="preserve">Второй аспект — pH-буферирование. Себациновая кислота (pKa₁ ≈ 4,7; pKa₂ ≈ 5,6) и бензойная кислота (pKa ≈ 4,2) в солевой форме формируют комбинированную буферную систему, удерживающую pH готового продукта в целевом диапазоне 8,2–9,0 на протяжении ресурса. Монокарбоновая система такой устойчивости не обеспечивает [ссылка нужна: данные по pKa карбоновых кислот, расчёт буферной ёмкости].</w:t>
      </w:r>
    </w:p>
    <w:p>
      <w:pPr>
        <w:pStyle w:val="Heading3"/>
        <w:spacing w:after="160" w:before="240" w:line="360"/>
        <w:jc w:val="left"/>
      </w:pPr>
      <w:r>
        <w:rPr>
          <w:rFonts w:ascii="Times New Roman" w:cs="Times New Roman" w:eastAsia="Times New Roman" w:hAnsi="Times New Roman"/>
          <w:b/>
          <w:bCs/>
          <w:i/>
          <w:iCs/>
          <w:sz w:val="28"/>
          <w:szCs w:val="28"/>
        </w:rPr>
        <w:t xml:space="preserve">3.2.1. Себациновая кислота</w:t>
      </w:r>
    </w:p>
    <w:p>
      <w:pPr>
        <w:spacing w:after="120" w:line="360"/>
        <w:ind w:firstLine="720"/>
        <w:jc w:val="both"/>
      </w:pPr>
      <w:r>
        <w:rPr>
          <w:rFonts w:ascii="Times New Roman" w:cs="Times New Roman" w:eastAsia="Times New Roman" w:hAnsi="Times New Roman"/>
          <w:sz w:val="28"/>
          <w:szCs w:val="28"/>
        </w:rPr>
        <w:t xml:space="preserve">Себациновая кислота HOOC–(CH₂)₈–COOH в виде натриевой или калиевой соли выполняет функцию основного длинноцепочечного карбоксилата. За счёт двух карбоксильных групп, разнесённых углеводородной цепью из восьми метиленовых звеньев, молекула формирует устойчивую плотноупакованную плёнку на поверхности чёрных металлов и алюминиевых сплавов. Длина гидрофобного «хвоста» обеспечивает экранирование металлической поверхности от водной фазы и замедляет проникновение коррозионных агентов [ссылка нужна: исследование структуры адсорбционных плёнок дикарбоксилатов на стали и алюминии].</w:t>
      </w:r>
    </w:p>
    <w:p>
      <w:pPr>
        <w:spacing w:after="120" w:line="360"/>
        <w:ind w:firstLine="720"/>
        <w:jc w:val="both"/>
      </w:pPr>
      <w:r>
        <w:rPr>
          <w:rFonts w:ascii="Times New Roman" w:cs="Times New Roman" w:eastAsia="Times New Roman" w:hAnsi="Times New Roman"/>
          <w:sz w:val="28"/>
          <w:szCs w:val="28"/>
        </w:rPr>
        <w:t xml:space="preserve">Термостабильность себациновой кислоты и её солей при +130 °C подтверждается её широким применением в современных карбоксилатных составах G12+/G12++ [ссылка нужна: спецификация типового состава G12++ или эквивалентного]. Деструкция в указанном температурном диапазоне не наблюдается, что обеспечивает сохранение защитных свойств в течение всего ресурса.</w:t>
      </w:r>
    </w:p>
    <w:p>
      <w:pPr>
        <w:pStyle w:val="Heading3"/>
        <w:spacing w:after="160" w:before="240" w:line="360"/>
        <w:jc w:val="left"/>
      </w:pPr>
      <w:r>
        <w:rPr>
          <w:rFonts w:ascii="Times New Roman" w:cs="Times New Roman" w:eastAsia="Times New Roman" w:hAnsi="Times New Roman"/>
          <w:b/>
          <w:bCs/>
          <w:i/>
          <w:iCs/>
          <w:sz w:val="28"/>
          <w:szCs w:val="28"/>
        </w:rPr>
        <w:t xml:space="preserve">3.2.2. Бензойная кислота</w:t>
      </w:r>
    </w:p>
    <w:p>
      <w:pPr>
        <w:spacing w:after="120" w:line="360"/>
        <w:ind w:firstLine="720"/>
        <w:jc w:val="both"/>
      </w:pPr>
      <w:r>
        <w:rPr>
          <w:rFonts w:ascii="Times New Roman" w:cs="Times New Roman" w:eastAsia="Times New Roman" w:hAnsi="Times New Roman"/>
          <w:sz w:val="28"/>
          <w:szCs w:val="28"/>
        </w:rPr>
        <w:t xml:space="preserve">Бензойная кислота C₆H₅COOH вводится как со-ингибитор. Её роль — расширение pH-буферной зоны в кислотную область и обеспечение защиты припоев (сплавов на основе свинца и олова) и чугуна, для которых длинноцепочечные алифатические дикарбоксилаты менее эффективны.</w:t>
      </w:r>
    </w:p>
    <w:p>
      <w:pPr>
        <w:spacing w:after="120" w:line="360"/>
        <w:ind w:firstLine="720"/>
        <w:jc w:val="both"/>
      </w:pPr>
      <w:r>
        <w:rPr>
          <w:rFonts w:ascii="Times New Roman" w:cs="Times New Roman" w:eastAsia="Times New Roman" w:hAnsi="Times New Roman"/>
          <w:sz w:val="28"/>
          <w:szCs w:val="28"/>
        </w:rPr>
        <w:t xml:space="preserve">Механизм действия включает адсорбцию ароматического кольца на металлической поверхности с формированием плёнки. Ароматический фрагмент обеспечивает более прочную хемосорбцию на поверхностях, обогащённых медью или свинцом, по сравнению с алифатическими аналогами [ссылка нужна: обзор по механизму действия ароматических ингибиторов коррозии]. В сочетании с себациновой кислотой бензойная компенсирует области эксплуатации, где первая работает с пониженной эффективностью, и расширяет температурный коридор стабильности всего пакета.</w:t>
      </w:r>
    </w:p>
    <w:p>
      <w:pPr>
        <w:pStyle w:val="Heading3"/>
        <w:spacing w:after="160" w:before="240" w:line="360"/>
        <w:jc w:val="left"/>
      </w:pPr>
      <w:r>
        <w:rPr>
          <w:rFonts w:ascii="Times New Roman" w:cs="Times New Roman" w:eastAsia="Times New Roman" w:hAnsi="Times New Roman"/>
          <w:b/>
          <w:bCs/>
          <w:i/>
          <w:iCs/>
          <w:sz w:val="28"/>
          <w:szCs w:val="28"/>
        </w:rPr>
        <w:t xml:space="preserve">3.2.3. Обоснование отказа от 2-этилгексановой кислоты</w:t>
      </w:r>
    </w:p>
    <w:p>
      <w:pPr>
        <w:spacing w:after="120" w:line="360"/>
        <w:ind w:firstLine="720"/>
        <w:jc w:val="both"/>
      </w:pPr>
      <w:r>
        <w:rPr>
          <w:rFonts w:ascii="Times New Roman" w:cs="Times New Roman" w:eastAsia="Times New Roman" w:hAnsi="Times New Roman"/>
          <w:sz w:val="28"/>
          <w:szCs w:val="28"/>
        </w:rPr>
        <w:t xml:space="preserve">Из современной практики формирования рецептур охлаждающих жидкостей коммерческого назначения исключается применение 2-этилгексановой кислоты (2-EHA). Основной причиной является её деструктивное действие на полимерные материалы уплотнений системы охлаждения — этилен-пропилен-диеновый каучук (EPDM), силикон, нитрильную резину [ссылка нужна: исследование совместимости 2-EHA с эластомерами систем охлаждения, материалы SAE или Society of Tribologists]. Под воздействием 2-EHA наблюдается набухание и потеря эластичности уплотнений, что приводит к утечкам и сокращению ресурса узлов системы. Для эксплуатации при +130 °C, где термомеханическая нагрузка на эластомеры повышена, использование 2-EHA недопустимо. Соответственно, в разработанной рецептуре 2-этилгексановая кислота отсутствует.</w:t>
      </w:r>
    </w:p>
    <w:p>
      <w:pPr>
        <w:pStyle w:val="Heading2"/>
        <w:spacing w:after="180" w:before="280" w:line="360"/>
        <w:jc w:val="left"/>
      </w:pPr>
      <w:r>
        <w:rPr>
          <w:rFonts w:ascii="Times New Roman" w:cs="Times New Roman" w:eastAsia="Times New Roman" w:hAnsi="Times New Roman"/>
          <w:b/>
          <w:bCs/>
          <w:sz w:val="30"/>
          <w:szCs w:val="30"/>
        </w:rPr>
        <w:t xml:space="preserve">3.3. Фосфатная составляющая</w:t>
      </w:r>
    </w:p>
    <w:p>
      <w:pPr>
        <w:spacing w:after="120" w:line="360"/>
        <w:ind w:firstLine="720"/>
        <w:jc w:val="both"/>
      </w:pPr>
      <w:r>
        <w:rPr>
          <w:rFonts w:ascii="Times New Roman" w:cs="Times New Roman" w:eastAsia="Times New Roman" w:hAnsi="Times New Roman"/>
          <w:sz w:val="28"/>
          <w:szCs w:val="28"/>
        </w:rPr>
        <w:t xml:space="preserve">Фосфатные соединения введены в состав в паре с карбоксилатами с целью усиления защиты в режимах высокой механической и тепловой нагрузки. Ключевая функция фосфатов — формирование защитной плёнки на поверхности чугуна и алюминиевых сплавов, а также противодействие кавитационной эрозии гильз цилиндров [ссылка нужна: исследование действия фосфатных ингибиторов в условиях кавитации].</w:t>
      </w:r>
    </w:p>
    <w:p>
      <w:pPr>
        <w:spacing w:after="120" w:line="360"/>
        <w:ind w:firstLine="720"/>
        <w:jc w:val="both"/>
      </w:pPr>
      <w:r>
        <w:rPr>
          <w:rFonts w:ascii="Times New Roman" w:cs="Times New Roman" w:eastAsia="Times New Roman" w:hAnsi="Times New Roman"/>
          <w:sz w:val="28"/>
          <w:szCs w:val="28"/>
        </w:rPr>
        <w:t xml:space="preserve">Кавитационная эрозия гильз цилиндров — характерный вид износа в высокофорсированных ДВС: вибрация гильзы вызывает образование и схлопывание пузырьков пара в охлаждающей жидкости, что приводит к разрушению защитной плёнки и материала гильзы. Фосфатная плёнка, восстанавливающаяся в зоне разрушения за счёт реакции с поверхностью металла, обеспечивает динамическую защиту, недостижимую только за счёт карбоксилатных ингибиторов.</w:t>
      </w:r>
    </w:p>
    <w:p>
      <w:pPr>
        <w:spacing w:after="120" w:line="360"/>
        <w:ind w:firstLine="720"/>
        <w:jc w:val="both"/>
      </w:pPr>
      <w:r>
        <w:rPr>
          <w:rFonts w:ascii="Times New Roman" w:cs="Times New Roman" w:eastAsia="Times New Roman" w:hAnsi="Times New Roman"/>
          <w:sz w:val="28"/>
          <w:szCs w:val="28"/>
        </w:rPr>
        <w:t xml:space="preserve">Синергизм с карбоксилатами проявляется на разных стадиях ресурса охлаждающей жидкости: на начальном этапе фосфаты обеспечивают быстрый отклик защиты — формирование плёнки происходит за минуты после ввода жидкости в систему. Карбоксилатные ингибиторы выходят на рабочий режим медленнее, но обеспечивают долговременную защиту. По мере расходования фосфатов в первый период эксплуатации основную нагрузку принимает карбоксилатный пакет, что обеспечивает плавное и протяжённое во времени распределение защитной функции [ссылка нужна: обзор по синергизму фосфатно-карбоксилатных систем].</w:t>
      </w:r>
    </w:p>
    <w:p>
      <w:pPr>
        <w:pStyle w:val="Heading2"/>
        <w:spacing w:after="180" w:before="280" w:line="360"/>
        <w:jc w:val="left"/>
      </w:pPr>
      <w:r>
        <w:rPr>
          <w:rFonts w:ascii="Times New Roman" w:cs="Times New Roman" w:eastAsia="Times New Roman" w:hAnsi="Times New Roman"/>
          <w:b/>
          <w:bCs/>
          <w:sz w:val="30"/>
          <w:szCs w:val="30"/>
        </w:rPr>
        <w:t xml:space="preserve">3.4. Триазольный ингибитор</w:t>
      </w:r>
    </w:p>
    <w:p>
      <w:pPr>
        <w:spacing w:after="120" w:line="360"/>
        <w:ind w:firstLine="720"/>
        <w:jc w:val="both"/>
      </w:pPr>
      <w:r>
        <w:rPr>
          <w:rFonts w:ascii="Times New Roman" w:cs="Times New Roman" w:eastAsia="Times New Roman" w:hAnsi="Times New Roman"/>
          <w:sz w:val="28"/>
          <w:szCs w:val="28"/>
        </w:rPr>
        <w:t xml:space="preserve">Бензотриазол (БТА) либо толилтриазол (ТТА) выполняет функцию специфического ингибитора коррозии меди и медных сплавов (латуни). Защита меди и латуни критична для систем охлаждения, содержащих радиаторы и теплообменники медно-латунной конструкции, а также медные элементы термостатов и патрубков.</w:t>
      </w:r>
    </w:p>
    <w:p>
      <w:pPr>
        <w:spacing w:after="120" w:line="360"/>
        <w:ind w:firstLine="720"/>
        <w:jc w:val="both"/>
      </w:pPr>
      <w:r>
        <w:rPr>
          <w:rFonts w:ascii="Times New Roman" w:cs="Times New Roman" w:eastAsia="Times New Roman" w:hAnsi="Times New Roman"/>
          <w:sz w:val="28"/>
          <w:szCs w:val="28"/>
        </w:rPr>
        <w:t xml:space="preserve">Механизм действия триазолов — хемосорбция на поверхности меди с образованием полимерного комплекса состава [Cu(I)–триазолат]ₙ. Атом азота триазольного цикла координирует ион меди, формируя двумерную сетку, прочно связанную с поверхностью металла и непроницаемую для коррозионных агентов [ссылка нужна: научная статья по электрохимии адсорбции триазолов на меди]. Толщина защитной плёнки составляет несколько молекулярных слоёв, что обеспечивает высокую эффективность при низкой концентрации ингибитора в рецептуре.</w:t>
      </w:r>
    </w:p>
    <w:p>
      <w:pPr>
        <w:spacing w:after="120" w:line="360"/>
        <w:ind w:firstLine="720"/>
        <w:jc w:val="both"/>
      </w:pPr>
      <w:r>
        <w:rPr>
          <w:rFonts w:ascii="Times New Roman" w:cs="Times New Roman" w:eastAsia="Times New Roman" w:hAnsi="Times New Roman"/>
          <w:sz w:val="28"/>
          <w:szCs w:val="28"/>
        </w:rPr>
        <w:t xml:space="preserve">Толилтриазол отличается от бензотриазола наличием метильной группы в ароматическом кольце, что повышает его термическую стабильность и устойчивость в окислительной среде. Для эксплуатации при +130 °C ТТА предпочтительнее БТА с точки зрения сохранения эффективности на протяжении ресурса.</w:t>
      </w:r>
    </w:p>
    <w:p>
      <w:pPr>
        <w:pStyle w:val="Heading2"/>
        <w:spacing w:after="180" w:before="280" w:line="360"/>
        <w:jc w:val="left"/>
      </w:pPr>
      <w:r>
        <w:rPr>
          <w:rFonts w:ascii="Times New Roman" w:cs="Times New Roman" w:eastAsia="Times New Roman" w:hAnsi="Times New Roman"/>
          <w:b/>
          <w:bCs/>
          <w:sz w:val="30"/>
          <w:szCs w:val="30"/>
        </w:rPr>
        <w:t xml:space="preserve">3.5. Пеногаситель и комплексообразователь</w:t>
      </w:r>
    </w:p>
    <w:p>
      <w:pPr>
        <w:spacing w:after="120" w:line="360"/>
        <w:ind w:firstLine="720"/>
        <w:jc w:val="both"/>
      </w:pPr>
      <w:r>
        <w:rPr>
          <w:rFonts w:ascii="Times New Roman" w:cs="Times New Roman" w:eastAsia="Times New Roman" w:hAnsi="Times New Roman"/>
          <w:sz w:val="28"/>
          <w:szCs w:val="28"/>
        </w:rPr>
        <w:t xml:space="preserve">Пеногаситель в разработанной рецептуре представлен соединением типа «Лапрол» — это </w:t>
      </w:r>
      <w:r>
        <w:rPr>
          <w:rFonts w:ascii="Times New Roman" w:cs="Times New Roman" w:eastAsia="Times New Roman" w:hAnsi="Times New Roman"/>
          <w:b/>
          <w:bCs/>
          <w:sz w:val="28"/>
          <w:szCs w:val="28"/>
        </w:rPr>
        <w:t xml:space="preserve">простой полиэфир (полиолполиол)</w:t>
      </w:r>
      <w:r>
        <w:rPr>
          <w:rFonts w:ascii="Times New Roman" w:cs="Times New Roman" w:eastAsia="Times New Roman" w:hAnsi="Times New Roman"/>
          <w:sz w:val="28"/>
          <w:szCs w:val="28"/>
        </w:rPr>
        <w:t xml:space="preserve">, продукт оксиалкилирования многоатомных спиртов. Распространённое в технической литературе обозначение «эфир» применительно к Лапролам некорректно: речь идёт именно о простых полиэфирах, не о сложных эфирах карбоновых кислот.</w:t>
      </w:r>
    </w:p>
    <w:p>
      <w:pPr>
        <w:spacing w:after="120" w:line="360"/>
        <w:ind w:firstLine="720"/>
        <w:jc w:val="both"/>
      </w:pPr>
      <w:r>
        <w:rPr>
          <w:rFonts w:ascii="Times New Roman" w:cs="Times New Roman" w:eastAsia="Times New Roman" w:hAnsi="Times New Roman"/>
          <w:sz w:val="28"/>
          <w:szCs w:val="28"/>
        </w:rPr>
        <w:t xml:space="preserve">Механизм пеногашения основан на способности молекул простого полиэфира мигрировать на границу раздела «жидкость–газ» и снижать локальное поверхностное натяжение в зоне пены. Это дестабилизирует плёнку пены и приводит к её схлопыванию. Применение пеногасителя критично для работы при давлении 0,25 МПа: вспенивание охлаждающей жидкости в условиях избыточного давления вызывает завоздушивание контура и локальный перегрев [ссылка нужна: обзор по механизму действия полиэфирных пеногасителей].</w:t>
      </w:r>
    </w:p>
    <w:p>
      <w:pPr>
        <w:spacing w:after="120" w:line="360"/>
        <w:ind w:firstLine="720"/>
        <w:jc w:val="both"/>
      </w:pPr>
      <w:r>
        <w:rPr>
          <w:rFonts w:ascii="Times New Roman" w:cs="Times New Roman" w:eastAsia="Times New Roman" w:hAnsi="Times New Roman"/>
          <w:sz w:val="28"/>
          <w:szCs w:val="28"/>
        </w:rPr>
        <w:t xml:space="preserve">Комплексообразователь вводится для связывания ионов жёсткости (Ca²⁺, Mg²⁺), которые могут попадать в систему при дозаливе нештатной воды или из остаточных загрязнений. Образование устойчивых хелатных комплексов с ионами жёсткости предотвращает их выпадение в виде карбонатных и фосфатных осадков, которые в противном случае забивали бы каналы радиатора и снижали теплоотдачу. Кроме того, комплексообразователь маскирует следовые количества ионов тяжёлых металлов, способных каталитически ускорять окислительное разложение карбоксилатных ингибиторов [ссылка нужна: исследование роли хелатирующих агентов в долговременной стабильности OAT-составов].</w:t>
      </w:r>
    </w:p>
    <w:p>
      <w:pPr>
        <w:pStyle w:val="Heading2"/>
        <w:spacing w:after="180" w:before="280" w:line="360"/>
        <w:jc w:val="left"/>
      </w:pPr>
      <w:r>
        <w:rPr>
          <w:rFonts w:ascii="Times New Roman" w:cs="Times New Roman" w:eastAsia="Times New Roman" w:hAnsi="Times New Roman"/>
          <w:b/>
          <w:bCs/>
          <w:sz w:val="30"/>
          <w:szCs w:val="30"/>
        </w:rPr>
        <w:t xml:space="preserve">3.6. Запрет нитритов и аминов</w:t>
      </w:r>
    </w:p>
    <w:p>
      <w:pPr>
        <w:spacing w:after="120" w:line="360"/>
        <w:ind w:firstLine="720"/>
        <w:jc w:val="both"/>
      </w:pPr>
      <w:r>
        <w:rPr>
          <w:rFonts w:ascii="Times New Roman" w:cs="Times New Roman" w:eastAsia="Times New Roman" w:hAnsi="Times New Roman"/>
          <w:sz w:val="28"/>
          <w:szCs w:val="28"/>
        </w:rPr>
        <w:t xml:space="preserve">В разработанной рецептуре нитриты (NaNO₂, KNO₂) и амины (моноэтаноламин и аналоги) полностью исключены. Основанием служит их термическая нестабильность при +130 °C и продуктовая токсичность.</w:t>
      </w:r>
    </w:p>
    <w:p>
      <w:pPr>
        <w:spacing w:after="120" w:line="360"/>
        <w:ind w:firstLine="720"/>
        <w:jc w:val="both"/>
      </w:pPr>
      <w:r>
        <w:rPr>
          <w:rFonts w:ascii="Times New Roman" w:cs="Times New Roman" w:eastAsia="Times New Roman" w:hAnsi="Times New Roman"/>
          <w:sz w:val="28"/>
          <w:szCs w:val="28"/>
        </w:rPr>
        <w:t xml:space="preserve">При температурах выше ≈+90 °C в присутствии остаточных аминных компонентов нитриты вступают в реакцию N-нитрозирования с образованием N-нитрозаминов — соединений, относимых к категории канцерогенов [ссылка нужна: данные по образованию нитрозаминов в системах охлаждения, рекомендации EPA или IARC]. Помимо токсикологической стороны, разложение нитритов сопровождается изменением pH в кислотную область и образованием нерастворимых продуктов, формирующих шлам в нижних точках системы охлаждения и каналах радиатора.</w:t>
      </w:r>
    </w:p>
    <w:p>
      <w:pPr>
        <w:spacing w:after="120" w:line="360"/>
        <w:ind w:firstLine="720"/>
        <w:jc w:val="both"/>
      </w:pPr>
      <w:r>
        <w:rPr>
          <w:rFonts w:ascii="Times New Roman" w:cs="Times New Roman" w:eastAsia="Times New Roman" w:hAnsi="Times New Roman"/>
          <w:sz w:val="28"/>
          <w:szCs w:val="28"/>
        </w:rPr>
        <w:t xml:space="preserve">Амины самостоятельно подвергаются термоокислительной деструкции при длительной эксплуатации в условиях +130 °C, что приводит к расходованию ингибирующего пакета и ускоренному снижению pH. Совокупность этих факторов делает нитриты и амины несовместимыми с заявленным температурным диапазоном и ресурсом охлаждающей жидкости. Технология P-OAT по определению строится на отказе от данных классов соединений.</w:t>
      </w:r>
    </w:p>
    <w:p>
      <w:pPr>
        <w:pStyle w:val="Heading1"/>
        <w:spacing w:after="240" w:before="360" w:line="360"/>
        <w:jc w:val="left"/>
      </w:pPr>
      <w:r>
        <w:rPr>
          <w:rFonts w:ascii="Times New Roman" w:cs="Times New Roman" w:eastAsia="Times New Roman" w:hAnsi="Times New Roman"/>
          <w:b/>
          <w:bCs/>
          <w:sz w:val="32"/>
          <w:szCs w:val="32"/>
        </w:rPr>
        <w:t xml:space="preserve">4. Целевые показатели готового продукта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Показатель</w:t>
            </w:r>
          </w:p>
        </w:tc>
        <w:tc>
          <w:tcPr>
            <w:tcW w:type="dxa" w:w="30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Значение</w:t>
            </w:r>
          </w:p>
        </w:tc>
        <w:tc>
          <w:tcPr>
            <w:tcW w:type="dxa" w:w="28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Источник</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Плотность при +20 °C</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1,090–1,100 г/см³</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данные пользователя</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Температура начала кристаллизации</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 −65 °C</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целевое требование</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Температура кипения при 0,25 МПа</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 +135…+140 °C</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расчёт / [требуется лаб. подтверждение]</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Температура кипения при атм. давлении</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 +116 °C</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данные пользователя</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pH</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8,2–9,0</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целевое требование</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Резерв щёлочности</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[требуется лаб. подтверждение]</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Массовая доля МЭГ</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[ВПИСАТЬ из раздела 2]</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Массовая доля воды</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[ВПИСАТЬ из раздела 2]</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Массовая доля пакета присадок</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[ВПИСАТЬ из раздела 2]</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r>
    </w:tbl>
    <w:p>
      <w:pPr>
        <w:spacing w:after="240" w:line="360"/>
        <w:ind w:firstLine="720"/>
        <w:jc w:val="both"/>
      </w:pPr>
      <w:r>
        <w:rPr>
          <w:rFonts w:ascii="Times New Roman" w:cs="Times New Roman" w:eastAsia="Times New Roman" w:hAnsi="Times New Roman"/>
          <w:sz w:val="28"/>
          <w:szCs w:val="28"/>
        </w:rPr>
        <w:t xml:space="preserve">Контроль показателей проводится по аттестованным методикам [ссылка нужна: ГОСТ 28084 или эквивалентный нормативный документ по методам испытаний ОЖ].</w:t>
      </w:r>
    </w:p>
    <w:p>
      <w:pPr>
        <w:pStyle w:val="Heading1"/>
        <w:spacing w:after="240" w:before="360" w:line="360"/>
        <w:jc w:val="left"/>
      </w:pPr>
      <w:r>
        <w:rPr>
          <w:rFonts w:ascii="Times New Roman" w:cs="Times New Roman" w:eastAsia="Times New Roman" w:hAnsi="Times New Roman"/>
          <w:b/>
          <w:bCs/>
          <w:sz w:val="32"/>
          <w:szCs w:val="32"/>
        </w:rPr>
        <w:t xml:space="preserve">5. Расчётные обоснования</w:t>
      </w:r>
    </w:p>
    <w:p>
      <w:pPr>
        <w:pStyle w:val="Heading2"/>
        <w:spacing w:after="180" w:before="280" w:line="360"/>
        <w:jc w:val="left"/>
      </w:pPr>
      <w:r>
        <w:rPr>
          <w:rFonts w:ascii="Times New Roman" w:cs="Times New Roman" w:eastAsia="Times New Roman" w:hAnsi="Times New Roman"/>
          <w:b/>
          <w:bCs/>
          <w:sz w:val="30"/>
          <w:szCs w:val="30"/>
        </w:rPr>
        <w:t xml:space="preserve">5.1. Расчёт пропорции МЭГ/вода для температуры замерзания −65 °C</w:t>
      </w:r>
    </w:p>
    <w:p>
      <w:pPr>
        <w:spacing w:after="120" w:line="360"/>
        <w:ind w:firstLine="720"/>
        <w:jc w:val="both"/>
      </w:pPr>
      <w:r>
        <w:rPr>
          <w:rFonts w:ascii="Times New Roman" w:cs="Times New Roman" w:eastAsia="Times New Roman" w:hAnsi="Times New Roman"/>
          <w:sz w:val="28"/>
          <w:szCs w:val="28"/>
        </w:rPr>
        <w:t xml:space="preserve">Зависимость температуры начала кристаллизации бинарной смеси МЭГ–H₂O от концентрации компонентов носит немонотонный характер и описывается фазовой диаграммой состояния с эвтектической точкой [ссылка нужна: фазовая диаграмма системы моноэтиленгликоль–вода]. При увеличении массовой доли МЭГ от нуля температура кристаллизации сначала снижается (правая ветвь — кристаллизация льда), достигает минимума в эвтектической точке, после чего начинает повышаться (левая ветвь — кристаллизация твёрдого МЭГ).</w:t>
      </w:r>
    </w:p>
    <w:p>
      <w:pPr>
        <w:spacing w:after="120" w:line="360"/>
        <w:ind w:firstLine="720"/>
        <w:jc w:val="both"/>
      </w:pPr>
      <w:r>
        <w:rPr>
          <w:rFonts w:ascii="Times New Roman" w:cs="Times New Roman" w:eastAsia="Times New Roman" w:hAnsi="Times New Roman"/>
          <w:sz w:val="28"/>
          <w:szCs w:val="28"/>
        </w:rPr>
        <w:t xml:space="preserve">Минимум кривой соответствует температуре около −69 °C при концентрации МЭГ порядка 60–67 % масс. (точное положение эвтектики уточняется по справочным данным конкретного качества МЭГ). Для гарантированного обеспечения температуры начала кристаллизации не выше −65 °C рабочая концентрация МЭГ должна находиться в окрестности эвтектической точки с допуском на технологический разброс и компенсацию вклада растворённых присадок.</w:t>
      </w:r>
    </w:p>
    <w:p>
      <w:pPr>
        <w:spacing w:after="120" w:line="360"/>
        <w:ind w:firstLine="720"/>
        <w:jc w:val="both"/>
      </w:pPr>
      <w:r>
        <w:rPr>
          <w:rFonts w:ascii="Times New Roman" w:cs="Times New Roman" w:eastAsia="Times New Roman" w:hAnsi="Times New Roman"/>
          <w:sz w:val="28"/>
          <w:szCs w:val="28"/>
        </w:rPr>
        <w:t xml:space="preserve">Практический выбор рабочей точки делается с учётом двух противоположных факторов: смещение в сторону более высоких концентраций МЭГ ухудшает теплоёмкость и повышает вязкость, смещение в сторону более низких концентраций повышает температуру кристаллизации и снижает запас по нижней границе. Конкретное значение рабочей концентрации:</w:t>
      </w:r>
    </w:p>
    <w:p>
      <w:pPr>
        <w:spacing w:after="180" w:before="120" w:line="360"/>
        <w:ind w:left="720" w:right="720"/>
        <w:jc w:val="both"/>
      </w:pPr>
      <w:r>
        <w:rPr>
          <w:rFonts w:ascii="Times New Roman" w:cs="Times New Roman" w:eastAsia="Times New Roman" w:hAnsi="Times New Roman"/>
          <w:i/>
          <w:iCs/>
          <w:sz w:val="28"/>
          <w:szCs w:val="28"/>
        </w:rPr>
        <w:t xml:space="preserve">[ВПИСАТЬ: массовая доля МЭГ в готовом продукте, % — определяется по внутренней технической документации и/или подтверждается лабораторным определением температуры начала кристаллизации.]</w:t>
      </w:r>
    </w:p>
    <w:p>
      <w:pPr>
        <w:pStyle w:val="Heading2"/>
        <w:spacing w:after="180" w:before="280" w:line="360"/>
        <w:jc w:val="left"/>
      </w:pPr>
      <w:r>
        <w:rPr>
          <w:rFonts w:ascii="Times New Roman" w:cs="Times New Roman" w:eastAsia="Times New Roman" w:hAnsi="Times New Roman"/>
          <w:b/>
          <w:bCs/>
          <w:sz w:val="30"/>
          <w:szCs w:val="30"/>
        </w:rPr>
        <w:t xml:space="preserve">5.2. Расчёт температуры кипения при давлении 0,25 МПа</w:t>
      </w:r>
    </w:p>
    <w:p>
      <w:pPr>
        <w:spacing w:after="120" w:line="360"/>
        <w:ind w:firstLine="720"/>
        <w:jc w:val="both"/>
      </w:pPr>
      <w:r>
        <w:rPr>
          <w:rFonts w:ascii="Times New Roman" w:cs="Times New Roman" w:eastAsia="Times New Roman" w:hAnsi="Times New Roman"/>
          <w:sz w:val="28"/>
          <w:szCs w:val="28"/>
        </w:rPr>
        <w:t xml:space="preserve">Температура кипения водно-гликолевой смеси при избыточном давлении в системе охлаждения определяется зависимостью давления насыщенных паров от температуры для бинарной смеси МЭГ–H₂O. В первом приближении применима форма уравнения Антуана для смеси с учётом мольных долей компонентов и закона Рауля для идеальной смеси; для уточнённых расчётов используется уравнение Клаузиуса–Клапейрона с поправкой на отклонение от идеальности [ссылка нужна: справочник по термодинамике водно-гликолевых смесей].</w:t>
      </w:r>
    </w:p>
    <w:p>
      <w:pPr>
        <w:spacing w:after="120" w:line="360"/>
        <w:ind w:firstLine="720"/>
        <w:jc w:val="both"/>
      </w:pPr>
      <w:r>
        <w:rPr>
          <w:rFonts w:ascii="Times New Roman" w:cs="Times New Roman" w:eastAsia="Times New Roman" w:hAnsi="Times New Roman"/>
          <w:sz w:val="28"/>
          <w:szCs w:val="28"/>
        </w:rPr>
        <w:t xml:space="preserve">При атмосферном давлении (101,325 кПа) температура кипения водного раствора МЭГ рабочей концентрации составляет приблизительно +116 °C. При повышении давления до 0,25 МПа (≈ 250 кПа) точка кипения смещается в область +135…+140 °C, что обеспечивает запас по верхней границе рабочего диапазона +130 °C и предотвращает локальное вскипание в зонах с повышенной тепловой нагрузкой (рубашка охлаждения цилиндров, головка блока).</w:t>
      </w:r>
    </w:p>
    <w:p>
      <w:pPr>
        <w:spacing w:after="120" w:line="360"/>
        <w:ind w:firstLine="720"/>
        <w:jc w:val="both"/>
      </w:pPr>
      <w:r>
        <w:rPr>
          <w:rFonts w:ascii="Times New Roman" w:cs="Times New Roman" w:eastAsia="Times New Roman" w:hAnsi="Times New Roman"/>
          <w:sz w:val="28"/>
          <w:szCs w:val="28"/>
        </w:rPr>
        <w:t xml:space="preserve">Точное численное значение температуры кипения при 0,25 МПа для конкретной рецептуры:</w:t>
      </w:r>
    </w:p>
    <w:p>
      <w:pPr>
        <w:spacing w:after="180" w:before="120" w:line="360"/>
        <w:ind w:left="720" w:right="720"/>
        <w:jc w:val="both"/>
      </w:pPr>
      <w:r>
        <w:rPr>
          <w:rFonts w:ascii="Times New Roman" w:cs="Times New Roman" w:eastAsia="Times New Roman" w:hAnsi="Times New Roman"/>
          <w:i/>
          <w:iCs/>
          <w:sz w:val="28"/>
          <w:szCs w:val="28"/>
        </w:rPr>
        <w:t xml:space="preserve">[ВПИСАТЬ: значение, °C — определяется лабораторно либо рассчитывается по справочным данным для выбранной концентрации МЭГ.]</w:t>
      </w:r>
    </w:p>
    <w:p>
      <w:pPr>
        <w:pStyle w:val="Heading1"/>
        <w:spacing w:after="240" w:before="360" w:line="360"/>
        <w:jc w:val="left"/>
      </w:pPr>
      <w:r>
        <w:rPr>
          <w:rFonts w:ascii="Times New Roman" w:cs="Times New Roman" w:eastAsia="Times New Roman" w:hAnsi="Times New Roman"/>
          <w:b/>
          <w:bCs/>
          <w:sz w:val="32"/>
          <w:szCs w:val="32"/>
        </w:rPr>
        <w:t xml:space="preserve">6. Заключение</w:t>
      </w:r>
    </w:p>
    <w:p>
      <w:pPr>
        <w:spacing w:after="120" w:line="360"/>
        <w:ind w:firstLine="720"/>
        <w:jc w:val="both"/>
      </w:pPr>
      <w:r>
        <w:rPr>
          <w:rFonts w:ascii="Times New Roman" w:cs="Times New Roman" w:eastAsia="Times New Roman" w:hAnsi="Times New Roman"/>
          <w:sz w:val="28"/>
          <w:szCs w:val="28"/>
        </w:rPr>
        <w:t xml:space="preserve">Разработана технология производства охлаждающей жидкости типа P-OAT, обеспечивающая эксплуатацию в диапазоне температур от −65 до +130 °C при давлении в системе охлаждения не менее 0,25 МПа. Состав построен на базе моноэтиленгликоля высшего сорта и деминерализованной воды с пакетом присадок, включающим смесь себациновой и бензойной кислот в солевой форме, фосфатную составляющую, триазольный ингибитор для меди и латуни, пеногаситель на основе простого полиэфира и комплексообразователь. Нитриты и амины из рецептуры исключены.</w:t>
      </w:r>
    </w:p>
    <w:p>
      <w:pPr>
        <w:spacing w:after="120" w:line="360"/>
        <w:ind w:firstLine="720"/>
        <w:jc w:val="both"/>
      </w:pPr>
      <w:r>
        <w:rPr>
          <w:rFonts w:ascii="Times New Roman" w:cs="Times New Roman" w:eastAsia="Times New Roman" w:hAnsi="Times New Roman"/>
          <w:sz w:val="28"/>
          <w:szCs w:val="28"/>
        </w:rPr>
        <w:t xml:space="preserve">Ключевые эксплуатационные характеристики:</w:t>
      </w:r>
    </w:p>
    <w:p>
      <w:pPr>
        <w:pStyle w:val="ListParagraph"/>
        <w:numPr>
          <w:ilvl w:val="0"/>
          <w:numId w:val="2"/>
        </w:numPr>
        <w:spacing w:after="80" w:line="360"/>
        <w:jc w:val="both"/>
      </w:pPr>
      <w:r>
        <w:rPr>
          <w:rFonts w:ascii="Times New Roman" w:cs="Times New Roman" w:eastAsia="Times New Roman" w:hAnsi="Times New Roman"/>
          <w:sz w:val="28"/>
          <w:szCs w:val="28"/>
        </w:rPr>
        <w:t xml:space="preserve">срок службы — [ВПИСАТЬ: ресурс в часах моточасов / километрах пробега];</w:t>
      </w:r>
    </w:p>
    <w:p>
      <w:pPr>
        <w:pStyle w:val="ListParagraph"/>
        <w:numPr>
          <w:ilvl w:val="0"/>
          <w:numId w:val="2"/>
        </w:numPr>
        <w:spacing w:after="80" w:line="360"/>
        <w:jc w:val="both"/>
      </w:pPr>
      <w:r>
        <w:rPr>
          <w:rFonts w:ascii="Times New Roman" w:cs="Times New Roman" w:eastAsia="Times New Roman" w:hAnsi="Times New Roman"/>
          <w:sz w:val="28"/>
          <w:szCs w:val="28"/>
        </w:rPr>
        <w:t xml:space="preserve">защита двигателя — [ВПИСАТЬ: класс по ASTM D3306 / показатели коррозионных потерь массы пластинок, мг·см⁻²];</w:t>
      </w:r>
    </w:p>
    <w:p>
      <w:pPr>
        <w:pStyle w:val="ListParagraph"/>
        <w:numPr>
          <w:ilvl w:val="0"/>
          <w:numId w:val="2"/>
        </w:numPr>
        <w:spacing w:after="80" w:line="360"/>
        <w:jc w:val="both"/>
      </w:pPr>
      <w:r>
        <w:rPr>
          <w:rFonts w:ascii="Times New Roman" w:cs="Times New Roman" w:eastAsia="Times New Roman" w:hAnsi="Times New Roman"/>
          <w:sz w:val="28"/>
          <w:szCs w:val="28"/>
        </w:rPr>
        <w:t xml:space="preserve">универсальность — [ВПИСАТЬ: совместимость с типами двигателей и материалами уплотнений].</w:t>
      </w:r>
    </w:p>
    <w:p>
      <w:pPr>
        <w:spacing w:after="120" w:line="360"/>
        <w:ind w:firstLine="720"/>
        <w:jc w:val="both"/>
      </w:pPr>
      <w:r>
        <w:rPr>
          <w:rFonts w:ascii="Times New Roman" w:cs="Times New Roman" w:eastAsia="Times New Roman" w:hAnsi="Times New Roman"/>
          <w:sz w:val="28"/>
          <w:szCs w:val="28"/>
        </w:rPr>
        <w:t xml:space="preserve">Направления дальнейших исследований — расширение программы стендовых испытаний с целью верификации ресурса в реальных условиях эксплуатации высокофорсированных ДВС и оценка совместимости с перспективными конструкционными материалами систем охлаждения.</w:t>
      </w:r>
    </w:p>
    <w:p>
      <w:pPr>
        <w:pStyle w:val="Heading1"/>
        <w:spacing w:after="240" w:before="360" w:line="360"/>
        <w:jc w:val="left"/>
      </w:pPr>
      <w:r>
        <w:rPr>
          <w:rFonts w:ascii="Times New Roman" w:cs="Times New Roman" w:eastAsia="Times New Roman" w:hAnsi="Times New Roman"/>
          <w:b/>
          <w:bCs/>
          <w:sz w:val="32"/>
          <w:szCs w:val="32"/>
        </w:rPr>
        <w:t xml:space="preserve">Направления поиска источников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c>
          <w:tcPr>
            <w:tcW w:type="dxa" w:w="32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Тематика</w:t>
            </w:r>
          </w:p>
        </w:tc>
        <w:tc>
          <w:tcPr>
            <w:tcW w:type="dxa" w:w="27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Тип документа</w:t>
            </w:r>
          </w:p>
        </w:tc>
        <w:tc>
          <w:tcPr>
            <w:tcW w:type="dxa" w:w="34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Что нужно подтвердить</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Эволюция требований к ОЖ современных ДВС</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обзорная статья / отчёт SAE</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тенденции по ресурсу и температурному диапазону</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Классификация поколений ОЖ (IAT, OAT, HOAT, P-OAT)</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монография / обзор</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критерии разграничения технологий</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Теплофизические свойства водных растворов гликолей</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справочник</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теплоёмкость и вязкость</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Фазовые диаграммы МЭГ–H₂O, ПГ–H₂O, глицерин–H₂O</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справочник по физической химии</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положение эвтектических точек</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Механизм действия OAT-ингибиторов</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обзорная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формирование и структура плёнки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pKa карбоновых кислот, расчёт буферной ёмкости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справочник по аналитической химии</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численные значения</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Адсорбционные плёнки дикарбоксилатов на стали и алюминии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научная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толщина и плотность плёнки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Спецификации типовых составов G12+/G12++</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техническая литература</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состав и термостабильность</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Ароматические ингибиторы коррозии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обзорная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хемосорбция на металлах с d-электронами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Совместимость 2-EHA с эластомерами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материалы SAE</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механизм деструкции EPDM, силикона</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Фосфатные ингибиторы в условиях кавитации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научная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механизм восстановления плёнки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Синергизм фосфатно-карбоксилатных систем</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обзорная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распределение защитной функции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Электрохимия адсорбции триазолов на меди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научная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стехиометрия комплекса Cu–триазол</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Полиэфирные пеногасители</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обзорная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роль поверхностного натяжения</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Хелатирующие агенты в стабильности OAT</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научная статья</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связывание ионов тяжёлых металлов</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Образование N-нитрозаминов в системах охлаждения</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данные EPA / IARC</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условия и кинетика реакции</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Методы испытаний ОЖ</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ГОСТ 28084, ГОСТ 33342, ASTM D3306, D6210, D1384, D2570</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нормативные требования</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Термодинамика водно-гликолевых смесей</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справочник</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уравнение Антуана, давление паров</w:t>
            </w:r>
          </w:p>
        </w:tc>
      </w:tr>
    </w:tbl>
    <w:sectPr>
      <w:headerReference w:type="default" r:id="rId7"/>
      <w:footerReference w:type="default" r:id="rId8"/>
      <w:pgSz w:w="11906" w:h="16838" w:orient="portrait"/>
      <w:pgMar w:top="1440" w:right="108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Стр.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из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20"/>
        <w:szCs w:val="20"/>
      </w:rPr>
      <w:t xml:space="preserve">Черновик статьи. Версия 08.05.2026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line="36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60" w:before="240" w:line="3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Технология производства перспективной охлаждающей жидкости</dc:title>
  <dc:creator>Claude</dc:creator>
  <cp:lastModifiedBy>Un-named</cp:lastModifiedBy>
  <cp:revision>1</cp:revision>
  <dcterms:created xsi:type="dcterms:W3CDTF">2026-05-08T10:38:37.695Z</dcterms:created>
  <dcterms:modified xsi:type="dcterms:W3CDTF">2026-05-08T10:38:37.695Z</dcterms:modified>
</cp:coreProperties>
</file>

<file path=docProps/custom.xml><?xml version="1.0" encoding="utf-8"?>
<Properties xmlns="http://schemas.openxmlformats.org/officeDocument/2006/custom-properties" xmlns:vt="http://schemas.openxmlformats.org/officeDocument/2006/docPropsVTypes"/>
</file>