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EC" w:rsidRDefault="00A86FEC" w:rsidP="004615F8">
      <w:pPr>
        <w:pStyle w:val="a3"/>
        <w:ind w:firstLine="567"/>
        <w:rPr>
          <w:b/>
          <w:sz w:val="28"/>
          <w:szCs w:val="28"/>
        </w:rPr>
      </w:pPr>
    </w:p>
    <w:p w:rsidR="00A86FEC" w:rsidRDefault="00A86FEC" w:rsidP="004615F8">
      <w:pPr>
        <w:pStyle w:val="a3"/>
        <w:ind w:firstLine="567"/>
        <w:rPr>
          <w:b/>
          <w:sz w:val="28"/>
          <w:szCs w:val="28"/>
        </w:rPr>
      </w:pPr>
      <w:bookmarkStart w:id="0" w:name="_GoBack"/>
      <w:bookmarkEnd w:id="0"/>
    </w:p>
    <w:p w:rsidR="00A86FEC" w:rsidRPr="00AA2C1E" w:rsidRDefault="00A86FEC" w:rsidP="00A86FEC">
      <w:pPr>
        <w:pBdr>
          <w:bottom w:val="single" w:sz="6" w:space="0" w:color="AAAAAA"/>
        </w:pBdr>
        <w:spacing w:after="60"/>
        <w:outlineLvl w:val="0"/>
        <w:rPr>
          <w:rFonts w:ascii="Georgia" w:eastAsia="Times New Roman" w:hAnsi="Georgia" w:cs="Times New Roman"/>
          <w:color w:val="auto"/>
          <w:kern w:val="36"/>
          <w:sz w:val="43"/>
          <w:szCs w:val="43"/>
          <w:lang w:val="ru-RU"/>
        </w:rPr>
      </w:pPr>
      <w:r w:rsidRPr="00AA2C1E">
        <w:rPr>
          <w:rFonts w:ascii="Georgia" w:eastAsia="Times New Roman" w:hAnsi="Georgia" w:cs="Times New Roman"/>
          <w:color w:val="auto"/>
          <w:kern w:val="36"/>
          <w:sz w:val="43"/>
          <w:szCs w:val="43"/>
          <w:lang w:val="ru-RU"/>
        </w:rPr>
        <w:t>Боевая готовность</w:t>
      </w:r>
    </w:p>
    <w:p w:rsidR="00A86FEC" w:rsidRPr="00AA2C1E" w:rsidRDefault="00A86FEC" w:rsidP="00A86FEC">
      <w:pPr>
        <w:spacing w:after="192" w:line="336" w:lineRule="atLeast"/>
        <w:jc w:val="center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b/>
          <w:bCs/>
          <w:color w:val="auto"/>
          <w:sz w:val="21"/>
          <w:szCs w:val="21"/>
          <w:lang w:val="ru-RU"/>
        </w:rPr>
        <w:t>Боевая готовность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— способность </w:t>
      </w:r>
      <w:hyperlink r:id="rId8" w:tooltip="Войс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войск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(</w:t>
      </w:r>
      <w:hyperlink r:id="rId9" w:tooltip="Вооружённые сил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вооружённых сил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), конкретного </w:t>
      </w:r>
      <w:hyperlink r:id="rId10" w:tooltip="Формирование (военное дело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военного формирования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приступить к выполнению боевых задач в соответствии с их предназначением в заданные сроки</w:t>
      </w:r>
      <w:hyperlink r:id="rId11" w:anchor="cite_note-.D0.91.D0.A1.D0.AD-1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[1]</w:t>
        </w:r>
      </w:hyperlink>
      <w:hyperlink r:id="rId12" w:anchor="cite_note-.D0.92.D0.B8.D0.BA.D0.B8.D1.82.D0.B5.D0.BA.D0.B0_.D0.92.D0.AD.D0.A1-2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[2]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Факторы боевой готовности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Факторами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влияющими на боевую готовность войск являются</w:t>
      </w:r>
      <w:hyperlink r:id="rId13" w:anchor="cite_note-3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[3]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Уровень боевой подготовки личного состава;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Уровень морально-психологической подготовки военнослужащих;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Подготовленность командиров и штабов к предстоящим боевым действиям;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Техническое состояние штатной боевой техники и вооружения и его соответствие современным требованиям;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Уровень укомплектованности формирований личным составом;</w:t>
      </w:r>
    </w:p>
    <w:p w:rsidR="00A86FEC" w:rsidRPr="00AA2C1E" w:rsidRDefault="00A86FEC" w:rsidP="00A86FEC">
      <w:pPr>
        <w:widowControl/>
        <w:numPr>
          <w:ilvl w:val="0"/>
          <w:numId w:val="3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Наличие материальных резервов любого плана для ведения боевых действий.</w:t>
      </w: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Мероприятия для поддержания боевой готовности</w:t>
      </w:r>
    </w:p>
    <w:p w:rsidR="00A86FEC" w:rsidRPr="00AA2C1E" w:rsidRDefault="00A86FEC" w:rsidP="00A86FEC">
      <w:pPr>
        <w:spacing w:after="192" w:line="336" w:lineRule="atLeast"/>
        <w:jc w:val="center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Ниже приводится список внутренних мероприятий в Вооружённых силах для поддержания боевой готовности</w:t>
      </w:r>
      <w:hyperlink r:id="rId14" w:anchor="cite_note-4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[4]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Постоянная </w:t>
      </w:r>
      <w:hyperlink r:id="rId15" w:tooltip="Боевая подготов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боевая подготовка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по всем её видам обучения: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Строевая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Тактическая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Физическая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Огневая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Инженерная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Химическая подготовка;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И другие виды подготовки;</w:t>
      </w:r>
    </w:p>
    <w:p w:rsidR="00A86FEC" w:rsidRPr="00AA2C1E" w:rsidRDefault="00A86FEC" w:rsidP="00A86FEC">
      <w:pPr>
        <w:widowControl/>
        <w:numPr>
          <w:ilvl w:val="1"/>
          <w:numId w:val="4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Занятия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 </w:t>
      </w:r>
      <w:hyperlink r:id="rId16" w:tooltip="Боевое слажива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боевому</w:t>
        </w:r>
        <w:proofErr w:type="gramEnd"/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 xml:space="preserve"> </w:t>
        </w:r>
        <w:proofErr w:type="spellStart"/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слаживанию</w:t>
        </w:r>
        <w:proofErr w:type="spellEnd"/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Проведение командно-штабных учений (</w:t>
      </w:r>
      <w:hyperlink r:id="rId17" w:tooltip="Оперативная подготовк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оперативная подготовка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);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Проведение военных учений;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Морально-психологическая воспитательная работа с личным составом;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Социально-правовая работа с личным составом и профилактика правонарушений в воинской среде;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Работа над мотивацией личного состава (финансовые поощрения и перспективы карьерного роста);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Техническое обслуживание боевой техники и вооружений;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Постоянный контроль органов контрразведки;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Периодическое проведение строевых смотров воинских частей;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Периодическая проверка боевой готовности соединений и воинских частей;</w:t>
      </w:r>
    </w:p>
    <w:p w:rsidR="00A86FEC" w:rsidRPr="00AA2C1E" w:rsidRDefault="00A86FEC" w:rsidP="00A86FEC">
      <w:pPr>
        <w:widowControl/>
        <w:numPr>
          <w:ilvl w:val="0"/>
          <w:numId w:val="4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Поддержание необходимого уровня материальных резервов любого плана для ведения боевых действий.</w:t>
      </w: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spacing w:before="100" w:beforeAutospacing="1" w:after="2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</w:p>
    <w:p w:rsidR="00A86FEC" w:rsidRPr="00AA2C1E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auto"/>
          <w:sz w:val="32"/>
          <w:szCs w:val="32"/>
          <w:lang w:val="ru-RU"/>
        </w:rPr>
      </w:pPr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 xml:space="preserve">Внешние </w:t>
      </w:r>
      <w:proofErr w:type="gramStart"/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>условия</w:t>
      </w:r>
      <w:proofErr w:type="gramEnd"/>
      <w:r w:rsidRPr="00AA2C1E">
        <w:rPr>
          <w:rFonts w:ascii="Georgia" w:eastAsia="Times New Roman" w:hAnsi="Georgia" w:cs="Arial"/>
          <w:color w:val="auto"/>
          <w:sz w:val="32"/>
          <w:szCs w:val="32"/>
          <w:lang w:val="ru-RU"/>
        </w:rPr>
        <w:t xml:space="preserve"> влияющие на боевую готовность</w:t>
      </w:r>
    </w:p>
    <w:p w:rsidR="00A86FEC" w:rsidRPr="00AA2C1E" w:rsidRDefault="00A86FEC" w:rsidP="00A86FEC">
      <w:pPr>
        <w:jc w:val="center"/>
        <w:rPr>
          <w:rFonts w:ascii="Arial" w:eastAsia="Times New Roman" w:hAnsi="Arial" w:cs="Arial"/>
          <w:color w:val="auto"/>
          <w:sz w:val="20"/>
          <w:szCs w:val="20"/>
          <w:lang w:val="ru-RU"/>
        </w:rPr>
      </w:pPr>
    </w:p>
    <w:p w:rsidR="00A86FEC" w:rsidRPr="00AA2C1E" w:rsidRDefault="00A86FEC" w:rsidP="00A86FEC">
      <w:pPr>
        <w:spacing w:after="192" w:line="336" w:lineRule="atLeast"/>
        <w:jc w:val="center"/>
        <w:rPr>
          <w:rFonts w:ascii="Arial" w:eastAsia="Times New Roman" w:hAnsi="Arial" w:cs="Arial"/>
          <w:color w:val="auto"/>
          <w:sz w:val="19"/>
          <w:szCs w:val="19"/>
          <w:lang w:val="ru-RU"/>
        </w:rPr>
      </w:pPr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Военные расходы в </w:t>
      </w:r>
      <w:hyperlink r:id="rId18" w:tooltip="2008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2008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. Чем темнее, тем выше доля военных расходов в </w:t>
      </w:r>
      <w:hyperlink r:id="rId19" w:tooltip="ВВП" w:history="1"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В</w:t>
        </w:r>
        <w:proofErr w:type="gramStart"/>
        <w:r w:rsidRPr="00AA2C1E">
          <w:rPr>
            <w:rFonts w:ascii="Arial" w:eastAsia="Times New Roman" w:hAnsi="Arial" w:cs="Arial"/>
            <w:color w:val="auto"/>
            <w:sz w:val="19"/>
            <w:szCs w:val="19"/>
            <w:u w:val="single"/>
            <w:lang w:val="ru-RU"/>
          </w:rPr>
          <w:t>ВП</w:t>
        </w:r>
      </w:hyperlink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 стр</w:t>
      </w:r>
      <w:proofErr w:type="gramEnd"/>
      <w:r w:rsidRPr="00AA2C1E">
        <w:rPr>
          <w:rFonts w:ascii="Arial" w:eastAsia="Times New Roman" w:hAnsi="Arial" w:cs="Arial"/>
          <w:color w:val="auto"/>
          <w:sz w:val="19"/>
          <w:szCs w:val="19"/>
          <w:lang w:val="ru-RU"/>
        </w:rPr>
        <w:t>аны.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Боевая готовность Вооружённых сил независимо от принадлежности к государству, зависит от следующих внешних факторов: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Достаточное финансирование </w:t>
      </w:r>
      <w:hyperlink r:id="rId20" w:tooltip="Военный бюджет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военного бюджета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Положительный образ Вооружённых сил в </w:t>
      </w:r>
      <w:hyperlink r:id="rId21" w:tooltip="Общественное созна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общественном сознании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с целью привлечения кандидатов на воинскую службу;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Систематическое перевооружение войск современными типами вооружения и снаряжения;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Экономические возможности государства вести длительные полномасштабные боевые действия;</w:t>
      </w:r>
    </w:p>
    <w:p w:rsidR="00A86FEC" w:rsidRPr="00AA2C1E" w:rsidRDefault="00A86FEC" w:rsidP="00A86FEC">
      <w:pPr>
        <w:widowControl/>
        <w:numPr>
          <w:ilvl w:val="0"/>
          <w:numId w:val="5"/>
        </w:numPr>
        <w:spacing w:before="100" w:beforeAutospacing="1" w:after="24"/>
        <w:ind w:left="384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Возможности и состояние </w:t>
      </w:r>
      <w:hyperlink r:id="rId22" w:tooltip="Транспортная систем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транспортной системы государства</w:t>
        </w:r>
      </w:hyperlink>
    </w:p>
    <w:p w:rsidR="00A86FEC" w:rsidRPr="00E53D84" w:rsidRDefault="00A86FEC" w:rsidP="00A86FEC">
      <w:pPr>
        <w:pBdr>
          <w:bottom w:val="single" w:sz="6" w:space="0" w:color="AAAAAA"/>
        </w:pBdr>
        <w:spacing w:before="240" w:after="60"/>
        <w:outlineLvl w:val="1"/>
        <w:rPr>
          <w:rFonts w:ascii="Georgia" w:eastAsia="Times New Roman" w:hAnsi="Georgia" w:cs="Arial"/>
          <w:color w:val="C00000"/>
          <w:sz w:val="32"/>
          <w:szCs w:val="32"/>
          <w:lang w:val="ru-RU"/>
        </w:rPr>
      </w:pPr>
      <w:r w:rsidRPr="00E53D84">
        <w:rPr>
          <w:rFonts w:ascii="Georgia" w:eastAsia="Times New Roman" w:hAnsi="Georgia" w:cs="Arial"/>
          <w:color w:val="C00000"/>
          <w:sz w:val="32"/>
          <w:szCs w:val="32"/>
          <w:lang w:val="ru-RU"/>
        </w:rPr>
        <w:t>Степени боевой готовности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В вооружённых силах различных государств устанавливается собственный перечень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степеней боевой готовности</w:t>
      </w:r>
      <w:hyperlink r:id="rId23" w:anchor="cite_note-5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[5]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 Им соответствуют различные режимы функционирования подразделений и воинских частей — из которых они могут приступить к выполнению боевой задачи в определённые сроки, установленные в документальном порядке и закреплённые в служебных инструкциях каждому военнослужащему по занимаемой им должности. При каждой последующей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степени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время необходимое к готовности вести боевые действия — сокращается. Высшая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степень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означает, что конкретное </w:t>
      </w:r>
      <w:hyperlink r:id="rId24" w:tooltip="Формирование (военное дело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формирование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готово немедленно приступить к ведению </w:t>
      </w:r>
      <w:hyperlink r:id="rId25" w:tooltip="Боевые действ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боевых действий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br/>
        <w:t>К примеру, в </w:t>
      </w:r>
      <w:hyperlink r:id="rId26" w:tooltip="ВС СССР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ВС СССР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существовало 4 степени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E53D84">
        <w:rPr>
          <w:rFonts w:ascii="Arial" w:eastAsia="Times New Roman" w:hAnsi="Arial" w:cs="Arial"/>
          <w:i/>
          <w:iCs/>
          <w:color w:val="C00000"/>
          <w:sz w:val="21"/>
          <w:szCs w:val="21"/>
          <w:lang w:val="ru-RU"/>
        </w:rPr>
        <w:t>Постоянная</w:t>
      </w:r>
      <w:proofErr w:type="gramEnd"/>
      <w:r w:rsidRPr="00E53D84">
        <w:rPr>
          <w:rFonts w:ascii="Arial" w:eastAsia="Times New Roman" w:hAnsi="Arial" w:cs="Arial"/>
          <w:color w:val="C00000"/>
          <w:sz w:val="21"/>
          <w:szCs w:val="21"/>
          <w:lang w:val="ru-RU"/>
        </w:rPr>
        <w:t> 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— представляла собой обычное повседневное функционирование воинских частей и соединений в мирное время, занятых боевой подготовкой и организацией </w:t>
      </w:r>
      <w:hyperlink r:id="rId27" w:tooltip="Непосредственн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непосредственного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 </w:t>
      </w:r>
      <w:hyperlink r:id="rId28" w:tooltip="Гарнизонн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гарнизонной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29" w:tooltip="Караульн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караульной службы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E53D84">
        <w:rPr>
          <w:rFonts w:ascii="Arial" w:eastAsia="Times New Roman" w:hAnsi="Arial" w:cs="Arial"/>
          <w:i/>
          <w:iCs/>
          <w:color w:val="C00000"/>
          <w:sz w:val="21"/>
          <w:szCs w:val="21"/>
          <w:lang w:val="ru-RU"/>
        </w:rPr>
        <w:t>Повышенная</w:t>
      </w:r>
      <w:r w:rsidRPr="00E53D84">
        <w:rPr>
          <w:rFonts w:ascii="Arial" w:eastAsia="Times New Roman" w:hAnsi="Arial" w:cs="Arial"/>
          <w:color w:val="C00000"/>
          <w:sz w:val="21"/>
          <w:szCs w:val="21"/>
          <w:lang w:val="ru-RU"/>
        </w:rPr>
        <w:t> 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— характеризуется следующими мероприятиями: полный сбор личного состава, </w:t>
      </w:r>
      <w:proofErr w:type="spell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доукомплектация</w:t>
      </w:r>
      <w:proofErr w:type="spell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личного состава, проверка состояния техники и вооружений, занятия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по боевому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</w:t>
      </w:r>
      <w:proofErr w:type="spell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слаживанию</w:t>
      </w:r>
      <w:proofErr w:type="spell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подготовка к передислокации, подготовка материальных резервов и транспорта.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E53D84">
        <w:rPr>
          <w:rFonts w:ascii="Arial" w:eastAsia="Times New Roman" w:hAnsi="Arial" w:cs="Arial"/>
          <w:i/>
          <w:iCs/>
          <w:color w:val="C00000"/>
          <w:sz w:val="21"/>
          <w:szCs w:val="21"/>
          <w:lang w:val="ru-RU"/>
        </w:rPr>
        <w:t>Военная опасность</w:t>
      </w:r>
      <w:r w:rsidRPr="00E53D84">
        <w:rPr>
          <w:rFonts w:ascii="Arial" w:eastAsia="Times New Roman" w:hAnsi="Arial" w:cs="Arial"/>
          <w:color w:val="C00000"/>
          <w:sz w:val="21"/>
          <w:szCs w:val="21"/>
          <w:lang w:val="ru-RU"/>
        </w:rPr>
        <w:t> 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— мероприятия, проводимые после объявления </w:t>
      </w:r>
      <w:hyperlink r:id="rId30" w:tooltip="Боевая тревог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боевой тревоги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: выезд формирований в район сосредоточения, получение </w:t>
      </w:r>
      <w:hyperlink r:id="rId31" w:tooltip="Провиз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провизии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 сре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дств св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язи, боеприпасов и средств защиты, организация </w:t>
      </w:r>
      <w:hyperlink r:id="rId32" w:tooltip="Сторожев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сторожевого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widowControl/>
        <w:numPr>
          <w:ilvl w:val="0"/>
          <w:numId w:val="6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E53D84">
        <w:rPr>
          <w:rFonts w:ascii="Arial" w:eastAsia="Times New Roman" w:hAnsi="Arial" w:cs="Arial"/>
          <w:i/>
          <w:iCs/>
          <w:color w:val="C00000"/>
          <w:sz w:val="21"/>
          <w:szCs w:val="21"/>
          <w:lang w:val="ru-RU"/>
        </w:rPr>
        <w:t>Полная</w:t>
      </w:r>
      <w:r w:rsidRPr="00E53D84">
        <w:rPr>
          <w:rFonts w:ascii="Arial" w:eastAsia="Times New Roman" w:hAnsi="Arial" w:cs="Arial"/>
          <w:color w:val="C00000"/>
          <w:sz w:val="21"/>
          <w:szCs w:val="21"/>
          <w:lang w:val="ru-RU"/>
        </w:rPr>
        <w:t> 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— выдвижение войск на позиции, получение боевых задач, развёртывание огневых средств, организация </w:t>
      </w:r>
      <w:hyperlink r:id="rId33" w:tooltip="Комендантская служба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комендантской службы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34" w:tooltip="Боевое охранение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боевого охранения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Наименования установленных степеней боевой готовности всегда указывались прописными буквами и не склонялись.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Практический смысл введения </w:t>
      </w:r>
      <w:r w:rsidRPr="00AA2C1E">
        <w:rPr>
          <w:rFonts w:ascii="Arial" w:eastAsia="Times New Roman" w:hAnsi="Arial" w:cs="Arial"/>
          <w:i/>
          <w:iCs/>
          <w:color w:val="auto"/>
          <w:sz w:val="21"/>
          <w:szCs w:val="21"/>
          <w:lang w:val="ru-RU"/>
        </w:rPr>
        <w:t>степеней боевой готовности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имеет две причины:</w:t>
      </w:r>
    </w:p>
    <w:p w:rsidR="00A86FEC" w:rsidRPr="00AA2C1E" w:rsidRDefault="00A86FEC" w:rsidP="00A86FEC">
      <w:pPr>
        <w:widowControl/>
        <w:numPr>
          <w:ilvl w:val="0"/>
          <w:numId w:val="7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Очерёдность мер по поэтапному развёртыванию войск, необходимое на развёртывание войск, мобилизацию военнообязанных, подготовку материальных резервов необходимых для ведения боевых действий, </w:t>
      </w:r>
      <w:proofErr w:type="spell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расконсервацию</w:t>
      </w:r>
      <w:proofErr w:type="spell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боевой техники и вооружения находящегося на складах и т. д..</w:t>
      </w:r>
      <w:proofErr w:type="gramEnd"/>
    </w:p>
    <w:p w:rsidR="00A86FEC" w:rsidRPr="00AA2C1E" w:rsidRDefault="00A86FEC" w:rsidP="00A86FEC">
      <w:pPr>
        <w:widowControl/>
        <w:numPr>
          <w:ilvl w:val="0"/>
          <w:numId w:val="7"/>
        </w:numPr>
        <w:spacing w:before="100" w:beforeAutospacing="1" w:after="24"/>
        <w:ind w:left="768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В том что Вооружённые силы любого государства не в состоянии при любом изменении внешней или внутренней политической обстановки, держать в постоянном </w:t>
      </w:r>
      <w:proofErr w:type="gramStart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напряжении</w:t>
      </w:r>
      <w:proofErr w:type="gramEnd"/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 как личный состав, так и мобилизовать на это финансовые и материальные средства.</w:t>
      </w:r>
    </w:p>
    <w:p w:rsidR="00A86FEC" w:rsidRPr="00AA2C1E" w:rsidRDefault="00A86FEC" w:rsidP="00A86FEC">
      <w:pPr>
        <w:spacing w:before="120" w:after="120"/>
        <w:rPr>
          <w:rFonts w:ascii="Arial" w:eastAsia="Times New Roman" w:hAnsi="Arial" w:cs="Arial"/>
          <w:color w:val="auto"/>
          <w:sz w:val="21"/>
          <w:szCs w:val="21"/>
          <w:lang w:val="ru-RU"/>
        </w:rPr>
      </w:pP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Срок приведения </w:t>
      </w:r>
      <w:hyperlink r:id="rId35" w:tooltip="Арм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армии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в боевую готовность складывается из времени, требующегося на </w:t>
      </w:r>
      <w:hyperlink r:id="rId36" w:tooltip="Мобилизация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мобилизацию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(укомплектование), пополнение запасов </w:t>
      </w:r>
      <w:hyperlink r:id="rId37" w:tooltip="Провиант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провианта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 и </w:t>
      </w:r>
      <w:hyperlink r:id="rId38" w:tooltip="Боевые припас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боеприпасов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, приведение материальной части в состояние необходимое для выполнения боевых </w:t>
      </w:r>
      <w:hyperlink r:id="rId39" w:tooltip="Приказ (акт управления)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приказов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 xml:space="preserve">, а также из </w:t>
      </w:r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lastRenderedPageBreak/>
        <w:t>времени, даваемого части на окончательное устройство последней. Срок приведения войск в боеготовность зависит от того, в каком составе часть содержится в мирное время и откуда (издалека или из окрестных местностей) получает свои </w:t>
      </w:r>
      <w:hyperlink r:id="rId40" w:tooltip="Военные резервы" w:history="1">
        <w:r w:rsidRPr="00AA2C1E">
          <w:rPr>
            <w:rFonts w:ascii="Arial" w:eastAsia="Times New Roman" w:hAnsi="Arial" w:cs="Arial"/>
            <w:color w:val="auto"/>
            <w:sz w:val="21"/>
            <w:szCs w:val="21"/>
            <w:u w:val="single"/>
            <w:lang w:val="ru-RU"/>
          </w:rPr>
          <w:t>резервы</w:t>
        </w:r>
      </w:hyperlink>
      <w:hyperlink r:id="rId41" w:anchor="cite_note-.D0.92.D0.B8.D0.BA.D0.B8.D1.82.D0.B5.D0.BA.D0.B0_.D0.92.D0.AD.D0.A1-2" w:history="1">
        <w:r w:rsidRPr="00AA2C1E">
          <w:rPr>
            <w:rFonts w:ascii="Arial" w:eastAsia="Times New Roman" w:hAnsi="Arial" w:cs="Arial"/>
            <w:color w:val="auto"/>
            <w:sz w:val="17"/>
            <w:szCs w:val="17"/>
            <w:u w:val="single"/>
            <w:vertAlign w:val="superscript"/>
            <w:lang w:val="ru-RU"/>
          </w:rPr>
          <w:t>[2]</w:t>
        </w:r>
      </w:hyperlink>
      <w:r w:rsidRPr="00AA2C1E">
        <w:rPr>
          <w:rFonts w:ascii="Arial" w:eastAsia="Times New Roman" w:hAnsi="Arial" w:cs="Arial"/>
          <w:color w:val="auto"/>
          <w:sz w:val="21"/>
          <w:szCs w:val="21"/>
          <w:lang w:val="ru-RU"/>
        </w:rPr>
        <w:t>.</w:t>
      </w:r>
    </w:p>
    <w:sectPr w:rsidR="00A86FEC" w:rsidRPr="00AA2C1E" w:rsidSect="00D05B81">
      <w:footerReference w:type="default" r:id="rId4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11" w:rsidRDefault="001C4611" w:rsidP="00A86FEC">
      <w:r>
        <w:separator/>
      </w:r>
    </w:p>
  </w:endnote>
  <w:endnote w:type="continuationSeparator" w:id="0">
    <w:p w:rsidR="001C4611" w:rsidRDefault="001C4611" w:rsidP="00A8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884812"/>
      <w:docPartObj>
        <w:docPartGallery w:val="Page Numbers (Bottom of Page)"/>
        <w:docPartUnique/>
      </w:docPartObj>
    </w:sdtPr>
    <w:sdtEndPr/>
    <w:sdtContent>
      <w:p w:rsidR="009F142B" w:rsidRDefault="009F142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D84" w:rsidRPr="00E53D84">
          <w:rPr>
            <w:noProof/>
            <w:lang w:val="ru-RU"/>
          </w:rPr>
          <w:t>1</w:t>
        </w:r>
        <w:r>
          <w:fldChar w:fldCharType="end"/>
        </w:r>
      </w:p>
    </w:sdtContent>
  </w:sdt>
  <w:p w:rsidR="009F142B" w:rsidRDefault="009F14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11" w:rsidRDefault="001C4611" w:rsidP="00A86FEC">
      <w:r>
        <w:separator/>
      </w:r>
    </w:p>
  </w:footnote>
  <w:footnote w:type="continuationSeparator" w:id="0">
    <w:p w:rsidR="001C4611" w:rsidRDefault="001C4611" w:rsidP="00A8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402"/>
    <w:multiLevelType w:val="multilevel"/>
    <w:tmpl w:val="C99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86EBB"/>
    <w:multiLevelType w:val="multilevel"/>
    <w:tmpl w:val="B22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7469FF"/>
    <w:multiLevelType w:val="multilevel"/>
    <w:tmpl w:val="554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74033"/>
    <w:multiLevelType w:val="multilevel"/>
    <w:tmpl w:val="452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751EA8"/>
    <w:multiLevelType w:val="multilevel"/>
    <w:tmpl w:val="AAF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E839BE"/>
    <w:multiLevelType w:val="multilevel"/>
    <w:tmpl w:val="B78E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C8470A"/>
    <w:multiLevelType w:val="multilevel"/>
    <w:tmpl w:val="FD1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8058AB"/>
    <w:multiLevelType w:val="multilevel"/>
    <w:tmpl w:val="E736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232F6D"/>
    <w:multiLevelType w:val="multilevel"/>
    <w:tmpl w:val="375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D40DD"/>
    <w:multiLevelType w:val="multilevel"/>
    <w:tmpl w:val="1E2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9D4528"/>
    <w:multiLevelType w:val="multilevel"/>
    <w:tmpl w:val="9BC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ED73A0"/>
    <w:multiLevelType w:val="multilevel"/>
    <w:tmpl w:val="418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5D125EA"/>
    <w:multiLevelType w:val="multilevel"/>
    <w:tmpl w:val="9660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F8"/>
    <w:rsid w:val="001A7ECF"/>
    <w:rsid w:val="001C4611"/>
    <w:rsid w:val="00244384"/>
    <w:rsid w:val="004615F8"/>
    <w:rsid w:val="0047394C"/>
    <w:rsid w:val="0052723C"/>
    <w:rsid w:val="00621819"/>
    <w:rsid w:val="006348F9"/>
    <w:rsid w:val="00654E5B"/>
    <w:rsid w:val="00881159"/>
    <w:rsid w:val="009F142B"/>
    <w:rsid w:val="00A86FEC"/>
    <w:rsid w:val="00AF1AFB"/>
    <w:rsid w:val="00B8438D"/>
    <w:rsid w:val="00C404CA"/>
    <w:rsid w:val="00CC033C"/>
    <w:rsid w:val="00CE1BE4"/>
    <w:rsid w:val="00CE6111"/>
    <w:rsid w:val="00D05B81"/>
    <w:rsid w:val="00DA021E"/>
    <w:rsid w:val="00E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5F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615F8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4615F8"/>
    <w:rPr>
      <w:rFonts w:ascii="Times New Roman" w:eastAsia="Arial Unicode MS" w:hAnsi="Times New Roman" w:cs="Times New Roman"/>
      <w:sz w:val="20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15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5F8"/>
    <w:rPr>
      <w:rFonts w:ascii="Tahoma" w:eastAsia="Arial Unicode MS" w:hAnsi="Tahoma" w:cs="Tahoma"/>
      <w:color w:val="000000"/>
      <w:sz w:val="16"/>
      <w:szCs w:val="16"/>
      <w:lang w:eastAsia="uk-UA" w:bidi="uk-UA"/>
    </w:rPr>
  </w:style>
  <w:style w:type="paragraph" w:styleId="a7">
    <w:name w:val="header"/>
    <w:basedOn w:val="a"/>
    <w:link w:val="a8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paragraph" w:styleId="a9">
    <w:name w:val="footer"/>
    <w:basedOn w:val="a"/>
    <w:link w:val="aa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5F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615F8"/>
    <w:pPr>
      <w:jc w:val="center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азвание Знак"/>
    <w:basedOn w:val="a0"/>
    <w:link w:val="a3"/>
    <w:uiPriority w:val="10"/>
    <w:rsid w:val="004615F8"/>
    <w:rPr>
      <w:rFonts w:ascii="Times New Roman" w:eastAsia="Arial Unicode MS" w:hAnsi="Times New Roman" w:cs="Times New Roman"/>
      <w:sz w:val="20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15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5F8"/>
    <w:rPr>
      <w:rFonts w:ascii="Tahoma" w:eastAsia="Arial Unicode MS" w:hAnsi="Tahoma" w:cs="Tahoma"/>
      <w:color w:val="000000"/>
      <w:sz w:val="16"/>
      <w:szCs w:val="16"/>
      <w:lang w:eastAsia="uk-UA" w:bidi="uk-UA"/>
    </w:rPr>
  </w:style>
  <w:style w:type="paragraph" w:styleId="a7">
    <w:name w:val="header"/>
    <w:basedOn w:val="a"/>
    <w:link w:val="a8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  <w:style w:type="paragraph" w:styleId="a9">
    <w:name w:val="footer"/>
    <w:basedOn w:val="a"/>
    <w:link w:val="aa"/>
    <w:uiPriority w:val="99"/>
    <w:unhideWhenUsed/>
    <w:rsid w:val="00A86FEC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86FEC"/>
    <w:rPr>
      <w:rFonts w:ascii="Arial Unicode MS" w:eastAsia="Arial Unicode MS" w:hAnsi="Arial Unicode MS" w:cs="Arial Unicode MS"/>
      <w:color w:val="000000"/>
      <w:sz w:val="24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43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7103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0%B9%D1%81%D0%BA%D0%B0" TargetMode="External"/><Relationship Id="rId13" Type="http://schemas.openxmlformats.org/officeDocument/2006/relationships/hyperlink" Target="https://ru.wikipedia.org/wiki/%D0%91%D0%BE%D0%B5%D0%B2%D0%B0%D1%8F_%D0%B3%D0%BE%D1%82%D0%BE%D0%B2%D0%BD%D0%BE%D1%81%D1%82%D1%8C" TargetMode="External"/><Relationship Id="rId18" Type="http://schemas.openxmlformats.org/officeDocument/2006/relationships/hyperlink" Target="https://ru.wikipedia.org/wiki/2008" TargetMode="External"/><Relationship Id="rId26" Type="http://schemas.openxmlformats.org/officeDocument/2006/relationships/hyperlink" Target="https://ru.wikipedia.org/wiki/%D0%92%D0%A1_%D0%A1%D0%A1%D0%A1%D0%A0" TargetMode="External"/><Relationship Id="rId39" Type="http://schemas.openxmlformats.org/officeDocument/2006/relationships/hyperlink" Target="https://ru.wikipedia.org/wiki/%D0%9F%D1%80%D0%B8%D0%BA%D0%B0%D0%B7_(%D0%B0%D0%BA%D1%82_%D1%83%D0%BF%D1%80%D0%B0%D0%B2%D0%BB%D0%B5%D0%BD%D0%B8%D1%8F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E%D0%B1%D1%89%D0%B5%D1%81%D1%82%D0%B2%D0%B5%D0%BD%D0%BD%D0%BE%D0%B5_%D1%81%D0%BE%D0%B7%D0%BD%D0%B0%D0%BD%D0%B8%D0%B5" TargetMode="External"/><Relationship Id="rId34" Type="http://schemas.openxmlformats.org/officeDocument/2006/relationships/hyperlink" Target="https://ru.wikipedia.org/wiki/%D0%91%D0%BE%D0%B5%D0%B2%D0%BE%D0%B5_%D0%BE%D1%85%D1%80%D0%B0%D0%BD%D0%B5%D0%BD%D0%B8%D0%B5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E%D0%B5%D0%B2%D0%B0%D1%8F_%D0%B3%D0%BE%D1%82%D0%BE%D0%B2%D0%BD%D0%BE%D1%81%D1%82%D1%8C" TargetMode="External"/><Relationship Id="rId17" Type="http://schemas.openxmlformats.org/officeDocument/2006/relationships/hyperlink" Target="https://ru.wikipedia.org/wiki/%D0%9E%D0%BF%D0%B5%D1%80%D0%B0%D1%82%D0%B8%D0%B2%D0%BD%D0%B0%D1%8F_%D0%BF%D0%BE%D0%B4%D0%B3%D0%BE%D1%82%D0%BE%D0%B2%D0%BA%D0%B0" TargetMode="External"/><Relationship Id="rId25" Type="http://schemas.openxmlformats.org/officeDocument/2006/relationships/hyperlink" Target="https://ru.wikipedia.org/wiki/%D0%91%D0%BE%D0%B5%D0%B2%D1%8B%D0%B5_%D0%B4%D0%B5%D0%B9%D1%81%D1%82%D0%B2%D0%B8%D1%8F" TargetMode="External"/><Relationship Id="rId33" Type="http://schemas.openxmlformats.org/officeDocument/2006/relationships/hyperlink" Target="https://ru.wikipedia.org/wiki/%D0%9A%D0%BE%D0%BC%D0%B5%D0%BD%D0%B4%D0%B0%D0%BD%D1%82%D1%81%D0%BA%D0%B0%D1%8F_%D1%81%D0%BB%D1%83%D0%B6%D0%B1%D0%B0" TargetMode="External"/><Relationship Id="rId38" Type="http://schemas.openxmlformats.org/officeDocument/2006/relationships/hyperlink" Target="https://ru.wikipedia.org/wiki/%D0%91%D0%BE%D0%B5%D0%B2%D1%8B%D0%B5_%D0%BF%D1%80%D0%B8%D0%BF%D0%B0%D1%81%D1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E%D0%B5%D0%B2%D0%BE%D0%B5_%D1%81%D0%BB%D0%B0%D0%B6%D0%B8%D0%B2%D0%B0%D0%BD%D0%B8%D0%B5" TargetMode="External"/><Relationship Id="rId20" Type="http://schemas.openxmlformats.org/officeDocument/2006/relationships/hyperlink" Target="https://ru.wikipedia.org/wiki/%D0%92%D0%BE%D0%B5%D0%BD%D0%BD%D1%8B%D0%B9_%D0%B1%D1%8E%D0%B4%D0%B6%D0%B5%D1%82" TargetMode="External"/><Relationship Id="rId29" Type="http://schemas.openxmlformats.org/officeDocument/2006/relationships/hyperlink" Target="https://ru.wikipedia.org/wiki/%D0%9A%D0%B0%D1%80%D0%B0%D1%83%D0%BB%D1%8C%D0%BD%D0%B0%D1%8F_%D1%81%D0%BB%D1%83%D0%B6%D0%B1%D0%B0" TargetMode="External"/><Relationship Id="rId41" Type="http://schemas.openxmlformats.org/officeDocument/2006/relationships/hyperlink" Target="https://ru.wikipedia.org/wiki/%D0%91%D0%BE%D0%B5%D0%B2%D0%B0%D1%8F_%D0%B3%D0%BE%D1%82%D0%BE%D0%B2%D0%BD%D0%BE%D1%81%D1%82%D1%8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E%D0%B5%D0%B2%D0%B0%D1%8F_%D0%B3%D0%BE%D1%82%D0%BE%D0%B2%D0%BD%D0%BE%D1%81%D1%82%D1%8C" TargetMode="External"/><Relationship Id="rId24" Type="http://schemas.openxmlformats.org/officeDocument/2006/relationships/hyperlink" Target="https://ru.wikipedia.org/wiki/%D0%A4%D0%BE%D1%80%D0%BC%D0%B8%D1%80%D0%BE%D0%B2%D0%B0%D0%BD%D0%B8%D0%B5_(%D0%B2%D0%BE%D0%B5%D0%BD%D0%BD%D0%BE%D0%B5_%D0%B4%D0%B5%D0%BB%D0%BE)" TargetMode="External"/><Relationship Id="rId32" Type="http://schemas.openxmlformats.org/officeDocument/2006/relationships/hyperlink" Target="https://ru.wikipedia.org/wiki/%D0%A1%D1%82%D0%BE%D1%80%D0%BE%D0%B6%D0%B5%D0%B2%D0%BE%D0%B5_%D0%BE%D1%85%D1%80%D0%B0%D0%BD%D0%B5%D0%BD%D0%B8%D0%B5" TargetMode="External"/><Relationship Id="rId37" Type="http://schemas.openxmlformats.org/officeDocument/2006/relationships/hyperlink" Target="https://ru.wikipedia.org/wiki/%D0%9F%D1%80%D0%BE%D0%B2%D0%B8%D0%B0%D0%BD%D1%82" TargetMode="External"/><Relationship Id="rId40" Type="http://schemas.openxmlformats.org/officeDocument/2006/relationships/hyperlink" Target="https://ru.wikipedia.org/wiki/%D0%92%D0%BE%D0%B5%D0%BD%D0%BD%D1%8B%D0%B5_%D1%80%D0%B5%D0%B7%D0%B5%D1%80%D0%B2%D1%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E%D0%B5%D0%B2%D0%B0%D1%8F_%D0%BF%D0%BE%D0%B4%D0%B3%D0%BE%D1%82%D0%BE%D0%B2%D0%BA%D0%B0" TargetMode="External"/><Relationship Id="rId23" Type="http://schemas.openxmlformats.org/officeDocument/2006/relationships/hyperlink" Target="https://ru.wikipedia.org/wiki/%D0%91%D0%BE%D0%B5%D0%B2%D0%B0%D1%8F_%D0%B3%D0%BE%D1%82%D0%BE%D0%B2%D0%BD%D0%BE%D1%81%D1%82%D1%8C" TargetMode="External"/><Relationship Id="rId28" Type="http://schemas.openxmlformats.org/officeDocument/2006/relationships/hyperlink" Target="https://ru.wikipedia.org/wiki/%D0%93%D0%B0%D1%80%D0%BD%D0%B8%D0%B7%D0%BE%D0%BD%D0%BD%D0%B0%D1%8F_%D1%81%D0%BB%D1%83%D0%B6%D0%B1%D0%B0" TargetMode="External"/><Relationship Id="rId36" Type="http://schemas.openxmlformats.org/officeDocument/2006/relationships/hyperlink" Target="https://ru.wikipedia.org/wiki/%D0%9C%D0%BE%D0%B1%D0%B8%D0%BB%D0%B8%D0%B7%D0%B0%D1%86%D0%B8%D1%8F" TargetMode="External"/><Relationship Id="rId10" Type="http://schemas.openxmlformats.org/officeDocument/2006/relationships/hyperlink" Target="https://ru.wikipedia.org/wiki/%D0%A4%D0%BE%D1%80%D0%BC%D0%B8%D1%80%D0%BE%D0%B2%D0%B0%D0%BD%D0%B8%D0%B5_(%D0%B2%D0%BE%D0%B5%D0%BD%D0%BD%D0%BE%D0%B5_%D0%B4%D0%B5%D0%BB%D0%BE)" TargetMode="External"/><Relationship Id="rId19" Type="http://schemas.openxmlformats.org/officeDocument/2006/relationships/hyperlink" Target="https://ru.wikipedia.org/wiki/%D0%92%D0%92%D0%9F" TargetMode="External"/><Relationship Id="rId31" Type="http://schemas.openxmlformats.org/officeDocument/2006/relationships/hyperlink" Target="https://ru.wikipedia.org/wiki/%D0%9F%D1%80%D0%BE%D0%B2%D0%B8%D0%B7%D0%B8%D1%8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E%D0%BE%D1%80%D1%83%D0%B6%D1%91%D0%BD%D0%BD%D1%8B%D0%B5_%D1%81%D0%B8%D0%BB%D1%8B" TargetMode="External"/><Relationship Id="rId14" Type="http://schemas.openxmlformats.org/officeDocument/2006/relationships/hyperlink" Target="https://ru.wikipedia.org/wiki/%D0%91%D0%BE%D0%B5%D0%B2%D0%B0%D1%8F_%D0%B3%D0%BE%D1%82%D0%BE%D0%B2%D0%BD%D0%BE%D1%81%D1%82%D1%8C" TargetMode="External"/><Relationship Id="rId22" Type="http://schemas.openxmlformats.org/officeDocument/2006/relationships/hyperlink" Target="https://ru.wikipedia.org/wiki/%D0%A2%D1%80%D0%B0%D0%BD%D1%81%D0%BF%D0%BE%D1%80%D1%82%D0%BD%D0%B0%D1%8F_%D1%81%D0%B8%D1%81%D1%82%D0%B5%D0%BC%D0%B0" TargetMode="External"/><Relationship Id="rId27" Type="http://schemas.openxmlformats.org/officeDocument/2006/relationships/hyperlink" Target="https://ru.wikipedia.org/wiki/%D0%9D%D0%B5%D0%BF%D0%BE%D1%81%D1%80%D0%B5%D0%B4%D1%81%D1%82%D0%B2%D0%B5%D0%BD%D0%BD%D0%BE%D0%B5_%D0%BE%D1%85%D1%80%D0%B0%D0%BD%D0%B5%D0%BD%D0%B8%D0%B5" TargetMode="External"/><Relationship Id="rId30" Type="http://schemas.openxmlformats.org/officeDocument/2006/relationships/hyperlink" Target="https://ru.wikipedia.org/wiki/%D0%91%D0%BE%D0%B5%D0%B2%D0%B0%D1%8F_%D1%82%D1%80%D0%B5%D0%B2%D0%BE%D0%B3%D0%B0" TargetMode="External"/><Relationship Id="rId35" Type="http://schemas.openxmlformats.org/officeDocument/2006/relationships/hyperlink" Target="https://ru.wikipedia.org/wiki/%D0%90%D1%80%D0%BC%D0%B8%D1%8F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 Антощенко</dc:creator>
  <cp:lastModifiedBy>Windows User</cp:lastModifiedBy>
  <cp:revision>2</cp:revision>
  <cp:lastPrinted>2016-12-21T13:11:00Z</cp:lastPrinted>
  <dcterms:created xsi:type="dcterms:W3CDTF">2016-12-27T20:50:00Z</dcterms:created>
  <dcterms:modified xsi:type="dcterms:W3CDTF">2016-12-27T20:50:00Z</dcterms:modified>
</cp:coreProperties>
</file>