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68F22" w14:textId="77777777" w:rsidR="00A46B12" w:rsidRPr="00A46B12" w:rsidRDefault="00A46B12" w:rsidP="00A46B12">
      <w:pPr>
        <w:rPr>
          <w:lang w:val="en-GB"/>
        </w:rPr>
      </w:pPr>
      <w:r w:rsidRPr="00A46B12">
        <w:rPr>
          <w:b/>
          <w:bCs/>
          <w:lang w:val="en-GB"/>
        </w:rPr>
        <w:t>Types of offering and methods of primary issue</w:t>
      </w:r>
    </w:p>
    <w:p w14:paraId="2089BF61" w14:textId="77777777" w:rsidR="004E4368" w:rsidRPr="004E4368" w:rsidRDefault="004E4368" w:rsidP="004E4368">
      <w:pPr>
        <w:rPr>
          <w:lang w:val="en-GB"/>
        </w:rPr>
      </w:pPr>
      <w:r w:rsidRPr="004E4368">
        <w:rPr>
          <w:lang w:val="en-GB"/>
        </w:rPr>
        <w:t>This element explains t</w:t>
      </w:r>
      <w:r w:rsidRPr="004E4368">
        <w:t>ypes of offering and methods of primary issue.</w:t>
      </w:r>
    </w:p>
    <w:p w14:paraId="221CE244" w14:textId="77777777" w:rsidR="004E4368" w:rsidRPr="004E4368" w:rsidRDefault="004E4368" w:rsidP="004E4368">
      <w:pPr>
        <w:rPr>
          <w:lang w:val="en-GB"/>
        </w:rPr>
      </w:pPr>
      <w:r w:rsidRPr="004E4368">
        <w:rPr>
          <w:b/>
          <w:bCs/>
          <w:lang w:val="en-GB"/>
        </w:rPr>
        <w:t>Introduction</w:t>
      </w:r>
    </w:p>
    <w:p w14:paraId="4B1A9A7A" w14:textId="77777777" w:rsidR="004E4368" w:rsidRPr="004E4368" w:rsidRDefault="004E4368" w:rsidP="004E4368">
      <w:pPr>
        <w:rPr>
          <w:lang w:val="en-GB"/>
        </w:rPr>
      </w:pPr>
      <w:r w:rsidRPr="004E4368">
        <w:t>At an early stage in the</w:t>
      </w:r>
      <w:r w:rsidRPr="004E4368">
        <w:rPr>
          <w:b/>
          <w:bCs/>
        </w:rPr>
        <w:t xml:space="preserve"> IPO timetable </w:t>
      </w:r>
      <w:r w:rsidRPr="004E4368">
        <w:t xml:space="preserve">and at the same time as it prepares for listing, the company will work with its advisers to establish the </w:t>
      </w:r>
      <w:r w:rsidRPr="004E4368">
        <w:rPr>
          <w:b/>
          <w:bCs/>
        </w:rPr>
        <w:t>most appropriate method for making the issue</w:t>
      </w:r>
      <w:r w:rsidRPr="004E4368">
        <w:t xml:space="preserve">.  </w:t>
      </w:r>
    </w:p>
    <w:p w14:paraId="56A528FD" w14:textId="77777777" w:rsidR="004E4368" w:rsidRDefault="004E4368" w:rsidP="004E4368">
      <w:r w:rsidRPr="004E4368">
        <w:t xml:space="preserve">There are a number of factors to consider when deciding how to </w:t>
      </w:r>
      <w:r w:rsidRPr="004E4368">
        <w:rPr>
          <w:b/>
          <w:bCs/>
        </w:rPr>
        <w:t>structure</w:t>
      </w:r>
      <w:r w:rsidRPr="004E4368">
        <w:t xml:space="preserve"> a primary issue of shares.  These will be the same whether looking at a listing on the Main Market or on admission to AIM. The two most common types of offering are: </w:t>
      </w:r>
    </w:p>
    <w:p w14:paraId="0F394465" w14:textId="395A93C5" w:rsidR="004E4368" w:rsidRDefault="004E4368" w:rsidP="004E4368">
      <w:pPr>
        <w:pStyle w:val="ListParagraph"/>
        <w:numPr>
          <w:ilvl w:val="0"/>
          <w:numId w:val="1"/>
        </w:numPr>
        <w:rPr>
          <w:lang w:val="en-GB"/>
        </w:rPr>
      </w:pPr>
      <w:r>
        <w:rPr>
          <w:lang w:val="en-GB"/>
        </w:rPr>
        <w:t>Retail offers</w:t>
      </w:r>
    </w:p>
    <w:p w14:paraId="564260D5" w14:textId="71AE740C" w:rsidR="004E4368" w:rsidRDefault="004E4368" w:rsidP="004E4368">
      <w:pPr>
        <w:pStyle w:val="ListParagraph"/>
        <w:numPr>
          <w:ilvl w:val="0"/>
          <w:numId w:val="1"/>
        </w:numPr>
        <w:rPr>
          <w:lang w:val="en-GB"/>
        </w:rPr>
      </w:pPr>
      <w:r>
        <w:rPr>
          <w:lang w:val="en-GB"/>
        </w:rPr>
        <w:t>Instit</w:t>
      </w:r>
      <w:r w:rsidR="00467BFF">
        <w:rPr>
          <w:lang w:val="en-GB"/>
        </w:rPr>
        <w:t>utional offers</w:t>
      </w:r>
    </w:p>
    <w:p w14:paraId="5FBD8207" w14:textId="77777777" w:rsidR="006A6617" w:rsidRDefault="006A6617" w:rsidP="006A6617">
      <w:pPr>
        <w:pStyle w:val="ListParagraph"/>
        <w:rPr>
          <w:lang w:val="en-GB"/>
        </w:rPr>
      </w:pPr>
    </w:p>
    <w:p w14:paraId="0F053D86" w14:textId="77777777" w:rsidR="00467BFF" w:rsidRPr="00467BFF" w:rsidRDefault="00467BFF" w:rsidP="00467BFF">
      <w:pPr>
        <w:rPr>
          <w:lang w:val="en-GB"/>
        </w:rPr>
      </w:pPr>
      <w:r w:rsidRPr="00467BFF">
        <w:rPr>
          <w:lang w:val="en-GB"/>
        </w:rPr>
        <w:t xml:space="preserve">It is important to appreciate that, in practice, most IPOs of commercial companies include only an institutional offering; but the minority include a retail offer as well.  </w:t>
      </w:r>
    </w:p>
    <w:p w14:paraId="5715FFD7" w14:textId="77777777" w:rsidR="00467BFF" w:rsidRPr="00467BFF" w:rsidRDefault="00467BFF" w:rsidP="00467BFF">
      <w:pPr>
        <w:rPr>
          <w:lang w:val="en-GB"/>
        </w:rPr>
      </w:pPr>
      <w:r w:rsidRPr="00467BFF">
        <w:rPr>
          <w:lang w:val="en-GB"/>
        </w:rPr>
        <w:t xml:space="preserve">For example, an IPO might involve a combination of: </w:t>
      </w:r>
    </w:p>
    <w:p w14:paraId="0204C3DC" w14:textId="20A01445" w:rsidR="00467BFF" w:rsidRPr="00467BFF" w:rsidRDefault="00467BFF" w:rsidP="00467BFF">
      <w:pPr>
        <w:numPr>
          <w:ilvl w:val="0"/>
          <w:numId w:val="2"/>
        </w:numPr>
        <w:rPr>
          <w:lang w:val="en-GB"/>
        </w:rPr>
      </w:pPr>
      <w:r w:rsidRPr="00467BFF">
        <w:rPr>
          <w:b/>
          <w:bCs/>
          <w:lang w:val="en-GB"/>
        </w:rPr>
        <w:t xml:space="preserve">new shares </w:t>
      </w:r>
      <w:r w:rsidRPr="00467BFF">
        <w:rPr>
          <w:lang w:val="en-GB"/>
        </w:rPr>
        <w:t>being offered to the public</w:t>
      </w:r>
      <w:r w:rsidR="00C20531">
        <w:rPr>
          <w:lang w:val="en-GB"/>
        </w:rPr>
        <w:t xml:space="preserve"> (Retail)</w:t>
      </w:r>
      <w:r w:rsidRPr="00467BFF">
        <w:rPr>
          <w:lang w:val="en-GB"/>
        </w:rPr>
        <w:t xml:space="preserve">; </w:t>
      </w:r>
    </w:p>
    <w:p w14:paraId="0BDA7FDB" w14:textId="60039ECE" w:rsidR="00467BFF" w:rsidRPr="00467BFF" w:rsidRDefault="00467BFF" w:rsidP="00467BFF">
      <w:pPr>
        <w:numPr>
          <w:ilvl w:val="0"/>
          <w:numId w:val="2"/>
        </w:numPr>
        <w:rPr>
          <w:lang w:val="en-GB"/>
        </w:rPr>
      </w:pPr>
      <w:r w:rsidRPr="00467BFF">
        <w:rPr>
          <w:b/>
          <w:bCs/>
          <w:lang w:val="en-GB"/>
        </w:rPr>
        <w:t xml:space="preserve">existing shares </w:t>
      </w:r>
      <w:r w:rsidRPr="00467BFF">
        <w:rPr>
          <w:lang w:val="en-GB"/>
        </w:rPr>
        <w:t>being sold to the public</w:t>
      </w:r>
      <w:r w:rsidR="00C20531">
        <w:rPr>
          <w:lang w:val="en-GB"/>
        </w:rPr>
        <w:t xml:space="preserve"> (Retail)</w:t>
      </w:r>
      <w:r w:rsidRPr="00467BFF">
        <w:rPr>
          <w:lang w:val="en-GB"/>
        </w:rPr>
        <w:t xml:space="preserve">; and </w:t>
      </w:r>
    </w:p>
    <w:p w14:paraId="58679920" w14:textId="77777777" w:rsidR="00467BFF" w:rsidRPr="00467BFF" w:rsidRDefault="00467BFF" w:rsidP="00467BFF">
      <w:pPr>
        <w:numPr>
          <w:ilvl w:val="0"/>
          <w:numId w:val="2"/>
        </w:numPr>
        <w:rPr>
          <w:lang w:val="en-GB"/>
        </w:rPr>
      </w:pPr>
      <w:r w:rsidRPr="00467BFF">
        <w:rPr>
          <w:b/>
          <w:bCs/>
          <w:lang w:val="en-GB"/>
        </w:rPr>
        <w:t xml:space="preserve">either new or existing shares </w:t>
      </w:r>
      <w:r w:rsidRPr="00467BFF">
        <w:rPr>
          <w:lang w:val="en-GB"/>
        </w:rPr>
        <w:t>being offered to institutional investors, usually by way of a placing.</w:t>
      </w:r>
    </w:p>
    <w:p w14:paraId="057C1DF7" w14:textId="77777777" w:rsidR="007C5C2B" w:rsidRDefault="007C5C2B" w:rsidP="007C5C2B">
      <w:pPr>
        <w:rPr>
          <w:b/>
          <w:bCs/>
        </w:rPr>
      </w:pPr>
      <w:r w:rsidRPr="007C5C2B">
        <w:rPr>
          <w:b/>
          <w:bCs/>
        </w:rPr>
        <w:t>Retail offers</w:t>
      </w:r>
    </w:p>
    <w:p w14:paraId="2A2FD229" w14:textId="5F7D4F60" w:rsidR="007C5C2B" w:rsidRPr="007C5C2B" w:rsidRDefault="007C5C2B" w:rsidP="007C5C2B">
      <w:r w:rsidRPr="5E131500">
        <w:t xml:space="preserve">If the company believes its shares will appeal to a broad range of investors, it may decide to offer them to the public in a </w:t>
      </w:r>
      <w:r w:rsidRPr="5E131500">
        <w:rPr>
          <w:b/>
        </w:rPr>
        <w:t>retail offer</w:t>
      </w:r>
      <w:r w:rsidRPr="5E131500">
        <w:t xml:space="preserve"> (</w:t>
      </w:r>
      <w:r w:rsidR="006164C7" w:rsidRPr="5E131500">
        <w:t xml:space="preserve">sometimes </w:t>
      </w:r>
      <w:r w:rsidRPr="5E131500">
        <w:t xml:space="preserve">known as a </w:t>
      </w:r>
      <w:r w:rsidRPr="5E131500">
        <w:rPr>
          <w:b/>
        </w:rPr>
        <w:t>public offer</w:t>
      </w:r>
      <w:r w:rsidRPr="5E131500">
        <w:t xml:space="preserve">).  </w:t>
      </w:r>
    </w:p>
    <w:p w14:paraId="079E25BF" w14:textId="77777777" w:rsidR="007C5C2B" w:rsidRPr="007C5C2B" w:rsidRDefault="007C5C2B" w:rsidP="007C5C2B">
      <w:pPr>
        <w:rPr>
          <w:lang w:val="en-GB"/>
        </w:rPr>
      </w:pPr>
      <w:r w:rsidRPr="007C5C2B">
        <w:rPr>
          <w:lang w:val="en-GB"/>
        </w:rPr>
        <w:t xml:space="preserve">A retail offer will often include both an offer of both new shares and the sale of existing shares to the public. </w:t>
      </w:r>
    </w:p>
    <w:p w14:paraId="18B8E5DF" w14:textId="22BAFF1D" w:rsidR="00B510A7" w:rsidRPr="00BA1D5B" w:rsidRDefault="00B510A7" w:rsidP="00B510A7">
      <w:pPr>
        <w:rPr>
          <w:b/>
          <w:bCs/>
          <w:lang w:val="en-GB"/>
        </w:rPr>
      </w:pPr>
      <w:r w:rsidRPr="00BA1D5B">
        <w:rPr>
          <w:b/>
          <w:bCs/>
        </w:rPr>
        <w:t>Offer of new shares</w:t>
      </w:r>
    </w:p>
    <w:p w14:paraId="085759D5" w14:textId="77777777" w:rsidR="00B510A7" w:rsidRPr="00B510A7" w:rsidRDefault="00B510A7" w:rsidP="00B510A7">
      <w:pPr>
        <w:rPr>
          <w:lang w:val="en-GB"/>
        </w:rPr>
      </w:pPr>
      <w:r w:rsidRPr="00B510A7">
        <w:t xml:space="preserve">The company issues new shares, for which investors subscribe.  </w:t>
      </w:r>
    </w:p>
    <w:p w14:paraId="1A1DEE3D" w14:textId="77777777" w:rsidR="00B510A7" w:rsidRDefault="00B510A7" w:rsidP="00B510A7">
      <w:r w:rsidRPr="00B510A7">
        <w:t>This allows the company to raise finance.</w:t>
      </w:r>
    </w:p>
    <w:p w14:paraId="379EDF1B" w14:textId="77777777" w:rsidR="00CD18B1" w:rsidRPr="00BA1D5B" w:rsidRDefault="00CD18B1" w:rsidP="00CD18B1">
      <w:pPr>
        <w:rPr>
          <w:b/>
          <w:bCs/>
          <w:lang w:val="en-GB"/>
        </w:rPr>
      </w:pPr>
      <w:r w:rsidRPr="00BA1D5B">
        <w:rPr>
          <w:b/>
          <w:bCs/>
        </w:rPr>
        <w:t>Sale of existing shares</w:t>
      </w:r>
    </w:p>
    <w:p w14:paraId="64E1D850" w14:textId="77777777" w:rsidR="00CD18B1" w:rsidRPr="00CD18B1" w:rsidRDefault="00CD18B1" w:rsidP="00CD18B1">
      <w:pPr>
        <w:rPr>
          <w:lang w:val="en-GB"/>
        </w:rPr>
      </w:pPr>
      <w:r w:rsidRPr="00CD18B1">
        <w:t xml:space="preserve">Existing shareholders sell shares to investors and the shares are transferred to the investors.  </w:t>
      </w:r>
    </w:p>
    <w:p w14:paraId="4734562B" w14:textId="36925988" w:rsidR="00CD18B1" w:rsidRDefault="00CD18B1" w:rsidP="00CD18B1">
      <w:r w:rsidRPr="00CD18B1">
        <w:t xml:space="preserve">The company does not raise additional finance. </w:t>
      </w:r>
    </w:p>
    <w:p w14:paraId="3F5469A5" w14:textId="7C236C18" w:rsidR="00CD18B1" w:rsidRPr="00CD18B1" w:rsidRDefault="00CD18B1" w:rsidP="00CD18B1">
      <w:pPr>
        <w:rPr>
          <w:lang w:val="en-GB"/>
        </w:rPr>
      </w:pPr>
      <w:r>
        <w:t>In both structures, the company will appoint either a receiving agent or a facilitator such as PrimaryBid to accept the applications from the public and deal with payment for the shares.</w:t>
      </w:r>
    </w:p>
    <w:p w14:paraId="61C86905" w14:textId="7300385D" w:rsidR="1ED1EC89" w:rsidRDefault="1ED1EC89" w:rsidP="1ED1EC89">
      <w:pPr>
        <w:rPr>
          <w:b/>
          <w:bCs/>
        </w:rPr>
      </w:pPr>
    </w:p>
    <w:p w14:paraId="5FC4BFFB" w14:textId="4E4D9C0E" w:rsidR="1ED1EC89" w:rsidRDefault="1ED1EC89" w:rsidP="1ED1EC89">
      <w:pPr>
        <w:rPr>
          <w:b/>
          <w:bCs/>
        </w:rPr>
      </w:pPr>
    </w:p>
    <w:p w14:paraId="0312BEA3" w14:textId="77777777" w:rsidR="00BF54E7" w:rsidRPr="00BF54E7" w:rsidRDefault="00BF54E7" w:rsidP="00BF54E7">
      <w:pPr>
        <w:rPr>
          <w:lang w:val="en-GB"/>
        </w:rPr>
      </w:pPr>
      <w:r w:rsidRPr="00BF54E7">
        <w:rPr>
          <w:b/>
          <w:bCs/>
        </w:rPr>
        <w:t>Retail offer of new shares by the company</w:t>
      </w:r>
    </w:p>
    <w:p w14:paraId="26266C3B" w14:textId="61505078" w:rsidR="00CD18B1" w:rsidRDefault="005D6E6D" w:rsidP="00CD18B1">
      <w:pPr>
        <w:rPr>
          <w:lang w:val="en-GB"/>
        </w:rPr>
      </w:pPr>
      <w:r w:rsidRPr="1ED1EC89">
        <w:rPr>
          <w:b/>
          <w:bCs/>
          <w:lang w:val="en-GB"/>
        </w:rPr>
        <w:t>Triangular d</w:t>
      </w:r>
      <w:r w:rsidR="00674A2C" w:rsidRPr="1ED1EC89">
        <w:rPr>
          <w:b/>
          <w:bCs/>
          <w:lang w:val="en-GB"/>
        </w:rPr>
        <w:t xml:space="preserve">iagram: </w:t>
      </w:r>
      <w:r w:rsidR="00A74F08" w:rsidRPr="1ED1EC89">
        <w:rPr>
          <w:lang w:val="en-GB"/>
        </w:rPr>
        <w:t xml:space="preserve">Text box reading ‘Company’ </w:t>
      </w:r>
      <w:r w:rsidR="00BF3D8E" w:rsidRPr="1ED1EC89">
        <w:rPr>
          <w:lang w:val="en-GB"/>
        </w:rPr>
        <w:t>with a</w:t>
      </w:r>
      <w:r w:rsidR="006C56CA" w:rsidRPr="1ED1EC89">
        <w:rPr>
          <w:lang w:val="en-GB"/>
        </w:rPr>
        <w:t xml:space="preserve"> </w:t>
      </w:r>
      <w:r w:rsidR="00E551CD" w:rsidRPr="1ED1EC89">
        <w:rPr>
          <w:lang w:val="en-GB"/>
        </w:rPr>
        <w:t>horizontal</w:t>
      </w:r>
      <w:r w:rsidR="00BF3D8E" w:rsidRPr="1ED1EC89">
        <w:rPr>
          <w:lang w:val="en-GB"/>
        </w:rPr>
        <w:t xml:space="preserve"> arrow pointing to a text box reading ‘Shares’. </w:t>
      </w:r>
      <w:r w:rsidR="006C56CA" w:rsidRPr="1ED1EC89">
        <w:rPr>
          <w:lang w:val="en-GB"/>
        </w:rPr>
        <w:t>Horizontal a</w:t>
      </w:r>
      <w:r w:rsidR="00CB4F2B" w:rsidRPr="1ED1EC89">
        <w:rPr>
          <w:lang w:val="en-GB"/>
        </w:rPr>
        <w:t>rrow from this text box to another reading ‘Pub</w:t>
      </w:r>
      <w:r w:rsidR="002D3A90">
        <w:rPr>
          <w:lang w:val="en-GB"/>
        </w:rPr>
        <w:t>l</w:t>
      </w:r>
      <w:r w:rsidR="00CB4F2B" w:rsidRPr="1ED1EC89">
        <w:rPr>
          <w:lang w:val="en-GB"/>
        </w:rPr>
        <w:t>ic’</w:t>
      </w:r>
      <w:r w:rsidR="00910B88" w:rsidRPr="1ED1EC89">
        <w:rPr>
          <w:lang w:val="en-GB"/>
        </w:rPr>
        <w:t xml:space="preserve">. </w:t>
      </w:r>
      <w:r w:rsidR="006C56CA" w:rsidRPr="1ED1EC89">
        <w:rPr>
          <w:lang w:val="en-GB"/>
        </w:rPr>
        <w:t>Downward a</w:t>
      </w:r>
      <w:r w:rsidR="00910B88" w:rsidRPr="1ED1EC89">
        <w:rPr>
          <w:lang w:val="en-GB"/>
        </w:rPr>
        <w:t>rrow from this text box to another reading ‘Cash’</w:t>
      </w:r>
      <w:r w:rsidR="003D1C03" w:rsidRPr="1ED1EC89">
        <w:rPr>
          <w:lang w:val="en-GB"/>
        </w:rPr>
        <w:t xml:space="preserve">, and </w:t>
      </w:r>
      <w:r w:rsidR="00200EF3" w:rsidRPr="1ED1EC89">
        <w:rPr>
          <w:lang w:val="en-GB"/>
        </w:rPr>
        <w:t xml:space="preserve">downward </w:t>
      </w:r>
      <w:r w:rsidR="003D1C03" w:rsidRPr="1ED1EC89">
        <w:rPr>
          <w:lang w:val="en-GB"/>
        </w:rPr>
        <w:t>arrow from here pointing to text box reading ‘Receiving agent</w:t>
      </w:r>
      <w:r w:rsidR="006C56CA" w:rsidRPr="1ED1EC89">
        <w:rPr>
          <w:lang w:val="en-GB"/>
        </w:rPr>
        <w:t>/Facilitator’.</w:t>
      </w:r>
      <w:r w:rsidR="00200EF3" w:rsidRPr="1ED1EC89">
        <w:rPr>
          <w:lang w:val="en-GB"/>
        </w:rPr>
        <w:t xml:space="preserve"> There is then another arrow from ‘Receiving </w:t>
      </w:r>
      <w:r w:rsidR="00215342" w:rsidRPr="1ED1EC89">
        <w:rPr>
          <w:lang w:val="en-GB"/>
        </w:rPr>
        <w:t>agent/Facilitator’ to another text box reading ‘Cash’ and an upward arrow from here pointing back to the first ‘Company’ text box.</w:t>
      </w:r>
      <w:r w:rsidR="62A598A1" w:rsidRPr="1ED1EC89">
        <w:rPr>
          <w:lang w:val="en-GB"/>
        </w:rPr>
        <w:t xml:space="preserve"> </w:t>
      </w:r>
      <w:r w:rsidR="62A598A1" w:rsidRPr="1ED1EC89">
        <w:rPr>
          <w:b/>
          <w:bCs/>
          <w:lang w:val="en-GB"/>
        </w:rPr>
        <w:t xml:space="preserve">End of diagram. </w:t>
      </w:r>
      <w:r w:rsidR="00215342" w:rsidRPr="1ED1EC89">
        <w:rPr>
          <w:lang w:val="en-GB"/>
        </w:rPr>
        <w:t xml:space="preserve"> </w:t>
      </w:r>
      <w:r w:rsidR="006C56CA" w:rsidRPr="1ED1EC89">
        <w:rPr>
          <w:lang w:val="en-GB"/>
        </w:rPr>
        <w:t xml:space="preserve"> </w:t>
      </w:r>
    </w:p>
    <w:p w14:paraId="3B5AB869" w14:textId="77777777" w:rsidR="005D6E6D" w:rsidRDefault="005D6E6D" w:rsidP="005D6E6D">
      <w:pPr>
        <w:rPr>
          <w:b/>
          <w:bCs/>
        </w:rPr>
      </w:pPr>
      <w:r w:rsidRPr="005D6E6D">
        <w:rPr>
          <w:b/>
          <w:bCs/>
        </w:rPr>
        <w:t>Retail offer of existing shares by shareholders</w:t>
      </w:r>
    </w:p>
    <w:p w14:paraId="2A94E11B" w14:textId="736CFBF0" w:rsidR="00C32F52" w:rsidRDefault="00083DCF" w:rsidP="00083DCF">
      <w:pPr>
        <w:rPr>
          <w:lang w:val="en-GB"/>
        </w:rPr>
      </w:pPr>
      <w:r w:rsidRPr="1ED1EC89">
        <w:rPr>
          <w:b/>
          <w:bCs/>
          <w:lang w:val="en-GB"/>
        </w:rPr>
        <w:t xml:space="preserve">Triangular diagram: </w:t>
      </w:r>
      <w:r w:rsidRPr="1ED1EC89">
        <w:rPr>
          <w:lang w:val="en-GB"/>
        </w:rPr>
        <w:t>Text box reading ‘Shareholders’ with a horizontal arrow pointing to a text box reading ‘Shares’. Horizontal arrow from this text box to another reading ‘Pub</w:t>
      </w:r>
      <w:r w:rsidR="000D0255" w:rsidRPr="1ED1EC89">
        <w:rPr>
          <w:lang w:val="en-GB"/>
        </w:rPr>
        <w:t>l</w:t>
      </w:r>
      <w:r w:rsidRPr="1ED1EC89">
        <w:rPr>
          <w:lang w:val="en-GB"/>
        </w:rPr>
        <w:t>ic’. Downward arrow from this text box to another reading ‘Cash’, and downward arrow from here pointing to text box reading ‘Receiving agent/Facilitator’. There is then another arrow from ‘Receiving agent/Facilitator’ to another text box reading ‘Cash’ and an upward arrow from here pointing back to the first ‘Shareholders’ text box.</w:t>
      </w:r>
      <w:r w:rsidR="609C59D5" w:rsidRPr="1ED1EC89">
        <w:rPr>
          <w:lang w:val="en-GB"/>
        </w:rPr>
        <w:t xml:space="preserve"> </w:t>
      </w:r>
      <w:r w:rsidR="609C59D5" w:rsidRPr="1ED1EC89">
        <w:rPr>
          <w:b/>
          <w:bCs/>
          <w:lang w:val="en-GB"/>
        </w:rPr>
        <w:t>End of diagram.</w:t>
      </w:r>
      <w:r w:rsidRPr="1ED1EC89">
        <w:rPr>
          <w:lang w:val="en-GB"/>
        </w:rPr>
        <w:t xml:space="preserve"> </w:t>
      </w:r>
    </w:p>
    <w:p w14:paraId="21FF7EC8" w14:textId="77777777" w:rsidR="00C32F52" w:rsidRDefault="00C32F52" w:rsidP="00083DCF">
      <w:pPr>
        <w:rPr>
          <w:b/>
          <w:bCs/>
        </w:rPr>
      </w:pPr>
      <w:r w:rsidRPr="00C32F52">
        <w:rPr>
          <w:b/>
          <w:bCs/>
        </w:rPr>
        <w:t>Employee offers</w:t>
      </w:r>
    </w:p>
    <w:p w14:paraId="40A46CA1" w14:textId="6B21189A" w:rsidR="00C32F52" w:rsidRPr="00C32F52" w:rsidRDefault="00C32F52" w:rsidP="00C32F52">
      <w:pPr>
        <w:rPr>
          <w:lang w:val="en-GB"/>
        </w:rPr>
      </w:pPr>
      <w:r w:rsidRPr="00C32F52">
        <w:rPr>
          <w:lang w:val="en-GB"/>
        </w:rPr>
        <w:t>Companies which are undertaking a listing often choose to use shares (or options over shares) in the company as a mechanism to incentivise senior management and other employees.</w:t>
      </w:r>
      <w:r w:rsidR="00037225">
        <w:rPr>
          <w:lang w:val="en-GB"/>
        </w:rPr>
        <w:t xml:space="preserve"> </w:t>
      </w:r>
      <w:r w:rsidR="00037225" w:rsidRPr="00037225">
        <w:t>Sometimes they offer their employees the chance to buy shares in the IPO.</w:t>
      </w:r>
    </w:p>
    <w:p w14:paraId="7EE839FF" w14:textId="57B1DBA1" w:rsidR="00C32F52" w:rsidRPr="00C32F52" w:rsidRDefault="00C32F52" w:rsidP="00C32F52">
      <w:pPr>
        <w:rPr>
          <w:lang w:val="en-GB"/>
        </w:rPr>
      </w:pPr>
      <w:r w:rsidRPr="00C32F52">
        <w:rPr>
          <w:lang w:val="en-GB"/>
        </w:rPr>
        <w:t>It is important to understand that, in their nature, employees will be retail investors so any employee offer will almost certainly take on the characteristics of a retail offer (or, possibly, an intermediaries offer (see later in this element</w:t>
      </w:r>
      <w:r w:rsidR="005157A6">
        <w:rPr>
          <w:lang w:val="en-GB"/>
        </w:rPr>
        <w:t>)).</w:t>
      </w:r>
    </w:p>
    <w:p w14:paraId="270BA707" w14:textId="77777777" w:rsidR="00C32F52" w:rsidRDefault="00C32F52" w:rsidP="00083DCF">
      <w:pPr>
        <w:rPr>
          <w:b/>
          <w:bCs/>
        </w:rPr>
      </w:pPr>
      <w:r w:rsidRPr="00C32F52">
        <w:rPr>
          <w:b/>
          <w:bCs/>
        </w:rPr>
        <w:t>Institutional offers</w:t>
      </w:r>
    </w:p>
    <w:p w14:paraId="23CCEE2B" w14:textId="77777777" w:rsidR="00C22DA4" w:rsidRPr="00A95DB2" w:rsidRDefault="00C22DA4" w:rsidP="00C22DA4">
      <w:pPr>
        <w:rPr>
          <w:lang w:val="en-GB"/>
        </w:rPr>
      </w:pPr>
      <w:r w:rsidRPr="00A95DB2">
        <w:rPr>
          <w:lang w:val="en-GB"/>
        </w:rPr>
        <w:t xml:space="preserve">If a company believes that it will not attract public interest, perhaps because it is a less well-known company, the company may choose to offer its shares only to professional investors by way of an institutional offer.  </w:t>
      </w:r>
    </w:p>
    <w:p w14:paraId="07D9BADF" w14:textId="77777777" w:rsidR="00C22DA4" w:rsidRPr="00A95DB2" w:rsidRDefault="00C22DA4" w:rsidP="00C22DA4">
      <w:pPr>
        <w:rPr>
          <w:lang w:val="en-GB"/>
        </w:rPr>
      </w:pPr>
      <w:r w:rsidRPr="00A95DB2">
        <w:rPr>
          <w:lang w:val="en-GB"/>
        </w:rPr>
        <w:t xml:space="preserve">Where a listing is being effected by means of a retail offer, the company will almost certainly combine that retail offer with an institutional offer so as to be able to benefit from the greater level of funds at the disposal of institutional investors. </w:t>
      </w:r>
    </w:p>
    <w:p w14:paraId="46E2A8EB" w14:textId="77777777" w:rsidR="00C22DA4" w:rsidRPr="00A95DB2" w:rsidRDefault="00C22DA4" w:rsidP="00C22DA4">
      <w:pPr>
        <w:rPr>
          <w:lang w:val="en-GB"/>
        </w:rPr>
      </w:pPr>
      <w:r w:rsidRPr="00A95DB2">
        <w:rPr>
          <w:lang w:val="en-GB"/>
        </w:rPr>
        <w:t>Many companies choose purely institutional offers due to the additional regulatory issues associated with a retail offer and the fact that institutional investors tend to have much greater funds available for investment than retail investors.</w:t>
      </w:r>
    </w:p>
    <w:p w14:paraId="00772A26" w14:textId="71ACA48D" w:rsidR="00C22DA4" w:rsidRPr="00A95DB2" w:rsidRDefault="00C22DA4" w:rsidP="00C22DA4">
      <w:pPr>
        <w:rPr>
          <w:lang w:val="en-GB"/>
        </w:rPr>
      </w:pPr>
      <w:r w:rsidRPr="00A95DB2">
        <w:rPr>
          <w:lang w:val="en-GB"/>
        </w:rPr>
        <w:t>The principal method of making an institutional offer is by way of a placing.</w:t>
      </w:r>
    </w:p>
    <w:p w14:paraId="669EDA60" w14:textId="63960B6B" w:rsidR="00C22DA4" w:rsidRPr="00C22DA4" w:rsidRDefault="00C22DA4" w:rsidP="00C22DA4">
      <w:r w:rsidRPr="00C22DA4">
        <w:rPr>
          <w:b/>
          <w:bCs/>
        </w:rPr>
        <w:t>Placing</w:t>
      </w:r>
    </w:p>
    <w:p w14:paraId="5EB4A203" w14:textId="75F6D511" w:rsidR="00C22DA4" w:rsidRDefault="00DA0118" w:rsidP="00C22DA4">
      <w:r>
        <w:rPr>
          <w:b/>
          <w:bCs/>
          <w:lang w:val="en-GB"/>
        </w:rPr>
        <w:t xml:space="preserve">Placing </w:t>
      </w:r>
      <w:r w:rsidR="00C22DA4" w:rsidRPr="00C22DA4">
        <w:rPr>
          <w:b/>
          <w:bCs/>
          <w:lang w:val="en-GB"/>
        </w:rPr>
        <w:t xml:space="preserve">definition: </w:t>
      </w:r>
      <w:r w:rsidR="00C22DA4" w:rsidRPr="00C22DA4">
        <w:t>‘</w:t>
      </w:r>
      <w:r w:rsidR="00C22DA4" w:rsidRPr="00C22DA4">
        <w:rPr>
          <w:i/>
          <w:iCs/>
        </w:rPr>
        <w:t>A marketing of securities already in issue but not listed or not yet in issue, to specified persons or clients of the sponsor or any securities house assisting in the placing, which does not involve an offer to the public or to existing holders of the issuer’s securities generally</w:t>
      </w:r>
      <w:r w:rsidR="00C22DA4" w:rsidRPr="00C22DA4">
        <w:t>’</w:t>
      </w:r>
    </w:p>
    <w:p w14:paraId="4E7E4088" w14:textId="7D20821F" w:rsidR="00DA0118" w:rsidRPr="00C22DA4" w:rsidRDefault="00DA0118" w:rsidP="00C22DA4">
      <w:pPr>
        <w:rPr>
          <w:lang w:val="en-GB"/>
        </w:rPr>
      </w:pPr>
      <w:r>
        <w:lastRenderedPageBreak/>
        <w:t>FCA Handbook Glossary</w:t>
      </w:r>
    </w:p>
    <w:p w14:paraId="253E23EF" w14:textId="77777777" w:rsidR="00B01C19" w:rsidRPr="00B01C19" w:rsidRDefault="00B01C19" w:rsidP="00B01C19">
      <w:pPr>
        <w:rPr>
          <w:lang w:val="en-GB"/>
        </w:rPr>
      </w:pPr>
      <w:r w:rsidRPr="00B01C19">
        <w:rPr>
          <w:lang w:val="en-GB"/>
        </w:rPr>
        <w:t>Key elements of a placing are:</w:t>
      </w:r>
    </w:p>
    <w:p w14:paraId="5BF54B42" w14:textId="5381DD90" w:rsidR="00B01C19" w:rsidRPr="00B01C19" w:rsidRDefault="00B01C19" w:rsidP="00C42FD9">
      <w:pPr>
        <w:numPr>
          <w:ilvl w:val="0"/>
          <w:numId w:val="4"/>
        </w:numPr>
        <w:rPr>
          <w:lang w:val="en-GB"/>
        </w:rPr>
      </w:pPr>
      <w:r w:rsidRPr="00B01C19">
        <w:rPr>
          <w:lang w:val="en-GB"/>
        </w:rPr>
        <w:t xml:space="preserve">both </w:t>
      </w:r>
      <w:r w:rsidRPr="00B01C19">
        <w:rPr>
          <w:b/>
          <w:bCs/>
          <w:lang w:val="en-GB"/>
        </w:rPr>
        <w:t>new</w:t>
      </w:r>
      <w:r w:rsidRPr="00B01C19">
        <w:rPr>
          <w:lang w:val="en-GB"/>
        </w:rPr>
        <w:t xml:space="preserve"> and </w:t>
      </w:r>
      <w:r w:rsidRPr="00B01C19">
        <w:rPr>
          <w:b/>
          <w:bCs/>
          <w:lang w:val="en-GB"/>
        </w:rPr>
        <w:t>existing</w:t>
      </w:r>
      <w:r w:rsidRPr="00B01C19">
        <w:rPr>
          <w:lang w:val="en-GB"/>
        </w:rPr>
        <w:t xml:space="preserve"> shares can be offered by the company and the selling shareholders respectively;</w:t>
      </w:r>
    </w:p>
    <w:p w14:paraId="6C550F19" w14:textId="381DCF5B" w:rsidR="00B01C19" w:rsidRPr="00B01C19" w:rsidRDefault="00B01C19" w:rsidP="00C42FD9">
      <w:pPr>
        <w:numPr>
          <w:ilvl w:val="0"/>
          <w:numId w:val="4"/>
        </w:numPr>
        <w:rPr>
          <w:lang w:val="en-GB"/>
        </w:rPr>
      </w:pPr>
      <w:r w:rsidRPr="00B01C19">
        <w:rPr>
          <w:lang w:val="en-GB"/>
        </w:rPr>
        <w:t xml:space="preserve">the shares are offered to </w:t>
      </w:r>
      <w:r w:rsidRPr="00B01C19">
        <w:rPr>
          <w:b/>
          <w:bCs/>
          <w:lang w:val="en-GB"/>
        </w:rPr>
        <w:t>‘placees’</w:t>
      </w:r>
      <w:r w:rsidRPr="00B01C19">
        <w:rPr>
          <w:lang w:val="en-GB"/>
        </w:rPr>
        <w:t xml:space="preserve"> (i.e. sophisticated/institutional investors rather than the general public); and</w:t>
      </w:r>
    </w:p>
    <w:p w14:paraId="1631100C" w14:textId="2152518F" w:rsidR="00B01C19" w:rsidRDefault="00B01C19" w:rsidP="00C42FD9">
      <w:pPr>
        <w:numPr>
          <w:ilvl w:val="0"/>
          <w:numId w:val="4"/>
        </w:numPr>
        <w:rPr>
          <w:lang w:val="en-GB"/>
        </w:rPr>
      </w:pPr>
      <w:r w:rsidRPr="00B01C19">
        <w:rPr>
          <w:lang w:val="en-GB"/>
        </w:rPr>
        <w:t xml:space="preserve">it is not usually necessary to appoint a receiving agent or facilitator as the investment bank </w:t>
      </w:r>
      <w:r w:rsidR="00B347B4">
        <w:rPr>
          <w:lang w:val="en-GB"/>
        </w:rPr>
        <w:t>makes the necessary arrangements.</w:t>
      </w:r>
    </w:p>
    <w:p w14:paraId="6E057D08" w14:textId="77777777" w:rsidR="00C96A2F" w:rsidRPr="00C96A2F" w:rsidRDefault="00C96A2F" w:rsidP="00C96A2F">
      <w:pPr>
        <w:rPr>
          <w:lang w:val="en-GB"/>
        </w:rPr>
      </w:pPr>
      <w:r w:rsidRPr="00C96A2F">
        <w:rPr>
          <w:b/>
          <w:bCs/>
        </w:rPr>
        <w:t>Placees</w:t>
      </w:r>
    </w:p>
    <w:p w14:paraId="639A87A7" w14:textId="77777777" w:rsidR="00C96A2F" w:rsidRPr="00C96A2F" w:rsidRDefault="00C96A2F" w:rsidP="00C96A2F">
      <w:pPr>
        <w:rPr>
          <w:lang w:val="en-GB"/>
        </w:rPr>
      </w:pPr>
      <w:r w:rsidRPr="00C96A2F">
        <w:t xml:space="preserve">‘Placees’ are clients of either the sponsor, the broker or the investment bank. They are other financial institutions including banks and pension funds. Prior to the day when the final price of the shares is announced, the places generally indicate to the broker: </w:t>
      </w:r>
    </w:p>
    <w:p w14:paraId="3A52F34D" w14:textId="77777777" w:rsidR="00C96A2F" w:rsidRPr="00C96A2F" w:rsidRDefault="00C96A2F" w:rsidP="00C96A2F">
      <w:pPr>
        <w:numPr>
          <w:ilvl w:val="0"/>
          <w:numId w:val="5"/>
        </w:numPr>
        <w:rPr>
          <w:lang w:val="en-GB"/>
        </w:rPr>
      </w:pPr>
      <w:r w:rsidRPr="00C96A2F">
        <w:t xml:space="preserve">how many shares they would be willing to purchase in the placing; and </w:t>
      </w:r>
    </w:p>
    <w:p w14:paraId="3CC1FD2D" w14:textId="1B4C9E73" w:rsidR="00B01C19" w:rsidRPr="00C96A2F" w:rsidRDefault="00C96A2F" w:rsidP="00C96A2F">
      <w:pPr>
        <w:pStyle w:val="ListParagraph"/>
        <w:numPr>
          <w:ilvl w:val="0"/>
          <w:numId w:val="5"/>
        </w:numPr>
        <w:rPr>
          <w:lang w:val="en-GB"/>
        </w:rPr>
      </w:pPr>
      <w:r w:rsidRPr="00C96A2F">
        <w:t>at what price.</w:t>
      </w:r>
    </w:p>
    <w:p w14:paraId="5B7544CB" w14:textId="77777777" w:rsidR="00C96A2F" w:rsidRPr="00C96A2F" w:rsidRDefault="00C96A2F" w:rsidP="00C96A2F">
      <w:pPr>
        <w:rPr>
          <w:lang w:val="en-GB"/>
        </w:rPr>
      </w:pPr>
      <w:r w:rsidRPr="00C96A2F">
        <w:rPr>
          <w:b/>
          <w:bCs/>
        </w:rPr>
        <w:t>Placing agreement</w:t>
      </w:r>
    </w:p>
    <w:p w14:paraId="3CDD09C5" w14:textId="77777777" w:rsidR="00C96A2F" w:rsidRPr="00C96A2F" w:rsidRDefault="00C96A2F" w:rsidP="00C96A2F">
      <w:pPr>
        <w:rPr>
          <w:lang w:val="en-GB"/>
        </w:rPr>
      </w:pPr>
      <w:r w:rsidRPr="00C96A2F">
        <w:t xml:space="preserve">The investment bank(s) acting on the IPO will usually place the shares for the company as the investors are usually clients of the bank(s). </w:t>
      </w:r>
    </w:p>
    <w:p w14:paraId="06CCA53C" w14:textId="77777777" w:rsidR="00C96A2F" w:rsidRDefault="00C96A2F" w:rsidP="00C96A2F">
      <w:r w:rsidRPr="00C96A2F">
        <w:t>The agreement between the bank(s) and the company to place the shares will be recorded in a placing agreement. This agreement will include details of the commission to be paid to the investment bank, as well as the warranties and indemnities given to the bank by the company.</w:t>
      </w:r>
    </w:p>
    <w:p w14:paraId="3EF24438" w14:textId="77777777" w:rsidR="00C45E2D" w:rsidRPr="00C45E2D" w:rsidRDefault="00C45E2D" w:rsidP="00C45E2D">
      <w:pPr>
        <w:rPr>
          <w:lang w:val="en-GB"/>
        </w:rPr>
      </w:pPr>
      <w:r w:rsidRPr="00C45E2D">
        <w:rPr>
          <w:b/>
          <w:bCs/>
        </w:rPr>
        <w:t>Book building</w:t>
      </w:r>
    </w:p>
    <w:p w14:paraId="6F2FE6FA" w14:textId="77777777" w:rsidR="00C45E2D" w:rsidRPr="00C45E2D" w:rsidRDefault="00C45E2D" w:rsidP="00C45E2D">
      <w:pPr>
        <w:rPr>
          <w:lang w:val="en-GB"/>
        </w:rPr>
      </w:pPr>
      <w:r w:rsidRPr="00C45E2D">
        <w:t xml:space="preserve">Usually, an offer will be ‘bookbuilt’.  </w:t>
      </w:r>
    </w:p>
    <w:p w14:paraId="4D920E39" w14:textId="77777777" w:rsidR="00CD1B19" w:rsidRPr="00CD1B19" w:rsidRDefault="00C45E2D" w:rsidP="00CD1B19">
      <w:r w:rsidRPr="00C45E2D">
        <w:t xml:space="preserve">Book building is a way of determining the price and number of shares to be sold. It involves the investment bank (who can often be a ‘Joint Bookrunner’) running a book of interest in the shares from interested investors. </w:t>
      </w:r>
      <w:r w:rsidR="00CD1B19" w:rsidRPr="00CD1B19">
        <w:t>In broad terms, investors submit indications of how many shares they would be prepared to buy at a specified price (or prices) and, in light of this, the bank determines the optimum price (which is payable by all investors)​</w:t>
      </w:r>
    </w:p>
    <w:p w14:paraId="1BBD0A0C" w14:textId="3CD6D2FF" w:rsidR="00C45E2D" w:rsidRPr="00CD1B19" w:rsidRDefault="00CD1B19" w:rsidP="00C45E2D">
      <w:r w:rsidRPr="00CD1B19">
        <w:t>​</w:t>
      </w:r>
    </w:p>
    <w:p w14:paraId="7DBB2D47" w14:textId="77777777" w:rsidR="00C45E2D" w:rsidRPr="00C45E2D" w:rsidRDefault="00C45E2D" w:rsidP="00C45E2D">
      <w:pPr>
        <w:rPr>
          <w:lang w:val="en-GB"/>
        </w:rPr>
      </w:pPr>
      <w:r w:rsidRPr="00C45E2D">
        <w:rPr>
          <w:b/>
          <w:bCs/>
        </w:rPr>
        <w:t>Intermediaries offer</w:t>
      </w:r>
    </w:p>
    <w:p w14:paraId="099A7843" w14:textId="77777777" w:rsidR="00C45E2D" w:rsidRPr="00A10C7E" w:rsidRDefault="00C45E2D" w:rsidP="00C45E2D">
      <w:pPr>
        <w:rPr>
          <w:lang w:val="en-GB"/>
        </w:rPr>
      </w:pPr>
      <w:r w:rsidRPr="00A10C7E">
        <w:rPr>
          <w:lang w:val="en-GB"/>
        </w:rPr>
        <w:t xml:space="preserve">An intermediaries offer is a hybrid type of offer which takes on characteristics of both a placing and a retail offer. </w:t>
      </w:r>
    </w:p>
    <w:p w14:paraId="06044F13" w14:textId="7821453D" w:rsidR="00C45E2D" w:rsidRPr="00A10C7E" w:rsidRDefault="00C45E2D" w:rsidP="00C45E2D">
      <w:pPr>
        <w:rPr>
          <w:lang w:val="en-GB"/>
        </w:rPr>
      </w:pPr>
      <w:r w:rsidRPr="00A10C7E">
        <w:rPr>
          <w:lang w:val="en-GB"/>
        </w:rPr>
        <w:t>The shares in an intermediaries offer are marketed only to firms who are intermediaries, as defined in the FCA Handbook</w:t>
      </w:r>
      <w:r w:rsidR="009B735C">
        <w:rPr>
          <w:lang w:val="en-GB"/>
        </w:rPr>
        <w:t xml:space="preserve"> Glossary</w:t>
      </w:r>
      <w:r w:rsidRPr="00A10C7E">
        <w:rPr>
          <w:lang w:val="en-GB"/>
        </w:rPr>
        <w:t xml:space="preserve">. </w:t>
      </w:r>
    </w:p>
    <w:p w14:paraId="6E5A503C" w14:textId="77777777" w:rsidR="00C45E2D" w:rsidRPr="00A10C7E" w:rsidRDefault="00C45E2D" w:rsidP="00C45E2D">
      <w:pPr>
        <w:rPr>
          <w:lang w:val="en-GB"/>
        </w:rPr>
      </w:pPr>
      <w:r w:rsidRPr="00A10C7E">
        <w:rPr>
          <w:lang w:val="en-GB"/>
        </w:rPr>
        <w:lastRenderedPageBreak/>
        <w:t>The intermediaries allocate the shares which they are offered to their own clients (who can be retail investors) in return for a commission.  An intermediaries offer can be a way for the company to access retail investors without having to undertake a full retail offer.</w:t>
      </w:r>
    </w:p>
    <w:p w14:paraId="582CEF6A" w14:textId="37E31C88" w:rsidR="00C45E2D" w:rsidRDefault="00A22593" w:rsidP="00C96A2F">
      <w:pPr>
        <w:rPr>
          <w:lang w:val="en-GB"/>
        </w:rPr>
      </w:pPr>
      <w:r w:rsidRPr="1ED1EC89">
        <w:rPr>
          <w:b/>
          <w:bCs/>
          <w:lang w:val="en-GB"/>
        </w:rPr>
        <w:t xml:space="preserve">Circular diagram for an intermediaries offer: </w:t>
      </w:r>
      <w:r w:rsidR="000766F2" w:rsidRPr="1ED1EC89">
        <w:rPr>
          <w:lang w:val="en-GB"/>
        </w:rPr>
        <w:t>Top text bo</w:t>
      </w:r>
      <w:r w:rsidR="001A4456" w:rsidRPr="1ED1EC89">
        <w:rPr>
          <w:lang w:val="en-GB"/>
        </w:rPr>
        <w:t>x</w:t>
      </w:r>
      <w:r w:rsidR="000766F2" w:rsidRPr="1ED1EC89">
        <w:rPr>
          <w:lang w:val="en-GB"/>
        </w:rPr>
        <w:t xml:space="preserve"> reads </w:t>
      </w:r>
      <w:r w:rsidR="00854475">
        <w:rPr>
          <w:lang w:val="en-GB"/>
        </w:rPr>
        <w:t>‘</w:t>
      </w:r>
      <w:r w:rsidR="000766F2" w:rsidRPr="00BA1D5B">
        <w:rPr>
          <w:b/>
          <w:bCs/>
          <w:lang w:val="en-GB"/>
        </w:rPr>
        <w:t>Company</w:t>
      </w:r>
      <w:r w:rsidR="000766F2" w:rsidRPr="1ED1EC89">
        <w:rPr>
          <w:lang w:val="en-GB"/>
        </w:rPr>
        <w:t xml:space="preserve"> / </w:t>
      </w:r>
      <w:r w:rsidR="000766F2" w:rsidRPr="00BA1D5B">
        <w:rPr>
          <w:b/>
          <w:bCs/>
          <w:lang w:val="en-GB"/>
        </w:rPr>
        <w:t>shareholders</w:t>
      </w:r>
      <w:r w:rsidR="00854475">
        <w:rPr>
          <w:lang w:val="en-GB"/>
        </w:rPr>
        <w:t>’</w:t>
      </w:r>
      <w:r w:rsidR="000A5D32" w:rsidRPr="1ED1EC89">
        <w:rPr>
          <w:lang w:val="en-GB"/>
        </w:rPr>
        <w:t xml:space="preserve"> and there is a downwards arrow to a text box reading </w:t>
      </w:r>
      <w:r w:rsidR="00854475">
        <w:rPr>
          <w:lang w:val="en-GB"/>
        </w:rPr>
        <w:t>‘</w:t>
      </w:r>
      <w:r w:rsidR="000A5D32" w:rsidRPr="00BA1D5B">
        <w:rPr>
          <w:b/>
          <w:bCs/>
          <w:lang w:val="en-GB"/>
        </w:rPr>
        <w:t>Clients</w:t>
      </w:r>
      <w:r w:rsidR="00854475">
        <w:rPr>
          <w:lang w:val="en-GB"/>
        </w:rPr>
        <w:t>’</w:t>
      </w:r>
      <w:r w:rsidR="000A5D32" w:rsidRPr="1ED1EC89">
        <w:rPr>
          <w:lang w:val="en-GB"/>
        </w:rPr>
        <w:t xml:space="preserve">. In the middle </w:t>
      </w:r>
      <w:r w:rsidR="001A4456" w:rsidRPr="1ED1EC89">
        <w:rPr>
          <w:lang w:val="en-GB"/>
        </w:rPr>
        <w:t xml:space="preserve">of </w:t>
      </w:r>
      <w:r w:rsidR="000A5D32" w:rsidRPr="1ED1EC89">
        <w:rPr>
          <w:lang w:val="en-GB"/>
        </w:rPr>
        <w:t>this downward arrow (so between the two text boxes</w:t>
      </w:r>
      <w:r w:rsidR="002C0CA9" w:rsidRPr="1ED1EC89">
        <w:rPr>
          <w:lang w:val="en-GB"/>
        </w:rPr>
        <w:t xml:space="preserve">) is the word ‘Shares’. From the text box reading </w:t>
      </w:r>
      <w:r w:rsidR="00854475">
        <w:rPr>
          <w:lang w:val="en-GB"/>
        </w:rPr>
        <w:t>‘</w:t>
      </w:r>
      <w:r w:rsidR="002C0CA9" w:rsidRPr="00BA1D5B">
        <w:rPr>
          <w:b/>
          <w:bCs/>
          <w:lang w:val="en-GB"/>
        </w:rPr>
        <w:t>Clients</w:t>
      </w:r>
      <w:r w:rsidR="00854475">
        <w:rPr>
          <w:lang w:val="en-GB"/>
        </w:rPr>
        <w:t>’</w:t>
      </w:r>
      <w:r w:rsidR="002C0CA9" w:rsidRPr="1ED1EC89">
        <w:rPr>
          <w:lang w:val="en-GB"/>
        </w:rPr>
        <w:t xml:space="preserve"> there is an upwards arrow to a text box reading </w:t>
      </w:r>
      <w:r w:rsidR="00854475">
        <w:rPr>
          <w:lang w:val="en-GB"/>
        </w:rPr>
        <w:t>‘</w:t>
      </w:r>
      <w:r w:rsidR="002C0CA9" w:rsidRPr="00BA1D5B">
        <w:rPr>
          <w:b/>
          <w:bCs/>
          <w:lang w:val="en-GB"/>
        </w:rPr>
        <w:t>Inte</w:t>
      </w:r>
      <w:r w:rsidR="001A4456" w:rsidRPr="00BA1D5B">
        <w:rPr>
          <w:b/>
          <w:bCs/>
          <w:lang w:val="en-GB"/>
        </w:rPr>
        <w:t>rmediaries</w:t>
      </w:r>
      <w:r w:rsidR="00854475">
        <w:rPr>
          <w:lang w:val="en-GB"/>
        </w:rPr>
        <w:t>’</w:t>
      </w:r>
      <w:r w:rsidR="00663C71" w:rsidRPr="1ED1EC89">
        <w:rPr>
          <w:lang w:val="en-GB"/>
        </w:rPr>
        <w:t xml:space="preserve"> and in the middle of this arrow is the word </w:t>
      </w:r>
      <w:r w:rsidR="00854475">
        <w:rPr>
          <w:lang w:val="en-GB"/>
        </w:rPr>
        <w:t>‘</w:t>
      </w:r>
      <w:r w:rsidR="00663C71" w:rsidRPr="00BA1D5B">
        <w:rPr>
          <w:b/>
          <w:bCs/>
          <w:lang w:val="en-GB"/>
        </w:rPr>
        <w:t>Cash</w:t>
      </w:r>
      <w:r w:rsidR="00854475">
        <w:rPr>
          <w:lang w:val="en-GB"/>
        </w:rPr>
        <w:t>’</w:t>
      </w:r>
      <w:r w:rsidR="00663C71" w:rsidRPr="1ED1EC89">
        <w:rPr>
          <w:lang w:val="en-GB"/>
        </w:rPr>
        <w:t xml:space="preserve">. From the text box reading </w:t>
      </w:r>
      <w:r w:rsidR="00854475">
        <w:rPr>
          <w:lang w:val="en-GB"/>
        </w:rPr>
        <w:t>‘</w:t>
      </w:r>
      <w:r w:rsidR="00663C71" w:rsidRPr="00BA1D5B">
        <w:rPr>
          <w:b/>
          <w:bCs/>
          <w:lang w:val="en-GB"/>
        </w:rPr>
        <w:t>Intermediaries</w:t>
      </w:r>
      <w:r w:rsidR="00854475">
        <w:rPr>
          <w:lang w:val="en-GB"/>
        </w:rPr>
        <w:t>’</w:t>
      </w:r>
      <w:r w:rsidR="00274286" w:rsidRPr="1ED1EC89">
        <w:rPr>
          <w:lang w:val="en-GB"/>
        </w:rPr>
        <w:t xml:space="preserve"> there is an upwards arrow pointing back to the </w:t>
      </w:r>
      <w:r w:rsidR="00854475">
        <w:rPr>
          <w:lang w:val="en-GB"/>
        </w:rPr>
        <w:t>‘</w:t>
      </w:r>
      <w:r w:rsidR="00274286" w:rsidRPr="00BA1D5B">
        <w:rPr>
          <w:b/>
          <w:bCs/>
          <w:lang w:val="en-GB"/>
        </w:rPr>
        <w:t>Company</w:t>
      </w:r>
      <w:r w:rsidR="00274286" w:rsidRPr="1ED1EC89">
        <w:rPr>
          <w:lang w:val="en-GB"/>
        </w:rPr>
        <w:t xml:space="preserve"> / </w:t>
      </w:r>
      <w:r w:rsidR="00274286" w:rsidRPr="00BA1D5B">
        <w:rPr>
          <w:b/>
          <w:bCs/>
          <w:lang w:val="en-GB"/>
        </w:rPr>
        <w:t>shareholders</w:t>
      </w:r>
      <w:r w:rsidR="00854475">
        <w:rPr>
          <w:lang w:val="en-GB"/>
        </w:rPr>
        <w:t>’</w:t>
      </w:r>
      <w:r w:rsidR="00274286" w:rsidRPr="1ED1EC89">
        <w:rPr>
          <w:lang w:val="en-GB"/>
        </w:rPr>
        <w:t xml:space="preserve"> text box. In the middle of this arrow are the words </w:t>
      </w:r>
      <w:r w:rsidR="00854475">
        <w:rPr>
          <w:lang w:val="en-GB"/>
        </w:rPr>
        <w:t>‘</w:t>
      </w:r>
      <w:r w:rsidR="00274286" w:rsidRPr="00BA1D5B">
        <w:rPr>
          <w:b/>
          <w:bCs/>
          <w:lang w:val="en-GB"/>
        </w:rPr>
        <w:t>Applications &amp; cash</w:t>
      </w:r>
      <w:r w:rsidR="00854475">
        <w:rPr>
          <w:lang w:val="en-GB"/>
        </w:rPr>
        <w:t>’</w:t>
      </w:r>
      <w:r w:rsidR="00274286" w:rsidRPr="1ED1EC89">
        <w:rPr>
          <w:lang w:val="en-GB"/>
        </w:rPr>
        <w:t>.</w:t>
      </w:r>
      <w:r w:rsidR="3375DCBB" w:rsidRPr="1ED1EC89">
        <w:rPr>
          <w:lang w:val="en-GB"/>
        </w:rPr>
        <w:t xml:space="preserve"> </w:t>
      </w:r>
      <w:r w:rsidR="3375DCBB" w:rsidRPr="1ED1EC89">
        <w:rPr>
          <w:b/>
          <w:bCs/>
          <w:lang w:val="en-GB"/>
        </w:rPr>
        <w:t>End of diagram.</w:t>
      </w:r>
      <w:r w:rsidR="00274286" w:rsidRPr="1ED1EC89">
        <w:rPr>
          <w:lang w:val="en-GB"/>
        </w:rPr>
        <w:t xml:space="preserve"> </w:t>
      </w:r>
    </w:p>
    <w:p w14:paraId="575E108B" w14:textId="6645F62E" w:rsidR="00344541" w:rsidRPr="00344541" w:rsidRDefault="00344541" w:rsidP="00BA1D5B">
      <w:pPr>
        <w:tabs>
          <w:tab w:val="left" w:pos="7510"/>
        </w:tabs>
        <w:rPr>
          <w:lang w:val="en-GB"/>
        </w:rPr>
      </w:pPr>
      <w:r w:rsidRPr="00344541">
        <w:rPr>
          <w:b/>
          <w:bCs/>
        </w:rPr>
        <w:t>Key elements of an intermediaries offer</w:t>
      </w:r>
      <w:r w:rsidR="00A75328">
        <w:rPr>
          <w:b/>
          <w:bCs/>
        </w:rPr>
        <w:tab/>
      </w:r>
    </w:p>
    <w:p w14:paraId="0DF2AEC3" w14:textId="1ECA5E42" w:rsidR="00344541" w:rsidRPr="00BA1D5B" w:rsidRDefault="00344541" w:rsidP="00444241">
      <w:pPr>
        <w:numPr>
          <w:ilvl w:val="0"/>
          <w:numId w:val="7"/>
        </w:numPr>
        <w:rPr>
          <w:b/>
          <w:bCs/>
          <w:lang w:val="en-GB"/>
        </w:rPr>
      </w:pPr>
      <w:r w:rsidRPr="0057472C">
        <w:rPr>
          <w:lang w:val="en-GB"/>
        </w:rPr>
        <w:t xml:space="preserve">Intermediaries are fund managers and </w:t>
      </w:r>
      <w:r w:rsidRPr="00BA1D5B">
        <w:rPr>
          <w:b/>
          <w:bCs/>
          <w:lang w:val="en-GB"/>
        </w:rPr>
        <w:t>stockbrokers</w:t>
      </w:r>
      <w:r w:rsidRPr="0057472C">
        <w:rPr>
          <w:lang w:val="en-GB"/>
        </w:rPr>
        <w:t xml:space="preserve"> who buy and sell shares on </w:t>
      </w:r>
      <w:r w:rsidRPr="00BA1D5B">
        <w:rPr>
          <w:b/>
          <w:bCs/>
          <w:lang w:val="en-GB"/>
        </w:rPr>
        <w:t xml:space="preserve">behalf of their clients. </w:t>
      </w:r>
    </w:p>
    <w:p w14:paraId="322721DE" w14:textId="548EBD14" w:rsidR="00344541" w:rsidRPr="0057472C" w:rsidRDefault="00344541" w:rsidP="00444241">
      <w:pPr>
        <w:numPr>
          <w:ilvl w:val="0"/>
          <w:numId w:val="7"/>
        </w:numPr>
        <w:rPr>
          <w:lang w:val="en-GB"/>
        </w:rPr>
      </w:pPr>
      <w:r w:rsidRPr="0057472C">
        <w:rPr>
          <w:lang w:val="en-GB"/>
        </w:rPr>
        <w:t xml:space="preserve"> An ‘intermediaries offer’ is similar to a placing, in that the shares are not offered to the </w:t>
      </w:r>
      <w:r w:rsidRPr="00BA1D5B">
        <w:rPr>
          <w:b/>
          <w:bCs/>
          <w:lang w:val="en-GB"/>
        </w:rPr>
        <w:t xml:space="preserve">general </w:t>
      </w:r>
      <w:r w:rsidRPr="0057472C">
        <w:rPr>
          <w:lang w:val="en-GB"/>
        </w:rPr>
        <w:t>public. However, an intermediaries offer would be regarded as an offer to the public under s.85(1) FSMA and would tend to be made by way of a price range prospectus.</w:t>
      </w:r>
    </w:p>
    <w:p w14:paraId="224B0FE0" w14:textId="02F87D77" w:rsidR="00344541" w:rsidRPr="0057472C" w:rsidRDefault="00344541" w:rsidP="00444241">
      <w:pPr>
        <w:numPr>
          <w:ilvl w:val="0"/>
          <w:numId w:val="7"/>
        </w:numPr>
        <w:rPr>
          <w:lang w:val="en-GB"/>
        </w:rPr>
      </w:pPr>
      <w:r w:rsidRPr="0057472C">
        <w:rPr>
          <w:lang w:val="en-GB"/>
        </w:rPr>
        <w:t>The intermediaries apply for the shares on behalf of their clients. These clients can be private investors.</w:t>
      </w:r>
    </w:p>
    <w:p w14:paraId="34ACD021" w14:textId="11F1DF80" w:rsidR="00344541" w:rsidRDefault="00344541" w:rsidP="00444241">
      <w:pPr>
        <w:numPr>
          <w:ilvl w:val="0"/>
          <w:numId w:val="7"/>
        </w:numPr>
        <w:rPr>
          <w:lang w:val="en-GB"/>
        </w:rPr>
      </w:pPr>
      <w:r w:rsidRPr="0057472C">
        <w:rPr>
          <w:lang w:val="en-GB"/>
        </w:rPr>
        <w:t xml:space="preserve">The company and selling shareholders do not have to offer the shares directly to the investors. The intermediary acts as an </w:t>
      </w:r>
      <w:r w:rsidRPr="00BA1D5B">
        <w:rPr>
          <w:b/>
          <w:bCs/>
          <w:lang w:val="en-GB"/>
        </w:rPr>
        <w:t>agent</w:t>
      </w:r>
      <w:r w:rsidRPr="0057472C">
        <w:rPr>
          <w:lang w:val="en-GB"/>
        </w:rPr>
        <w:t>.</w:t>
      </w:r>
    </w:p>
    <w:p w14:paraId="64B94DF7" w14:textId="4AEDB329" w:rsidR="00344541" w:rsidRPr="00F937FF" w:rsidRDefault="00344541" w:rsidP="00F937FF">
      <w:pPr>
        <w:numPr>
          <w:ilvl w:val="0"/>
          <w:numId w:val="7"/>
        </w:numPr>
        <w:rPr>
          <w:lang w:val="en-GB"/>
        </w:rPr>
      </w:pPr>
      <w:r w:rsidRPr="00F937FF">
        <w:rPr>
          <w:lang w:val="en-GB"/>
        </w:rPr>
        <w:t xml:space="preserve">It involves considerable administration, an intermediaries offer is fairly rare and generally only suitable on large IPOs but it can be an alternative as it often involves lower marketing costs. </w:t>
      </w:r>
    </w:p>
    <w:p w14:paraId="33F0DD9D" w14:textId="77777777" w:rsidR="00344541" w:rsidRPr="0057472C" w:rsidRDefault="00344541" w:rsidP="00344541">
      <w:pPr>
        <w:rPr>
          <w:lang w:val="en-GB"/>
        </w:rPr>
      </w:pPr>
      <w:r w:rsidRPr="0057472C">
        <w:rPr>
          <w:lang w:val="en-GB"/>
        </w:rPr>
        <w:t>An intermediaries offer will generally be combined with another method or methods of offer.</w:t>
      </w:r>
    </w:p>
    <w:p w14:paraId="276393AF" w14:textId="77777777" w:rsidR="003B5C5D" w:rsidRPr="003B5C5D" w:rsidRDefault="003B5C5D" w:rsidP="003B5C5D">
      <w:pPr>
        <w:rPr>
          <w:lang w:val="en-GB"/>
        </w:rPr>
      </w:pPr>
      <w:r w:rsidRPr="003B5C5D">
        <w:rPr>
          <w:b/>
          <w:bCs/>
        </w:rPr>
        <w:t>Combined offerings</w:t>
      </w:r>
    </w:p>
    <w:p w14:paraId="73C6E67F" w14:textId="77777777" w:rsidR="003B5C5D" w:rsidRPr="003B5C5D" w:rsidRDefault="003B5C5D" w:rsidP="003B5C5D">
      <w:pPr>
        <w:rPr>
          <w:lang w:val="en-GB"/>
        </w:rPr>
      </w:pPr>
      <w:r w:rsidRPr="003B5C5D">
        <w:rPr>
          <w:lang w:val="en-GB"/>
        </w:rPr>
        <w:t xml:space="preserve">The various methods of making a primary offer are not mutually exclusive. A retail offer may combine both an offer of new shares by the company and an offer of existing shares by company shareholders.  </w:t>
      </w:r>
    </w:p>
    <w:p w14:paraId="3085899A" w14:textId="77777777" w:rsidR="003B5C5D" w:rsidRPr="003B5C5D" w:rsidRDefault="003B5C5D" w:rsidP="003B5C5D">
      <w:pPr>
        <w:rPr>
          <w:lang w:val="en-GB"/>
        </w:rPr>
      </w:pPr>
      <w:r w:rsidRPr="003B5C5D">
        <w:rPr>
          <w:lang w:val="en-GB"/>
        </w:rPr>
        <w:t>If a retail offer is made then it can be expected that an institutional offer will be made alongside it. It is, however, also important to understand the key differences between retail and institutional offers.</w:t>
      </w:r>
    </w:p>
    <w:p w14:paraId="00D56411" w14:textId="77777777" w:rsidR="003B5C5D" w:rsidRPr="003B5C5D" w:rsidRDefault="003B5C5D" w:rsidP="003B5C5D">
      <w:pPr>
        <w:rPr>
          <w:lang w:val="en-GB"/>
        </w:rPr>
      </w:pPr>
      <w:r w:rsidRPr="003B5C5D">
        <w:rPr>
          <w:b/>
          <w:bCs/>
        </w:rPr>
        <w:t>Introduction/Direct listing</w:t>
      </w:r>
    </w:p>
    <w:p w14:paraId="4C11CBAF" w14:textId="77777777" w:rsidR="00EC5A3B" w:rsidRPr="00EC5A3B" w:rsidRDefault="00EC5A3B" w:rsidP="00EC5A3B">
      <w:pPr>
        <w:rPr>
          <w:lang w:val="en-GB"/>
        </w:rPr>
      </w:pPr>
      <w:r w:rsidRPr="00EC5A3B">
        <w:rPr>
          <w:lang w:val="en-GB"/>
        </w:rPr>
        <w:t xml:space="preserve">An alternative method of bringing shares to listing for the first time is an </w:t>
      </w:r>
      <w:r w:rsidRPr="00EC5A3B">
        <w:rPr>
          <w:b/>
          <w:bCs/>
          <w:lang w:val="en-GB"/>
        </w:rPr>
        <w:t>introduction</w:t>
      </w:r>
      <w:r w:rsidRPr="00EC5A3B">
        <w:rPr>
          <w:lang w:val="en-GB"/>
        </w:rPr>
        <w:t xml:space="preserve">. </w:t>
      </w:r>
    </w:p>
    <w:p w14:paraId="61BFDAA7" w14:textId="77777777" w:rsidR="00EC5A3B" w:rsidRPr="00EC5A3B" w:rsidRDefault="00EC5A3B" w:rsidP="00EC5A3B">
      <w:pPr>
        <w:rPr>
          <w:lang w:val="en-GB"/>
        </w:rPr>
      </w:pPr>
      <w:r w:rsidRPr="00EC5A3B">
        <w:rPr>
          <w:lang w:val="en-GB"/>
        </w:rPr>
        <w:t xml:space="preserve">An introduction does not raise any capital for the issuer. It is, instead, a way of obtaining a listing without issuing any new shares or shareholders selling existing ones. </w:t>
      </w:r>
    </w:p>
    <w:p w14:paraId="18342FF5" w14:textId="77777777" w:rsidR="00EC5A3B" w:rsidRPr="00EC5A3B" w:rsidRDefault="00EC5A3B" w:rsidP="00EC5A3B">
      <w:pPr>
        <w:rPr>
          <w:lang w:val="en-GB"/>
        </w:rPr>
      </w:pPr>
      <w:r w:rsidRPr="00EC5A3B">
        <w:rPr>
          <w:lang w:val="en-GB"/>
        </w:rPr>
        <w:t xml:space="preserve">In other words: it only involves an admission to a regulated market and there is no offer to the public. </w:t>
      </w:r>
    </w:p>
    <w:p w14:paraId="25208413" w14:textId="77777777" w:rsidR="00EC5A3B" w:rsidRPr="00EC5A3B" w:rsidRDefault="00EC5A3B" w:rsidP="00EC5A3B">
      <w:pPr>
        <w:rPr>
          <w:lang w:val="en-GB"/>
        </w:rPr>
      </w:pPr>
      <w:r w:rsidRPr="00EC5A3B">
        <w:rPr>
          <w:lang w:val="en-GB"/>
        </w:rPr>
        <w:t xml:space="preserve">In the US, the term </w:t>
      </w:r>
      <w:r w:rsidRPr="00EC5A3B">
        <w:rPr>
          <w:b/>
          <w:bCs/>
          <w:lang w:val="en-GB"/>
        </w:rPr>
        <w:t xml:space="preserve">‘direct listing’ </w:t>
      </w:r>
      <w:r w:rsidRPr="00EC5A3B">
        <w:rPr>
          <w:lang w:val="en-GB"/>
        </w:rPr>
        <w:t xml:space="preserve">is used to describe the process where a company’s shares are admitted to trading without any organised offer by the company and/or selling shareholders (although </w:t>
      </w:r>
      <w:r w:rsidRPr="00EC5A3B">
        <w:rPr>
          <w:lang w:val="en-GB"/>
        </w:rPr>
        <w:lastRenderedPageBreak/>
        <w:t>existing shareholders may choose to sell shares to investors in post-admission trading), and this concept has recently been imported to the UK.</w:t>
      </w:r>
    </w:p>
    <w:p w14:paraId="6B779DF9" w14:textId="1BFF043D" w:rsidR="00EC5A3B" w:rsidRPr="00EC5A3B" w:rsidRDefault="00EC5A3B" w:rsidP="00EC5A3B">
      <w:pPr>
        <w:rPr>
          <w:lang w:val="en-GB"/>
        </w:rPr>
      </w:pPr>
      <w:r w:rsidRPr="00EC5A3B">
        <w:rPr>
          <w:lang w:val="en-GB"/>
        </w:rPr>
        <w:t xml:space="preserve">The company may already have its shares quoted on AIM or on an overseas exchange, but wants to now move to the </w:t>
      </w:r>
      <w:r w:rsidR="001A49EB">
        <w:rPr>
          <w:lang w:val="en-GB"/>
        </w:rPr>
        <w:t>Main Market of the London Stock Exchange.</w:t>
      </w:r>
      <w:r w:rsidRPr="00EC5A3B">
        <w:rPr>
          <w:lang w:val="en-GB"/>
        </w:rPr>
        <w:t xml:space="preserve">  </w:t>
      </w:r>
    </w:p>
    <w:p w14:paraId="66F447D3" w14:textId="77777777" w:rsidR="00EC5A3B" w:rsidRPr="00EC5A3B" w:rsidRDefault="00EC5A3B" w:rsidP="00EC5A3B">
      <w:pPr>
        <w:rPr>
          <w:lang w:val="en-GB"/>
        </w:rPr>
      </w:pPr>
      <w:r w:rsidRPr="00EC5A3B">
        <w:rPr>
          <w:lang w:val="en-GB"/>
        </w:rPr>
        <w:t xml:space="preserve">An introduction would be possible provided the company’s existing shareholder base satisfies the listing requirement of no less than 10% of the shares being in public hands at the time of listing. </w:t>
      </w:r>
    </w:p>
    <w:p w14:paraId="3F71A8D7" w14:textId="77777777" w:rsidR="00305CE6" w:rsidRDefault="00305CE6" w:rsidP="00344541">
      <w:pPr>
        <w:rPr>
          <w:b/>
          <w:bCs/>
          <w:lang w:val="en-GB"/>
        </w:rPr>
      </w:pPr>
    </w:p>
    <w:p w14:paraId="1C381CF0" w14:textId="1BB665F2" w:rsidR="003B5C5D" w:rsidRDefault="00EC5A3B" w:rsidP="00344541">
      <w:pPr>
        <w:rPr>
          <w:b/>
          <w:bCs/>
          <w:lang w:val="en-GB"/>
        </w:rPr>
      </w:pPr>
      <w:r>
        <w:rPr>
          <w:b/>
          <w:bCs/>
          <w:lang w:val="en-GB"/>
        </w:rPr>
        <w:t>Summary</w:t>
      </w:r>
    </w:p>
    <w:p w14:paraId="3BD5A841" w14:textId="77777777" w:rsidR="00EC5A3B" w:rsidRPr="00EC5A3B" w:rsidRDefault="00EC5A3B" w:rsidP="00EC5A3B">
      <w:pPr>
        <w:numPr>
          <w:ilvl w:val="0"/>
          <w:numId w:val="8"/>
        </w:numPr>
        <w:rPr>
          <w:lang w:val="en-GB"/>
        </w:rPr>
      </w:pPr>
      <w:r w:rsidRPr="00EC5A3B">
        <w:rPr>
          <w:lang w:val="en-GB"/>
        </w:rPr>
        <w:t>A key distinction in the structuring of a primary share issue is between offers which involve the offering of shares to retail investors and offers which are made only to institutional investors.</w:t>
      </w:r>
    </w:p>
    <w:p w14:paraId="0EA49929" w14:textId="77777777" w:rsidR="00EC5A3B" w:rsidRPr="00EC5A3B" w:rsidRDefault="00EC5A3B" w:rsidP="00EC5A3B">
      <w:pPr>
        <w:numPr>
          <w:ilvl w:val="0"/>
          <w:numId w:val="8"/>
        </w:numPr>
        <w:rPr>
          <w:lang w:val="en-GB"/>
        </w:rPr>
      </w:pPr>
      <w:r w:rsidRPr="00EC5A3B">
        <w:rPr>
          <w:lang w:val="en-GB"/>
        </w:rPr>
        <w:t>An offering of shares could entail the issue of new shares by the company, the sale of existing shares by existing shareholders or a combination of both.</w:t>
      </w:r>
    </w:p>
    <w:p w14:paraId="5B9481AD" w14:textId="77777777" w:rsidR="00EC5A3B" w:rsidRPr="00EC5A3B" w:rsidRDefault="00EC5A3B" w:rsidP="00EC5A3B">
      <w:pPr>
        <w:numPr>
          <w:ilvl w:val="0"/>
          <w:numId w:val="8"/>
        </w:numPr>
        <w:rPr>
          <w:lang w:val="en-GB"/>
        </w:rPr>
      </w:pPr>
      <w:r w:rsidRPr="00EC5A3B">
        <w:rPr>
          <w:lang w:val="en-GB"/>
        </w:rPr>
        <w:t>An intermediaries offer is a hybrid between a retail and an institutional offer.</w:t>
      </w:r>
    </w:p>
    <w:p w14:paraId="6B3FA422" w14:textId="77777777" w:rsidR="00EC5A3B" w:rsidRPr="00EC5A3B" w:rsidRDefault="00EC5A3B" w:rsidP="00EC5A3B">
      <w:pPr>
        <w:numPr>
          <w:ilvl w:val="0"/>
          <w:numId w:val="8"/>
        </w:numPr>
        <w:rPr>
          <w:lang w:val="en-GB"/>
        </w:rPr>
      </w:pPr>
      <w:r w:rsidRPr="00EC5A3B">
        <w:rPr>
          <w:lang w:val="en-GB"/>
        </w:rPr>
        <w:t>An introduction occurs where a company seeks admission to the Official List and the Main Market but no shares are issued or sold.</w:t>
      </w:r>
    </w:p>
    <w:p w14:paraId="1B9C01E1" w14:textId="77777777" w:rsidR="00EC5A3B" w:rsidRPr="00344541" w:rsidRDefault="00EC5A3B" w:rsidP="00344541">
      <w:pPr>
        <w:rPr>
          <w:lang w:val="en-GB"/>
        </w:rPr>
      </w:pPr>
    </w:p>
    <w:p w14:paraId="618E86E0" w14:textId="77777777" w:rsidR="00344541" w:rsidRPr="00C96A2F" w:rsidRDefault="00344541" w:rsidP="00C96A2F">
      <w:pPr>
        <w:rPr>
          <w:lang w:val="en-GB"/>
        </w:rPr>
      </w:pPr>
    </w:p>
    <w:p w14:paraId="00100497" w14:textId="77777777" w:rsidR="00C96A2F" w:rsidRPr="00C96A2F" w:rsidRDefault="00C96A2F" w:rsidP="00C96A2F">
      <w:pPr>
        <w:rPr>
          <w:lang w:val="en-GB"/>
        </w:rPr>
      </w:pPr>
    </w:p>
    <w:p w14:paraId="2DEF5B1B" w14:textId="77777777" w:rsidR="00C22DA4" w:rsidRDefault="00C22DA4" w:rsidP="00083DCF">
      <w:pPr>
        <w:rPr>
          <w:lang w:val="en-GB"/>
        </w:rPr>
      </w:pPr>
    </w:p>
    <w:p w14:paraId="1735A0A8" w14:textId="77777777" w:rsidR="00083DCF" w:rsidRPr="005D6E6D" w:rsidRDefault="00083DCF" w:rsidP="005D6E6D">
      <w:pPr>
        <w:rPr>
          <w:lang w:val="en-GB"/>
        </w:rPr>
      </w:pPr>
    </w:p>
    <w:p w14:paraId="10237980" w14:textId="77777777" w:rsidR="005D6E6D" w:rsidRPr="00CD18B1" w:rsidRDefault="005D6E6D" w:rsidP="00CD18B1">
      <w:pPr>
        <w:rPr>
          <w:lang w:val="en-GB"/>
        </w:rPr>
      </w:pPr>
    </w:p>
    <w:p w14:paraId="5EAEC5C0" w14:textId="77777777" w:rsidR="00CD18B1" w:rsidRPr="00B510A7" w:rsidRDefault="00CD18B1" w:rsidP="00B510A7">
      <w:pPr>
        <w:rPr>
          <w:lang w:val="en-GB"/>
        </w:rPr>
      </w:pPr>
    </w:p>
    <w:p w14:paraId="5FD7F38A" w14:textId="77777777" w:rsidR="007C5C2B" w:rsidRPr="007C5C2B" w:rsidRDefault="007C5C2B" w:rsidP="007C5C2B">
      <w:pPr>
        <w:rPr>
          <w:lang w:val="en-GB"/>
        </w:rPr>
      </w:pPr>
    </w:p>
    <w:p w14:paraId="3ACC5D0B" w14:textId="77777777" w:rsidR="00467BFF" w:rsidRPr="00467BFF" w:rsidRDefault="00467BFF" w:rsidP="00467BFF">
      <w:pPr>
        <w:rPr>
          <w:lang w:val="en-GB"/>
        </w:rPr>
      </w:pPr>
    </w:p>
    <w:p w14:paraId="2C078E63" w14:textId="77777777" w:rsidR="0024661D" w:rsidRDefault="0024661D"/>
    <w:sectPr w:rsidR="00246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667FA"/>
    <w:multiLevelType w:val="hybridMultilevel"/>
    <w:tmpl w:val="7A06B936"/>
    <w:lvl w:ilvl="0" w:tplc="D5E2DC72">
      <w:start w:val="1"/>
      <w:numFmt w:val="bullet"/>
      <w:lvlText w:val="•"/>
      <w:lvlJc w:val="left"/>
      <w:pPr>
        <w:tabs>
          <w:tab w:val="num" w:pos="720"/>
        </w:tabs>
        <w:ind w:left="720" w:hanging="360"/>
      </w:pPr>
      <w:rPr>
        <w:rFonts w:ascii="Arial" w:hAnsi="Arial" w:hint="default"/>
      </w:rPr>
    </w:lvl>
    <w:lvl w:ilvl="1" w:tplc="C326FDB2" w:tentative="1">
      <w:start w:val="1"/>
      <w:numFmt w:val="bullet"/>
      <w:lvlText w:val="•"/>
      <w:lvlJc w:val="left"/>
      <w:pPr>
        <w:tabs>
          <w:tab w:val="num" w:pos="1440"/>
        </w:tabs>
        <w:ind w:left="1440" w:hanging="360"/>
      </w:pPr>
      <w:rPr>
        <w:rFonts w:ascii="Arial" w:hAnsi="Arial" w:hint="default"/>
      </w:rPr>
    </w:lvl>
    <w:lvl w:ilvl="2" w:tplc="64245790" w:tentative="1">
      <w:start w:val="1"/>
      <w:numFmt w:val="bullet"/>
      <w:lvlText w:val="•"/>
      <w:lvlJc w:val="left"/>
      <w:pPr>
        <w:tabs>
          <w:tab w:val="num" w:pos="2160"/>
        </w:tabs>
        <w:ind w:left="2160" w:hanging="360"/>
      </w:pPr>
      <w:rPr>
        <w:rFonts w:ascii="Arial" w:hAnsi="Arial" w:hint="default"/>
      </w:rPr>
    </w:lvl>
    <w:lvl w:ilvl="3" w:tplc="B8146BB6" w:tentative="1">
      <w:start w:val="1"/>
      <w:numFmt w:val="bullet"/>
      <w:lvlText w:val="•"/>
      <w:lvlJc w:val="left"/>
      <w:pPr>
        <w:tabs>
          <w:tab w:val="num" w:pos="2880"/>
        </w:tabs>
        <w:ind w:left="2880" w:hanging="360"/>
      </w:pPr>
      <w:rPr>
        <w:rFonts w:ascii="Arial" w:hAnsi="Arial" w:hint="default"/>
      </w:rPr>
    </w:lvl>
    <w:lvl w:ilvl="4" w:tplc="9D1E1EBC" w:tentative="1">
      <w:start w:val="1"/>
      <w:numFmt w:val="bullet"/>
      <w:lvlText w:val="•"/>
      <w:lvlJc w:val="left"/>
      <w:pPr>
        <w:tabs>
          <w:tab w:val="num" w:pos="3600"/>
        </w:tabs>
        <w:ind w:left="3600" w:hanging="360"/>
      </w:pPr>
      <w:rPr>
        <w:rFonts w:ascii="Arial" w:hAnsi="Arial" w:hint="default"/>
      </w:rPr>
    </w:lvl>
    <w:lvl w:ilvl="5" w:tplc="71EABFE2" w:tentative="1">
      <w:start w:val="1"/>
      <w:numFmt w:val="bullet"/>
      <w:lvlText w:val="•"/>
      <w:lvlJc w:val="left"/>
      <w:pPr>
        <w:tabs>
          <w:tab w:val="num" w:pos="4320"/>
        </w:tabs>
        <w:ind w:left="4320" w:hanging="360"/>
      </w:pPr>
      <w:rPr>
        <w:rFonts w:ascii="Arial" w:hAnsi="Arial" w:hint="default"/>
      </w:rPr>
    </w:lvl>
    <w:lvl w:ilvl="6" w:tplc="BA467EF6" w:tentative="1">
      <w:start w:val="1"/>
      <w:numFmt w:val="bullet"/>
      <w:lvlText w:val="•"/>
      <w:lvlJc w:val="left"/>
      <w:pPr>
        <w:tabs>
          <w:tab w:val="num" w:pos="5040"/>
        </w:tabs>
        <w:ind w:left="5040" w:hanging="360"/>
      </w:pPr>
      <w:rPr>
        <w:rFonts w:ascii="Arial" w:hAnsi="Arial" w:hint="default"/>
      </w:rPr>
    </w:lvl>
    <w:lvl w:ilvl="7" w:tplc="283019C4" w:tentative="1">
      <w:start w:val="1"/>
      <w:numFmt w:val="bullet"/>
      <w:lvlText w:val="•"/>
      <w:lvlJc w:val="left"/>
      <w:pPr>
        <w:tabs>
          <w:tab w:val="num" w:pos="5760"/>
        </w:tabs>
        <w:ind w:left="5760" w:hanging="360"/>
      </w:pPr>
      <w:rPr>
        <w:rFonts w:ascii="Arial" w:hAnsi="Arial" w:hint="default"/>
      </w:rPr>
    </w:lvl>
    <w:lvl w:ilvl="8" w:tplc="DCDC9E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373C81"/>
    <w:multiLevelType w:val="hybridMultilevel"/>
    <w:tmpl w:val="AE709FDC"/>
    <w:lvl w:ilvl="0" w:tplc="0C58CF36">
      <w:start w:val="1"/>
      <w:numFmt w:val="bullet"/>
      <w:lvlText w:val="•"/>
      <w:lvlJc w:val="left"/>
      <w:pPr>
        <w:tabs>
          <w:tab w:val="num" w:pos="720"/>
        </w:tabs>
        <w:ind w:left="720" w:hanging="360"/>
      </w:pPr>
      <w:rPr>
        <w:rFonts w:ascii="Arial" w:hAnsi="Arial" w:hint="default"/>
      </w:rPr>
    </w:lvl>
    <w:lvl w:ilvl="1" w:tplc="0984928E" w:tentative="1">
      <w:start w:val="1"/>
      <w:numFmt w:val="bullet"/>
      <w:lvlText w:val="•"/>
      <w:lvlJc w:val="left"/>
      <w:pPr>
        <w:tabs>
          <w:tab w:val="num" w:pos="1440"/>
        </w:tabs>
        <w:ind w:left="1440" w:hanging="360"/>
      </w:pPr>
      <w:rPr>
        <w:rFonts w:ascii="Arial" w:hAnsi="Arial" w:hint="default"/>
      </w:rPr>
    </w:lvl>
    <w:lvl w:ilvl="2" w:tplc="F2CE8CD8" w:tentative="1">
      <w:start w:val="1"/>
      <w:numFmt w:val="bullet"/>
      <w:lvlText w:val="•"/>
      <w:lvlJc w:val="left"/>
      <w:pPr>
        <w:tabs>
          <w:tab w:val="num" w:pos="2160"/>
        </w:tabs>
        <w:ind w:left="2160" w:hanging="360"/>
      </w:pPr>
      <w:rPr>
        <w:rFonts w:ascii="Arial" w:hAnsi="Arial" w:hint="default"/>
      </w:rPr>
    </w:lvl>
    <w:lvl w:ilvl="3" w:tplc="ADD8D784" w:tentative="1">
      <w:start w:val="1"/>
      <w:numFmt w:val="bullet"/>
      <w:lvlText w:val="•"/>
      <w:lvlJc w:val="left"/>
      <w:pPr>
        <w:tabs>
          <w:tab w:val="num" w:pos="2880"/>
        </w:tabs>
        <w:ind w:left="2880" w:hanging="360"/>
      </w:pPr>
      <w:rPr>
        <w:rFonts w:ascii="Arial" w:hAnsi="Arial" w:hint="default"/>
      </w:rPr>
    </w:lvl>
    <w:lvl w:ilvl="4" w:tplc="78D03BBC" w:tentative="1">
      <w:start w:val="1"/>
      <w:numFmt w:val="bullet"/>
      <w:lvlText w:val="•"/>
      <w:lvlJc w:val="left"/>
      <w:pPr>
        <w:tabs>
          <w:tab w:val="num" w:pos="3600"/>
        </w:tabs>
        <w:ind w:left="3600" w:hanging="360"/>
      </w:pPr>
      <w:rPr>
        <w:rFonts w:ascii="Arial" w:hAnsi="Arial" w:hint="default"/>
      </w:rPr>
    </w:lvl>
    <w:lvl w:ilvl="5" w:tplc="EC6A48A8" w:tentative="1">
      <w:start w:val="1"/>
      <w:numFmt w:val="bullet"/>
      <w:lvlText w:val="•"/>
      <w:lvlJc w:val="left"/>
      <w:pPr>
        <w:tabs>
          <w:tab w:val="num" w:pos="4320"/>
        </w:tabs>
        <w:ind w:left="4320" w:hanging="360"/>
      </w:pPr>
      <w:rPr>
        <w:rFonts w:ascii="Arial" w:hAnsi="Arial" w:hint="default"/>
      </w:rPr>
    </w:lvl>
    <w:lvl w:ilvl="6" w:tplc="A8B4853C" w:tentative="1">
      <w:start w:val="1"/>
      <w:numFmt w:val="bullet"/>
      <w:lvlText w:val="•"/>
      <w:lvlJc w:val="left"/>
      <w:pPr>
        <w:tabs>
          <w:tab w:val="num" w:pos="5040"/>
        </w:tabs>
        <w:ind w:left="5040" w:hanging="360"/>
      </w:pPr>
      <w:rPr>
        <w:rFonts w:ascii="Arial" w:hAnsi="Arial" w:hint="default"/>
      </w:rPr>
    </w:lvl>
    <w:lvl w:ilvl="7" w:tplc="F5CA0806" w:tentative="1">
      <w:start w:val="1"/>
      <w:numFmt w:val="bullet"/>
      <w:lvlText w:val="•"/>
      <w:lvlJc w:val="left"/>
      <w:pPr>
        <w:tabs>
          <w:tab w:val="num" w:pos="5760"/>
        </w:tabs>
        <w:ind w:left="5760" w:hanging="360"/>
      </w:pPr>
      <w:rPr>
        <w:rFonts w:ascii="Arial" w:hAnsi="Arial" w:hint="default"/>
      </w:rPr>
    </w:lvl>
    <w:lvl w:ilvl="8" w:tplc="0B4EFE8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CD2E16"/>
    <w:multiLevelType w:val="hybridMultilevel"/>
    <w:tmpl w:val="A0BE0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FA440E"/>
    <w:multiLevelType w:val="hybridMultilevel"/>
    <w:tmpl w:val="094C1C98"/>
    <w:lvl w:ilvl="0" w:tplc="40CAF32C">
      <w:start w:val="1"/>
      <w:numFmt w:val="decimal"/>
      <w:lvlText w:val="%1."/>
      <w:lvlJc w:val="left"/>
      <w:pPr>
        <w:tabs>
          <w:tab w:val="num" w:pos="720"/>
        </w:tabs>
        <w:ind w:left="720" w:hanging="360"/>
      </w:pPr>
    </w:lvl>
    <w:lvl w:ilvl="1" w:tplc="7C462AB2" w:tentative="1">
      <w:start w:val="1"/>
      <w:numFmt w:val="decimal"/>
      <w:lvlText w:val="%2."/>
      <w:lvlJc w:val="left"/>
      <w:pPr>
        <w:tabs>
          <w:tab w:val="num" w:pos="1440"/>
        </w:tabs>
        <w:ind w:left="1440" w:hanging="360"/>
      </w:pPr>
    </w:lvl>
    <w:lvl w:ilvl="2" w:tplc="68644FE0" w:tentative="1">
      <w:start w:val="1"/>
      <w:numFmt w:val="decimal"/>
      <w:lvlText w:val="%3."/>
      <w:lvlJc w:val="left"/>
      <w:pPr>
        <w:tabs>
          <w:tab w:val="num" w:pos="2160"/>
        </w:tabs>
        <w:ind w:left="2160" w:hanging="360"/>
      </w:pPr>
    </w:lvl>
    <w:lvl w:ilvl="3" w:tplc="A884820C" w:tentative="1">
      <w:start w:val="1"/>
      <w:numFmt w:val="decimal"/>
      <w:lvlText w:val="%4."/>
      <w:lvlJc w:val="left"/>
      <w:pPr>
        <w:tabs>
          <w:tab w:val="num" w:pos="2880"/>
        </w:tabs>
        <w:ind w:left="2880" w:hanging="360"/>
      </w:pPr>
    </w:lvl>
    <w:lvl w:ilvl="4" w:tplc="A87C190C" w:tentative="1">
      <w:start w:val="1"/>
      <w:numFmt w:val="decimal"/>
      <w:lvlText w:val="%5."/>
      <w:lvlJc w:val="left"/>
      <w:pPr>
        <w:tabs>
          <w:tab w:val="num" w:pos="3600"/>
        </w:tabs>
        <w:ind w:left="3600" w:hanging="360"/>
      </w:pPr>
    </w:lvl>
    <w:lvl w:ilvl="5" w:tplc="30A451F2" w:tentative="1">
      <w:start w:val="1"/>
      <w:numFmt w:val="decimal"/>
      <w:lvlText w:val="%6."/>
      <w:lvlJc w:val="left"/>
      <w:pPr>
        <w:tabs>
          <w:tab w:val="num" w:pos="4320"/>
        </w:tabs>
        <w:ind w:left="4320" w:hanging="360"/>
      </w:pPr>
    </w:lvl>
    <w:lvl w:ilvl="6" w:tplc="11E8373A" w:tentative="1">
      <w:start w:val="1"/>
      <w:numFmt w:val="decimal"/>
      <w:lvlText w:val="%7."/>
      <w:lvlJc w:val="left"/>
      <w:pPr>
        <w:tabs>
          <w:tab w:val="num" w:pos="5040"/>
        </w:tabs>
        <w:ind w:left="5040" w:hanging="360"/>
      </w:pPr>
    </w:lvl>
    <w:lvl w:ilvl="7" w:tplc="155A71F2" w:tentative="1">
      <w:start w:val="1"/>
      <w:numFmt w:val="decimal"/>
      <w:lvlText w:val="%8."/>
      <w:lvlJc w:val="left"/>
      <w:pPr>
        <w:tabs>
          <w:tab w:val="num" w:pos="5760"/>
        </w:tabs>
        <w:ind w:left="5760" w:hanging="360"/>
      </w:pPr>
    </w:lvl>
    <w:lvl w:ilvl="8" w:tplc="C57A8988" w:tentative="1">
      <w:start w:val="1"/>
      <w:numFmt w:val="decimal"/>
      <w:lvlText w:val="%9."/>
      <w:lvlJc w:val="left"/>
      <w:pPr>
        <w:tabs>
          <w:tab w:val="num" w:pos="6480"/>
        </w:tabs>
        <w:ind w:left="6480" w:hanging="360"/>
      </w:pPr>
    </w:lvl>
  </w:abstractNum>
  <w:abstractNum w:abstractNumId="4" w15:restartNumberingAfterBreak="0">
    <w:nsid w:val="3CC21BBC"/>
    <w:multiLevelType w:val="hybridMultilevel"/>
    <w:tmpl w:val="65669398"/>
    <w:lvl w:ilvl="0" w:tplc="C270DAC4">
      <w:start w:val="1"/>
      <w:numFmt w:val="bullet"/>
      <w:lvlText w:val="•"/>
      <w:lvlJc w:val="left"/>
      <w:pPr>
        <w:tabs>
          <w:tab w:val="num" w:pos="720"/>
        </w:tabs>
        <w:ind w:left="720" w:hanging="360"/>
      </w:pPr>
      <w:rPr>
        <w:rFonts w:ascii="Arial" w:hAnsi="Arial" w:hint="default"/>
      </w:rPr>
    </w:lvl>
    <w:lvl w:ilvl="1" w:tplc="24C29A32" w:tentative="1">
      <w:start w:val="1"/>
      <w:numFmt w:val="bullet"/>
      <w:lvlText w:val="•"/>
      <w:lvlJc w:val="left"/>
      <w:pPr>
        <w:tabs>
          <w:tab w:val="num" w:pos="1440"/>
        </w:tabs>
        <w:ind w:left="1440" w:hanging="360"/>
      </w:pPr>
      <w:rPr>
        <w:rFonts w:ascii="Arial" w:hAnsi="Arial" w:hint="default"/>
      </w:rPr>
    </w:lvl>
    <w:lvl w:ilvl="2" w:tplc="190E92A4" w:tentative="1">
      <w:start w:val="1"/>
      <w:numFmt w:val="bullet"/>
      <w:lvlText w:val="•"/>
      <w:lvlJc w:val="left"/>
      <w:pPr>
        <w:tabs>
          <w:tab w:val="num" w:pos="2160"/>
        </w:tabs>
        <w:ind w:left="2160" w:hanging="360"/>
      </w:pPr>
      <w:rPr>
        <w:rFonts w:ascii="Arial" w:hAnsi="Arial" w:hint="default"/>
      </w:rPr>
    </w:lvl>
    <w:lvl w:ilvl="3" w:tplc="050E6BAC" w:tentative="1">
      <w:start w:val="1"/>
      <w:numFmt w:val="bullet"/>
      <w:lvlText w:val="•"/>
      <w:lvlJc w:val="left"/>
      <w:pPr>
        <w:tabs>
          <w:tab w:val="num" w:pos="2880"/>
        </w:tabs>
        <w:ind w:left="2880" w:hanging="360"/>
      </w:pPr>
      <w:rPr>
        <w:rFonts w:ascii="Arial" w:hAnsi="Arial" w:hint="default"/>
      </w:rPr>
    </w:lvl>
    <w:lvl w:ilvl="4" w:tplc="01E618CA" w:tentative="1">
      <w:start w:val="1"/>
      <w:numFmt w:val="bullet"/>
      <w:lvlText w:val="•"/>
      <w:lvlJc w:val="left"/>
      <w:pPr>
        <w:tabs>
          <w:tab w:val="num" w:pos="3600"/>
        </w:tabs>
        <w:ind w:left="3600" w:hanging="360"/>
      </w:pPr>
      <w:rPr>
        <w:rFonts w:ascii="Arial" w:hAnsi="Arial" w:hint="default"/>
      </w:rPr>
    </w:lvl>
    <w:lvl w:ilvl="5" w:tplc="6B62307A" w:tentative="1">
      <w:start w:val="1"/>
      <w:numFmt w:val="bullet"/>
      <w:lvlText w:val="•"/>
      <w:lvlJc w:val="left"/>
      <w:pPr>
        <w:tabs>
          <w:tab w:val="num" w:pos="4320"/>
        </w:tabs>
        <w:ind w:left="4320" w:hanging="360"/>
      </w:pPr>
      <w:rPr>
        <w:rFonts w:ascii="Arial" w:hAnsi="Arial" w:hint="default"/>
      </w:rPr>
    </w:lvl>
    <w:lvl w:ilvl="6" w:tplc="00982670" w:tentative="1">
      <w:start w:val="1"/>
      <w:numFmt w:val="bullet"/>
      <w:lvlText w:val="•"/>
      <w:lvlJc w:val="left"/>
      <w:pPr>
        <w:tabs>
          <w:tab w:val="num" w:pos="5040"/>
        </w:tabs>
        <w:ind w:left="5040" w:hanging="360"/>
      </w:pPr>
      <w:rPr>
        <w:rFonts w:ascii="Arial" w:hAnsi="Arial" w:hint="default"/>
      </w:rPr>
    </w:lvl>
    <w:lvl w:ilvl="7" w:tplc="11AAE85E" w:tentative="1">
      <w:start w:val="1"/>
      <w:numFmt w:val="bullet"/>
      <w:lvlText w:val="•"/>
      <w:lvlJc w:val="left"/>
      <w:pPr>
        <w:tabs>
          <w:tab w:val="num" w:pos="5760"/>
        </w:tabs>
        <w:ind w:left="5760" w:hanging="360"/>
      </w:pPr>
      <w:rPr>
        <w:rFonts w:ascii="Arial" w:hAnsi="Arial" w:hint="default"/>
      </w:rPr>
    </w:lvl>
    <w:lvl w:ilvl="8" w:tplc="13A034F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DB3C58"/>
    <w:multiLevelType w:val="hybridMultilevel"/>
    <w:tmpl w:val="6EAC3078"/>
    <w:lvl w:ilvl="0" w:tplc="F31E85E0">
      <w:start w:val="1"/>
      <w:numFmt w:val="decimal"/>
      <w:lvlText w:val="%1."/>
      <w:lvlJc w:val="left"/>
      <w:pPr>
        <w:tabs>
          <w:tab w:val="num" w:pos="720"/>
        </w:tabs>
        <w:ind w:left="720" w:hanging="360"/>
      </w:pPr>
    </w:lvl>
    <w:lvl w:ilvl="1" w:tplc="60702BCA" w:tentative="1">
      <w:start w:val="1"/>
      <w:numFmt w:val="decimal"/>
      <w:lvlText w:val="%2."/>
      <w:lvlJc w:val="left"/>
      <w:pPr>
        <w:tabs>
          <w:tab w:val="num" w:pos="1440"/>
        </w:tabs>
        <w:ind w:left="1440" w:hanging="360"/>
      </w:pPr>
    </w:lvl>
    <w:lvl w:ilvl="2" w:tplc="2CBA5810" w:tentative="1">
      <w:start w:val="1"/>
      <w:numFmt w:val="decimal"/>
      <w:lvlText w:val="%3."/>
      <w:lvlJc w:val="left"/>
      <w:pPr>
        <w:tabs>
          <w:tab w:val="num" w:pos="2160"/>
        </w:tabs>
        <w:ind w:left="2160" w:hanging="360"/>
      </w:pPr>
    </w:lvl>
    <w:lvl w:ilvl="3" w:tplc="E6C8289C" w:tentative="1">
      <w:start w:val="1"/>
      <w:numFmt w:val="decimal"/>
      <w:lvlText w:val="%4."/>
      <w:lvlJc w:val="left"/>
      <w:pPr>
        <w:tabs>
          <w:tab w:val="num" w:pos="2880"/>
        </w:tabs>
        <w:ind w:left="2880" w:hanging="360"/>
      </w:pPr>
    </w:lvl>
    <w:lvl w:ilvl="4" w:tplc="494C6504" w:tentative="1">
      <w:start w:val="1"/>
      <w:numFmt w:val="decimal"/>
      <w:lvlText w:val="%5."/>
      <w:lvlJc w:val="left"/>
      <w:pPr>
        <w:tabs>
          <w:tab w:val="num" w:pos="3600"/>
        </w:tabs>
        <w:ind w:left="3600" w:hanging="360"/>
      </w:pPr>
    </w:lvl>
    <w:lvl w:ilvl="5" w:tplc="C892031C" w:tentative="1">
      <w:start w:val="1"/>
      <w:numFmt w:val="decimal"/>
      <w:lvlText w:val="%6."/>
      <w:lvlJc w:val="left"/>
      <w:pPr>
        <w:tabs>
          <w:tab w:val="num" w:pos="4320"/>
        </w:tabs>
        <w:ind w:left="4320" w:hanging="360"/>
      </w:pPr>
    </w:lvl>
    <w:lvl w:ilvl="6" w:tplc="87A2DF70" w:tentative="1">
      <w:start w:val="1"/>
      <w:numFmt w:val="decimal"/>
      <w:lvlText w:val="%7."/>
      <w:lvlJc w:val="left"/>
      <w:pPr>
        <w:tabs>
          <w:tab w:val="num" w:pos="5040"/>
        </w:tabs>
        <w:ind w:left="5040" w:hanging="360"/>
      </w:pPr>
    </w:lvl>
    <w:lvl w:ilvl="7" w:tplc="8E28384A" w:tentative="1">
      <w:start w:val="1"/>
      <w:numFmt w:val="decimal"/>
      <w:lvlText w:val="%8."/>
      <w:lvlJc w:val="left"/>
      <w:pPr>
        <w:tabs>
          <w:tab w:val="num" w:pos="5760"/>
        </w:tabs>
        <w:ind w:left="5760" w:hanging="360"/>
      </w:pPr>
    </w:lvl>
    <w:lvl w:ilvl="8" w:tplc="E368C090" w:tentative="1">
      <w:start w:val="1"/>
      <w:numFmt w:val="decimal"/>
      <w:lvlText w:val="%9."/>
      <w:lvlJc w:val="left"/>
      <w:pPr>
        <w:tabs>
          <w:tab w:val="num" w:pos="6480"/>
        </w:tabs>
        <w:ind w:left="6480" w:hanging="360"/>
      </w:pPr>
    </w:lvl>
  </w:abstractNum>
  <w:abstractNum w:abstractNumId="6" w15:restartNumberingAfterBreak="0">
    <w:nsid w:val="4FD3259C"/>
    <w:multiLevelType w:val="hybridMultilevel"/>
    <w:tmpl w:val="5ADE4870"/>
    <w:lvl w:ilvl="0" w:tplc="0809000F">
      <w:start w:val="1"/>
      <w:numFmt w:val="decimal"/>
      <w:lvlText w:val="%1."/>
      <w:lvlJc w:val="left"/>
      <w:pPr>
        <w:tabs>
          <w:tab w:val="num" w:pos="720"/>
        </w:tabs>
        <w:ind w:left="720" w:hanging="360"/>
      </w:pPr>
      <w:rPr>
        <w:rFonts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6C097645"/>
    <w:multiLevelType w:val="hybridMultilevel"/>
    <w:tmpl w:val="E6502896"/>
    <w:lvl w:ilvl="0" w:tplc="0809000F">
      <w:start w:val="1"/>
      <w:numFmt w:val="decimal"/>
      <w:lvlText w:val="%1."/>
      <w:lvlJc w:val="left"/>
      <w:pPr>
        <w:tabs>
          <w:tab w:val="num" w:pos="720"/>
        </w:tabs>
        <w:ind w:left="720" w:hanging="360"/>
      </w:pPr>
      <w:rPr>
        <w:rFonts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 w16cid:durableId="320931190">
    <w:abstractNumId w:val="2"/>
  </w:num>
  <w:num w:numId="2" w16cid:durableId="1828545036">
    <w:abstractNumId w:val="0"/>
  </w:num>
  <w:num w:numId="3" w16cid:durableId="734936492">
    <w:abstractNumId w:val="3"/>
  </w:num>
  <w:num w:numId="4" w16cid:durableId="215822697">
    <w:abstractNumId w:val="7"/>
  </w:num>
  <w:num w:numId="5" w16cid:durableId="1486822604">
    <w:abstractNumId w:val="1"/>
  </w:num>
  <w:num w:numId="6" w16cid:durableId="741636010">
    <w:abstractNumId w:val="5"/>
  </w:num>
  <w:num w:numId="7" w16cid:durableId="383525114">
    <w:abstractNumId w:val="6"/>
  </w:num>
  <w:num w:numId="8" w16cid:durableId="1030227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27E43A"/>
    <w:rsid w:val="00011BFC"/>
    <w:rsid w:val="00037225"/>
    <w:rsid w:val="000766F2"/>
    <w:rsid w:val="00083DCF"/>
    <w:rsid w:val="000A5D32"/>
    <w:rsid w:val="000D0255"/>
    <w:rsid w:val="00155C56"/>
    <w:rsid w:val="001A4456"/>
    <w:rsid w:val="001A49EB"/>
    <w:rsid w:val="00200EF3"/>
    <w:rsid w:val="00215342"/>
    <w:rsid w:val="0024661D"/>
    <w:rsid w:val="00274286"/>
    <w:rsid w:val="00283586"/>
    <w:rsid w:val="002C0CA9"/>
    <w:rsid w:val="002D3A90"/>
    <w:rsid w:val="002E477A"/>
    <w:rsid w:val="00305CE6"/>
    <w:rsid w:val="00344541"/>
    <w:rsid w:val="003B5C5D"/>
    <w:rsid w:val="003D1C03"/>
    <w:rsid w:val="00444241"/>
    <w:rsid w:val="00467BFF"/>
    <w:rsid w:val="004E4368"/>
    <w:rsid w:val="00514FD8"/>
    <w:rsid w:val="005157A6"/>
    <w:rsid w:val="0057472C"/>
    <w:rsid w:val="005D6E6D"/>
    <w:rsid w:val="005E3520"/>
    <w:rsid w:val="006164C7"/>
    <w:rsid w:val="00663C71"/>
    <w:rsid w:val="00674A2C"/>
    <w:rsid w:val="00695BA7"/>
    <w:rsid w:val="006A6617"/>
    <w:rsid w:val="006C56CA"/>
    <w:rsid w:val="007C5C2B"/>
    <w:rsid w:val="007E71A9"/>
    <w:rsid w:val="00847DC9"/>
    <w:rsid w:val="00854475"/>
    <w:rsid w:val="008B0D91"/>
    <w:rsid w:val="00910B88"/>
    <w:rsid w:val="009B735C"/>
    <w:rsid w:val="00A10C7E"/>
    <w:rsid w:val="00A22593"/>
    <w:rsid w:val="00A46B12"/>
    <w:rsid w:val="00A74F08"/>
    <w:rsid w:val="00A75328"/>
    <w:rsid w:val="00A919FB"/>
    <w:rsid w:val="00A95DB2"/>
    <w:rsid w:val="00B01C19"/>
    <w:rsid w:val="00B347B4"/>
    <w:rsid w:val="00B510A7"/>
    <w:rsid w:val="00BA1D5B"/>
    <w:rsid w:val="00BF3D8E"/>
    <w:rsid w:val="00BF54E7"/>
    <w:rsid w:val="00C06024"/>
    <w:rsid w:val="00C17BBF"/>
    <w:rsid w:val="00C20531"/>
    <w:rsid w:val="00C22DA4"/>
    <w:rsid w:val="00C32F52"/>
    <w:rsid w:val="00C42FD9"/>
    <w:rsid w:val="00C44763"/>
    <w:rsid w:val="00C45E2D"/>
    <w:rsid w:val="00C96A2F"/>
    <w:rsid w:val="00CB4F2B"/>
    <w:rsid w:val="00CD18B1"/>
    <w:rsid w:val="00CD1B19"/>
    <w:rsid w:val="00CD36FB"/>
    <w:rsid w:val="00DA0118"/>
    <w:rsid w:val="00E551CD"/>
    <w:rsid w:val="00EC5A3B"/>
    <w:rsid w:val="00F07418"/>
    <w:rsid w:val="00F2285A"/>
    <w:rsid w:val="00F46F92"/>
    <w:rsid w:val="00F937FF"/>
    <w:rsid w:val="1ED1EC89"/>
    <w:rsid w:val="3375DCBB"/>
    <w:rsid w:val="3927E43A"/>
    <w:rsid w:val="3D5128E5"/>
    <w:rsid w:val="5E131500"/>
    <w:rsid w:val="609C59D5"/>
    <w:rsid w:val="62A59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E43A"/>
  <w15:chartTrackingRefBased/>
  <w15:docId w15:val="{7CE782C5-C63B-4247-BAC9-75ACF7B3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368"/>
    <w:pPr>
      <w:ind w:left="720"/>
      <w:contextualSpacing/>
    </w:pPr>
  </w:style>
  <w:style w:type="paragraph" w:styleId="NormalWeb">
    <w:name w:val="Normal (Web)"/>
    <w:basedOn w:val="Normal"/>
    <w:uiPriority w:val="99"/>
    <w:semiHidden/>
    <w:unhideWhenUsed/>
    <w:rsid w:val="00C22DA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F074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9474">
      <w:bodyDiv w:val="1"/>
      <w:marLeft w:val="0"/>
      <w:marRight w:val="0"/>
      <w:marTop w:val="0"/>
      <w:marBottom w:val="0"/>
      <w:divBdr>
        <w:top w:val="none" w:sz="0" w:space="0" w:color="auto"/>
        <w:left w:val="none" w:sz="0" w:space="0" w:color="auto"/>
        <w:bottom w:val="none" w:sz="0" w:space="0" w:color="auto"/>
        <w:right w:val="none" w:sz="0" w:space="0" w:color="auto"/>
      </w:divBdr>
    </w:div>
    <w:div w:id="81923435">
      <w:bodyDiv w:val="1"/>
      <w:marLeft w:val="0"/>
      <w:marRight w:val="0"/>
      <w:marTop w:val="0"/>
      <w:marBottom w:val="0"/>
      <w:divBdr>
        <w:top w:val="none" w:sz="0" w:space="0" w:color="auto"/>
        <w:left w:val="none" w:sz="0" w:space="0" w:color="auto"/>
        <w:bottom w:val="none" w:sz="0" w:space="0" w:color="auto"/>
        <w:right w:val="none" w:sz="0" w:space="0" w:color="auto"/>
      </w:divBdr>
    </w:div>
    <w:div w:id="141192208">
      <w:bodyDiv w:val="1"/>
      <w:marLeft w:val="0"/>
      <w:marRight w:val="0"/>
      <w:marTop w:val="0"/>
      <w:marBottom w:val="0"/>
      <w:divBdr>
        <w:top w:val="none" w:sz="0" w:space="0" w:color="auto"/>
        <w:left w:val="none" w:sz="0" w:space="0" w:color="auto"/>
        <w:bottom w:val="none" w:sz="0" w:space="0" w:color="auto"/>
        <w:right w:val="none" w:sz="0" w:space="0" w:color="auto"/>
      </w:divBdr>
      <w:divsChild>
        <w:div w:id="143280473">
          <w:marLeft w:val="547"/>
          <w:marRight w:val="0"/>
          <w:marTop w:val="0"/>
          <w:marBottom w:val="0"/>
          <w:divBdr>
            <w:top w:val="none" w:sz="0" w:space="0" w:color="auto"/>
            <w:left w:val="none" w:sz="0" w:space="0" w:color="auto"/>
            <w:bottom w:val="none" w:sz="0" w:space="0" w:color="auto"/>
            <w:right w:val="none" w:sz="0" w:space="0" w:color="auto"/>
          </w:divBdr>
        </w:div>
      </w:divsChild>
    </w:div>
    <w:div w:id="199636113">
      <w:bodyDiv w:val="1"/>
      <w:marLeft w:val="0"/>
      <w:marRight w:val="0"/>
      <w:marTop w:val="0"/>
      <w:marBottom w:val="0"/>
      <w:divBdr>
        <w:top w:val="none" w:sz="0" w:space="0" w:color="auto"/>
        <w:left w:val="none" w:sz="0" w:space="0" w:color="auto"/>
        <w:bottom w:val="none" w:sz="0" w:space="0" w:color="auto"/>
        <w:right w:val="none" w:sz="0" w:space="0" w:color="auto"/>
      </w:divBdr>
      <w:divsChild>
        <w:div w:id="65425638">
          <w:marLeft w:val="0"/>
          <w:marRight w:val="0"/>
          <w:marTop w:val="0"/>
          <w:marBottom w:val="0"/>
          <w:divBdr>
            <w:top w:val="none" w:sz="0" w:space="0" w:color="auto"/>
            <w:left w:val="none" w:sz="0" w:space="0" w:color="auto"/>
            <w:bottom w:val="none" w:sz="0" w:space="0" w:color="auto"/>
            <w:right w:val="none" w:sz="0" w:space="0" w:color="auto"/>
          </w:divBdr>
        </w:div>
        <w:div w:id="578251317">
          <w:marLeft w:val="0"/>
          <w:marRight w:val="0"/>
          <w:marTop w:val="0"/>
          <w:marBottom w:val="0"/>
          <w:divBdr>
            <w:top w:val="none" w:sz="0" w:space="0" w:color="auto"/>
            <w:left w:val="none" w:sz="0" w:space="0" w:color="auto"/>
            <w:bottom w:val="none" w:sz="0" w:space="0" w:color="auto"/>
            <w:right w:val="none" w:sz="0" w:space="0" w:color="auto"/>
          </w:divBdr>
        </w:div>
      </w:divsChild>
    </w:div>
    <w:div w:id="301734186">
      <w:bodyDiv w:val="1"/>
      <w:marLeft w:val="0"/>
      <w:marRight w:val="0"/>
      <w:marTop w:val="0"/>
      <w:marBottom w:val="0"/>
      <w:divBdr>
        <w:top w:val="none" w:sz="0" w:space="0" w:color="auto"/>
        <w:left w:val="none" w:sz="0" w:space="0" w:color="auto"/>
        <w:bottom w:val="none" w:sz="0" w:space="0" w:color="auto"/>
        <w:right w:val="none" w:sz="0" w:space="0" w:color="auto"/>
      </w:divBdr>
    </w:div>
    <w:div w:id="349449147">
      <w:bodyDiv w:val="1"/>
      <w:marLeft w:val="0"/>
      <w:marRight w:val="0"/>
      <w:marTop w:val="0"/>
      <w:marBottom w:val="0"/>
      <w:divBdr>
        <w:top w:val="none" w:sz="0" w:space="0" w:color="auto"/>
        <w:left w:val="none" w:sz="0" w:space="0" w:color="auto"/>
        <w:bottom w:val="none" w:sz="0" w:space="0" w:color="auto"/>
        <w:right w:val="none" w:sz="0" w:space="0" w:color="auto"/>
      </w:divBdr>
    </w:div>
    <w:div w:id="350036798">
      <w:bodyDiv w:val="1"/>
      <w:marLeft w:val="0"/>
      <w:marRight w:val="0"/>
      <w:marTop w:val="0"/>
      <w:marBottom w:val="0"/>
      <w:divBdr>
        <w:top w:val="none" w:sz="0" w:space="0" w:color="auto"/>
        <w:left w:val="none" w:sz="0" w:space="0" w:color="auto"/>
        <w:bottom w:val="none" w:sz="0" w:space="0" w:color="auto"/>
        <w:right w:val="none" w:sz="0" w:space="0" w:color="auto"/>
      </w:divBdr>
    </w:div>
    <w:div w:id="556822015">
      <w:bodyDiv w:val="1"/>
      <w:marLeft w:val="0"/>
      <w:marRight w:val="0"/>
      <w:marTop w:val="0"/>
      <w:marBottom w:val="0"/>
      <w:divBdr>
        <w:top w:val="none" w:sz="0" w:space="0" w:color="auto"/>
        <w:left w:val="none" w:sz="0" w:space="0" w:color="auto"/>
        <w:bottom w:val="none" w:sz="0" w:space="0" w:color="auto"/>
        <w:right w:val="none" w:sz="0" w:space="0" w:color="auto"/>
      </w:divBdr>
      <w:divsChild>
        <w:div w:id="1332103659">
          <w:marLeft w:val="547"/>
          <w:marRight w:val="0"/>
          <w:marTop w:val="200"/>
          <w:marBottom w:val="0"/>
          <w:divBdr>
            <w:top w:val="none" w:sz="0" w:space="0" w:color="auto"/>
            <w:left w:val="none" w:sz="0" w:space="0" w:color="auto"/>
            <w:bottom w:val="none" w:sz="0" w:space="0" w:color="auto"/>
            <w:right w:val="none" w:sz="0" w:space="0" w:color="auto"/>
          </w:divBdr>
        </w:div>
        <w:div w:id="1082800917">
          <w:marLeft w:val="547"/>
          <w:marRight w:val="0"/>
          <w:marTop w:val="200"/>
          <w:marBottom w:val="0"/>
          <w:divBdr>
            <w:top w:val="none" w:sz="0" w:space="0" w:color="auto"/>
            <w:left w:val="none" w:sz="0" w:space="0" w:color="auto"/>
            <w:bottom w:val="none" w:sz="0" w:space="0" w:color="auto"/>
            <w:right w:val="none" w:sz="0" w:space="0" w:color="auto"/>
          </w:divBdr>
        </w:div>
        <w:div w:id="1677804403">
          <w:marLeft w:val="547"/>
          <w:marRight w:val="0"/>
          <w:marTop w:val="200"/>
          <w:marBottom w:val="0"/>
          <w:divBdr>
            <w:top w:val="none" w:sz="0" w:space="0" w:color="auto"/>
            <w:left w:val="none" w:sz="0" w:space="0" w:color="auto"/>
            <w:bottom w:val="none" w:sz="0" w:space="0" w:color="auto"/>
            <w:right w:val="none" w:sz="0" w:space="0" w:color="auto"/>
          </w:divBdr>
        </w:div>
      </w:divsChild>
    </w:div>
    <w:div w:id="584922702">
      <w:bodyDiv w:val="1"/>
      <w:marLeft w:val="0"/>
      <w:marRight w:val="0"/>
      <w:marTop w:val="0"/>
      <w:marBottom w:val="0"/>
      <w:divBdr>
        <w:top w:val="none" w:sz="0" w:space="0" w:color="auto"/>
        <w:left w:val="none" w:sz="0" w:space="0" w:color="auto"/>
        <w:bottom w:val="none" w:sz="0" w:space="0" w:color="auto"/>
        <w:right w:val="none" w:sz="0" w:space="0" w:color="auto"/>
      </w:divBdr>
    </w:div>
    <w:div w:id="632058602">
      <w:bodyDiv w:val="1"/>
      <w:marLeft w:val="0"/>
      <w:marRight w:val="0"/>
      <w:marTop w:val="0"/>
      <w:marBottom w:val="0"/>
      <w:divBdr>
        <w:top w:val="none" w:sz="0" w:space="0" w:color="auto"/>
        <w:left w:val="none" w:sz="0" w:space="0" w:color="auto"/>
        <w:bottom w:val="none" w:sz="0" w:space="0" w:color="auto"/>
        <w:right w:val="none" w:sz="0" w:space="0" w:color="auto"/>
      </w:divBdr>
    </w:div>
    <w:div w:id="638725693">
      <w:bodyDiv w:val="1"/>
      <w:marLeft w:val="0"/>
      <w:marRight w:val="0"/>
      <w:marTop w:val="0"/>
      <w:marBottom w:val="0"/>
      <w:divBdr>
        <w:top w:val="none" w:sz="0" w:space="0" w:color="auto"/>
        <w:left w:val="none" w:sz="0" w:space="0" w:color="auto"/>
        <w:bottom w:val="none" w:sz="0" w:space="0" w:color="auto"/>
        <w:right w:val="none" w:sz="0" w:space="0" w:color="auto"/>
      </w:divBdr>
    </w:div>
    <w:div w:id="639968102">
      <w:bodyDiv w:val="1"/>
      <w:marLeft w:val="0"/>
      <w:marRight w:val="0"/>
      <w:marTop w:val="0"/>
      <w:marBottom w:val="0"/>
      <w:divBdr>
        <w:top w:val="none" w:sz="0" w:space="0" w:color="auto"/>
        <w:left w:val="none" w:sz="0" w:space="0" w:color="auto"/>
        <w:bottom w:val="none" w:sz="0" w:space="0" w:color="auto"/>
        <w:right w:val="none" w:sz="0" w:space="0" w:color="auto"/>
      </w:divBdr>
      <w:divsChild>
        <w:div w:id="1198469530">
          <w:marLeft w:val="0"/>
          <w:marRight w:val="0"/>
          <w:marTop w:val="0"/>
          <w:marBottom w:val="0"/>
          <w:divBdr>
            <w:top w:val="none" w:sz="0" w:space="0" w:color="auto"/>
            <w:left w:val="none" w:sz="0" w:space="0" w:color="auto"/>
            <w:bottom w:val="none" w:sz="0" w:space="0" w:color="auto"/>
            <w:right w:val="none" w:sz="0" w:space="0" w:color="auto"/>
          </w:divBdr>
        </w:div>
        <w:div w:id="114108113">
          <w:marLeft w:val="0"/>
          <w:marRight w:val="0"/>
          <w:marTop w:val="0"/>
          <w:marBottom w:val="0"/>
          <w:divBdr>
            <w:top w:val="none" w:sz="0" w:space="0" w:color="auto"/>
            <w:left w:val="none" w:sz="0" w:space="0" w:color="auto"/>
            <w:bottom w:val="none" w:sz="0" w:space="0" w:color="auto"/>
            <w:right w:val="none" w:sz="0" w:space="0" w:color="auto"/>
          </w:divBdr>
        </w:div>
      </w:divsChild>
    </w:div>
    <w:div w:id="719667722">
      <w:bodyDiv w:val="1"/>
      <w:marLeft w:val="0"/>
      <w:marRight w:val="0"/>
      <w:marTop w:val="0"/>
      <w:marBottom w:val="0"/>
      <w:divBdr>
        <w:top w:val="none" w:sz="0" w:space="0" w:color="auto"/>
        <w:left w:val="none" w:sz="0" w:space="0" w:color="auto"/>
        <w:bottom w:val="none" w:sz="0" w:space="0" w:color="auto"/>
        <w:right w:val="none" w:sz="0" w:space="0" w:color="auto"/>
      </w:divBdr>
    </w:div>
    <w:div w:id="871529135">
      <w:bodyDiv w:val="1"/>
      <w:marLeft w:val="0"/>
      <w:marRight w:val="0"/>
      <w:marTop w:val="0"/>
      <w:marBottom w:val="0"/>
      <w:divBdr>
        <w:top w:val="none" w:sz="0" w:space="0" w:color="auto"/>
        <w:left w:val="none" w:sz="0" w:space="0" w:color="auto"/>
        <w:bottom w:val="none" w:sz="0" w:space="0" w:color="auto"/>
        <w:right w:val="none" w:sz="0" w:space="0" w:color="auto"/>
      </w:divBdr>
      <w:divsChild>
        <w:div w:id="1907105232">
          <w:marLeft w:val="547"/>
          <w:marRight w:val="0"/>
          <w:marTop w:val="200"/>
          <w:marBottom w:val="0"/>
          <w:divBdr>
            <w:top w:val="none" w:sz="0" w:space="0" w:color="auto"/>
            <w:left w:val="none" w:sz="0" w:space="0" w:color="auto"/>
            <w:bottom w:val="none" w:sz="0" w:space="0" w:color="auto"/>
            <w:right w:val="none" w:sz="0" w:space="0" w:color="auto"/>
          </w:divBdr>
        </w:div>
        <w:div w:id="2083063783">
          <w:marLeft w:val="547"/>
          <w:marRight w:val="0"/>
          <w:marTop w:val="200"/>
          <w:marBottom w:val="0"/>
          <w:divBdr>
            <w:top w:val="none" w:sz="0" w:space="0" w:color="auto"/>
            <w:left w:val="none" w:sz="0" w:space="0" w:color="auto"/>
            <w:bottom w:val="none" w:sz="0" w:space="0" w:color="auto"/>
            <w:right w:val="none" w:sz="0" w:space="0" w:color="auto"/>
          </w:divBdr>
        </w:div>
        <w:div w:id="1366248910">
          <w:marLeft w:val="547"/>
          <w:marRight w:val="0"/>
          <w:marTop w:val="200"/>
          <w:marBottom w:val="0"/>
          <w:divBdr>
            <w:top w:val="none" w:sz="0" w:space="0" w:color="auto"/>
            <w:left w:val="none" w:sz="0" w:space="0" w:color="auto"/>
            <w:bottom w:val="none" w:sz="0" w:space="0" w:color="auto"/>
            <w:right w:val="none" w:sz="0" w:space="0" w:color="auto"/>
          </w:divBdr>
        </w:div>
        <w:div w:id="1481115780">
          <w:marLeft w:val="547"/>
          <w:marRight w:val="0"/>
          <w:marTop w:val="200"/>
          <w:marBottom w:val="0"/>
          <w:divBdr>
            <w:top w:val="none" w:sz="0" w:space="0" w:color="auto"/>
            <w:left w:val="none" w:sz="0" w:space="0" w:color="auto"/>
            <w:bottom w:val="none" w:sz="0" w:space="0" w:color="auto"/>
            <w:right w:val="none" w:sz="0" w:space="0" w:color="auto"/>
          </w:divBdr>
        </w:div>
      </w:divsChild>
    </w:div>
    <w:div w:id="886835058">
      <w:bodyDiv w:val="1"/>
      <w:marLeft w:val="0"/>
      <w:marRight w:val="0"/>
      <w:marTop w:val="0"/>
      <w:marBottom w:val="0"/>
      <w:divBdr>
        <w:top w:val="none" w:sz="0" w:space="0" w:color="auto"/>
        <w:left w:val="none" w:sz="0" w:space="0" w:color="auto"/>
        <w:bottom w:val="none" w:sz="0" w:space="0" w:color="auto"/>
        <w:right w:val="none" w:sz="0" w:space="0" w:color="auto"/>
      </w:divBdr>
    </w:div>
    <w:div w:id="973751582">
      <w:bodyDiv w:val="1"/>
      <w:marLeft w:val="0"/>
      <w:marRight w:val="0"/>
      <w:marTop w:val="0"/>
      <w:marBottom w:val="0"/>
      <w:divBdr>
        <w:top w:val="none" w:sz="0" w:space="0" w:color="auto"/>
        <w:left w:val="none" w:sz="0" w:space="0" w:color="auto"/>
        <w:bottom w:val="none" w:sz="0" w:space="0" w:color="auto"/>
        <w:right w:val="none" w:sz="0" w:space="0" w:color="auto"/>
      </w:divBdr>
    </w:div>
    <w:div w:id="1176268219">
      <w:bodyDiv w:val="1"/>
      <w:marLeft w:val="0"/>
      <w:marRight w:val="0"/>
      <w:marTop w:val="0"/>
      <w:marBottom w:val="0"/>
      <w:divBdr>
        <w:top w:val="none" w:sz="0" w:space="0" w:color="auto"/>
        <w:left w:val="none" w:sz="0" w:space="0" w:color="auto"/>
        <w:bottom w:val="none" w:sz="0" w:space="0" w:color="auto"/>
        <w:right w:val="none" w:sz="0" w:space="0" w:color="auto"/>
      </w:divBdr>
    </w:div>
    <w:div w:id="1232085766">
      <w:bodyDiv w:val="1"/>
      <w:marLeft w:val="0"/>
      <w:marRight w:val="0"/>
      <w:marTop w:val="0"/>
      <w:marBottom w:val="0"/>
      <w:divBdr>
        <w:top w:val="none" w:sz="0" w:space="0" w:color="auto"/>
        <w:left w:val="none" w:sz="0" w:space="0" w:color="auto"/>
        <w:bottom w:val="none" w:sz="0" w:space="0" w:color="auto"/>
        <w:right w:val="none" w:sz="0" w:space="0" w:color="auto"/>
      </w:divBdr>
    </w:div>
    <w:div w:id="1253471945">
      <w:bodyDiv w:val="1"/>
      <w:marLeft w:val="0"/>
      <w:marRight w:val="0"/>
      <w:marTop w:val="0"/>
      <w:marBottom w:val="0"/>
      <w:divBdr>
        <w:top w:val="none" w:sz="0" w:space="0" w:color="auto"/>
        <w:left w:val="none" w:sz="0" w:space="0" w:color="auto"/>
        <w:bottom w:val="none" w:sz="0" w:space="0" w:color="auto"/>
        <w:right w:val="none" w:sz="0" w:space="0" w:color="auto"/>
      </w:divBdr>
    </w:div>
    <w:div w:id="1318339373">
      <w:bodyDiv w:val="1"/>
      <w:marLeft w:val="0"/>
      <w:marRight w:val="0"/>
      <w:marTop w:val="0"/>
      <w:marBottom w:val="0"/>
      <w:divBdr>
        <w:top w:val="none" w:sz="0" w:space="0" w:color="auto"/>
        <w:left w:val="none" w:sz="0" w:space="0" w:color="auto"/>
        <w:bottom w:val="none" w:sz="0" w:space="0" w:color="auto"/>
        <w:right w:val="none" w:sz="0" w:space="0" w:color="auto"/>
      </w:divBdr>
    </w:div>
    <w:div w:id="1329867028">
      <w:bodyDiv w:val="1"/>
      <w:marLeft w:val="0"/>
      <w:marRight w:val="0"/>
      <w:marTop w:val="0"/>
      <w:marBottom w:val="0"/>
      <w:divBdr>
        <w:top w:val="none" w:sz="0" w:space="0" w:color="auto"/>
        <w:left w:val="none" w:sz="0" w:space="0" w:color="auto"/>
        <w:bottom w:val="none" w:sz="0" w:space="0" w:color="auto"/>
        <w:right w:val="none" w:sz="0" w:space="0" w:color="auto"/>
      </w:divBdr>
    </w:div>
    <w:div w:id="1417676990">
      <w:bodyDiv w:val="1"/>
      <w:marLeft w:val="0"/>
      <w:marRight w:val="0"/>
      <w:marTop w:val="0"/>
      <w:marBottom w:val="0"/>
      <w:divBdr>
        <w:top w:val="none" w:sz="0" w:space="0" w:color="auto"/>
        <w:left w:val="none" w:sz="0" w:space="0" w:color="auto"/>
        <w:bottom w:val="none" w:sz="0" w:space="0" w:color="auto"/>
        <w:right w:val="none" w:sz="0" w:space="0" w:color="auto"/>
      </w:divBdr>
    </w:div>
    <w:div w:id="1420636432">
      <w:bodyDiv w:val="1"/>
      <w:marLeft w:val="0"/>
      <w:marRight w:val="0"/>
      <w:marTop w:val="0"/>
      <w:marBottom w:val="0"/>
      <w:divBdr>
        <w:top w:val="none" w:sz="0" w:space="0" w:color="auto"/>
        <w:left w:val="none" w:sz="0" w:space="0" w:color="auto"/>
        <w:bottom w:val="none" w:sz="0" w:space="0" w:color="auto"/>
        <w:right w:val="none" w:sz="0" w:space="0" w:color="auto"/>
      </w:divBdr>
    </w:div>
    <w:div w:id="1427191722">
      <w:bodyDiv w:val="1"/>
      <w:marLeft w:val="0"/>
      <w:marRight w:val="0"/>
      <w:marTop w:val="0"/>
      <w:marBottom w:val="0"/>
      <w:divBdr>
        <w:top w:val="none" w:sz="0" w:space="0" w:color="auto"/>
        <w:left w:val="none" w:sz="0" w:space="0" w:color="auto"/>
        <w:bottom w:val="none" w:sz="0" w:space="0" w:color="auto"/>
        <w:right w:val="none" w:sz="0" w:space="0" w:color="auto"/>
      </w:divBdr>
    </w:div>
    <w:div w:id="1434938475">
      <w:bodyDiv w:val="1"/>
      <w:marLeft w:val="0"/>
      <w:marRight w:val="0"/>
      <w:marTop w:val="0"/>
      <w:marBottom w:val="0"/>
      <w:divBdr>
        <w:top w:val="none" w:sz="0" w:space="0" w:color="auto"/>
        <w:left w:val="none" w:sz="0" w:space="0" w:color="auto"/>
        <w:bottom w:val="none" w:sz="0" w:space="0" w:color="auto"/>
        <w:right w:val="none" w:sz="0" w:space="0" w:color="auto"/>
      </w:divBdr>
    </w:div>
    <w:div w:id="1455951656">
      <w:bodyDiv w:val="1"/>
      <w:marLeft w:val="0"/>
      <w:marRight w:val="0"/>
      <w:marTop w:val="0"/>
      <w:marBottom w:val="0"/>
      <w:divBdr>
        <w:top w:val="none" w:sz="0" w:space="0" w:color="auto"/>
        <w:left w:val="none" w:sz="0" w:space="0" w:color="auto"/>
        <w:bottom w:val="none" w:sz="0" w:space="0" w:color="auto"/>
        <w:right w:val="none" w:sz="0" w:space="0" w:color="auto"/>
      </w:divBdr>
      <w:divsChild>
        <w:div w:id="2065374471">
          <w:marLeft w:val="547"/>
          <w:marRight w:val="0"/>
          <w:marTop w:val="200"/>
          <w:marBottom w:val="80"/>
          <w:divBdr>
            <w:top w:val="none" w:sz="0" w:space="0" w:color="auto"/>
            <w:left w:val="none" w:sz="0" w:space="0" w:color="auto"/>
            <w:bottom w:val="none" w:sz="0" w:space="0" w:color="auto"/>
            <w:right w:val="none" w:sz="0" w:space="0" w:color="auto"/>
          </w:divBdr>
        </w:div>
        <w:div w:id="618757032">
          <w:marLeft w:val="547"/>
          <w:marRight w:val="0"/>
          <w:marTop w:val="200"/>
          <w:marBottom w:val="80"/>
          <w:divBdr>
            <w:top w:val="none" w:sz="0" w:space="0" w:color="auto"/>
            <w:left w:val="none" w:sz="0" w:space="0" w:color="auto"/>
            <w:bottom w:val="none" w:sz="0" w:space="0" w:color="auto"/>
            <w:right w:val="none" w:sz="0" w:space="0" w:color="auto"/>
          </w:divBdr>
        </w:div>
        <w:div w:id="1584559224">
          <w:marLeft w:val="547"/>
          <w:marRight w:val="0"/>
          <w:marTop w:val="200"/>
          <w:marBottom w:val="80"/>
          <w:divBdr>
            <w:top w:val="none" w:sz="0" w:space="0" w:color="auto"/>
            <w:left w:val="none" w:sz="0" w:space="0" w:color="auto"/>
            <w:bottom w:val="none" w:sz="0" w:space="0" w:color="auto"/>
            <w:right w:val="none" w:sz="0" w:space="0" w:color="auto"/>
          </w:divBdr>
        </w:div>
      </w:divsChild>
    </w:div>
    <w:div w:id="1468359525">
      <w:bodyDiv w:val="1"/>
      <w:marLeft w:val="0"/>
      <w:marRight w:val="0"/>
      <w:marTop w:val="0"/>
      <w:marBottom w:val="0"/>
      <w:divBdr>
        <w:top w:val="none" w:sz="0" w:space="0" w:color="auto"/>
        <w:left w:val="none" w:sz="0" w:space="0" w:color="auto"/>
        <w:bottom w:val="none" w:sz="0" w:space="0" w:color="auto"/>
        <w:right w:val="none" w:sz="0" w:space="0" w:color="auto"/>
      </w:divBdr>
    </w:div>
    <w:div w:id="1494495091">
      <w:bodyDiv w:val="1"/>
      <w:marLeft w:val="0"/>
      <w:marRight w:val="0"/>
      <w:marTop w:val="0"/>
      <w:marBottom w:val="0"/>
      <w:divBdr>
        <w:top w:val="none" w:sz="0" w:space="0" w:color="auto"/>
        <w:left w:val="none" w:sz="0" w:space="0" w:color="auto"/>
        <w:bottom w:val="none" w:sz="0" w:space="0" w:color="auto"/>
        <w:right w:val="none" w:sz="0" w:space="0" w:color="auto"/>
      </w:divBdr>
      <w:divsChild>
        <w:div w:id="31655728">
          <w:marLeft w:val="547"/>
          <w:marRight w:val="0"/>
          <w:marTop w:val="200"/>
          <w:marBottom w:val="80"/>
          <w:divBdr>
            <w:top w:val="none" w:sz="0" w:space="0" w:color="auto"/>
            <w:left w:val="none" w:sz="0" w:space="0" w:color="auto"/>
            <w:bottom w:val="none" w:sz="0" w:space="0" w:color="auto"/>
            <w:right w:val="none" w:sz="0" w:space="0" w:color="auto"/>
          </w:divBdr>
        </w:div>
        <w:div w:id="1941377276">
          <w:marLeft w:val="547"/>
          <w:marRight w:val="0"/>
          <w:marTop w:val="200"/>
          <w:marBottom w:val="80"/>
          <w:divBdr>
            <w:top w:val="none" w:sz="0" w:space="0" w:color="auto"/>
            <w:left w:val="none" w:sz="0" w:space="0" w:color="auto"/>
            <w:bottom w:val="none" w:sz="0" w:space="0" w:color="auto"/>
            <w:right w:val="none" w:sz="0" w:space="0" w:color="auto"/>
          </w:divBdr>
        </w:div>
        <w:div w:id="596519230">
          <w:marLeft w:val="547"/>
          <w:marRight w:val="0"/>
          <w:marTop w:val="200"/>
          <w:marBottom w:val="80"/>
          <w:divBdr>
            <w:top w:val="none" w:sz="0" w:space="0" w:color="auto"/>
            <w:left w:val="none" w:sz="0" w:space="0" w:color="auto"/>
            <w:bottom w:val="none" w:sz="0" w:space="0" w:color="auto"/>
            <w:right w:val="none" w:sz="0" w:space="0" w:color="auto"/>
          </w:divBdr>
        </w:div>
        <w:div w:id="347874610">
          <w:marLeft w:val="547"/>
          <w:marRight w:val="0"/>
          <w:marTop w:val="200"/>
          <w:marBottom w:val="80"/>
          <w:divBdr>
            <w:top w:val="none" w:sz="0" w:space="0" w:color="auto"/>
            <w:left w:val="none" w:sz="0" w:space="0" w:color="auto"/>
            <w:bottom w:val="none" w:sz="0" w:space="0" w:color="auto"/>
            <w:right w:val="none" w:sz="0" w:space="0" w:color="auto"/>
          </w:divBdr>
        </w:div>
        <w:div w:id="122119608">
          <w:marLeft w:val="547"/>
          <w:marRight w:val="0"/>
          <w:marTop w:val="200"/>
          <w:marBottom w:val="0"/>
          <w:divBdr>
            <w:top w:val="none" w:sz="0" w:space="0" w:color="auto"/>
            <w:left w:val="none" w:sz="0" w:space="0" w:color="auto"/>
            <w:bottom w:val="none" w:sz="0" w:space="0" w:color="auto"/>
            <w:right w:val="none" w:sz="0" w:space="0" w:color="auto"/>
          </w:divBdr>
        </w:div>
      </w:divsChild>
    </w:div>
    <w:div w:id="1901477410">
      <w:bodyDiv w:val="1"/>
      <w:marLeft w:val="0"/>
      <w:marRight w:val="0"/>
      <w:marTop w:val="0"/>
      <w:marBottom w:val="0"/>
      <w:divBdr>
        <w:top w:val="none" w:sz="0" w:space="0" w:color="auto"/>
        <w:left w:val="none" w:sz="0" w:space="0" w:color="auto"/>
        <w:bottom w:val="none" w:sz="0" w:space="0" w:color="auto"/>
        <w:right w:val="none" w:sz="0" w:space="0" w:color="auto"/>
      </w:divBdr>
    </w:div>
    <w:div w:id="1948585510">
      <w:bodyDiv w:val="1"/>
      <w:marLeft w:val="0"/>
      <w:marRight w:val="0"/>
      <w:marTop w:val="0"/>
      <w:marBottom w:val="0"/>
      <w:divBdr>
        <w:top w:val="none" w:sz="0" w:space="0" w:color="auto"/>
        <w:left w:val="none" w:sz="0" w:space="0" w:color="auto"/>
        <w:bottom w:val="none" w:sz="0" w:space="0" w:color="auto"/>
        <w:right w:val="none" w:sz="0" w:space="0" w:color="auto"/>
      </w:divBdr>
    </w:div>
    <w:div w:id="205200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Props1.xml><?xml version="1.0" encoding="utf-8"?>
<ds:datastoreItem xmlns:ds="http://schemas.openxmlformats.org/officeDocument/2006/customXml" ds:itemID="{CC492E37-DD96-4FCB-98C7-5D79071680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DD2214-224B-4533-808C-F00343DFF987}">
  <ds:schemaRefs>
    <ds:schemaRef ds:uri="http://schemas.microsoft.com/sharepoint/v3/contenttype/forms"/>
  </ds:schemaRefs>
</ds:datastoreItem>
</file>

<file path=customXml/itemProps3.xml><?xml version="1.0" encoding="utf-8"?>
<ds:datastoreItem xmlns:ds="http://schemas.openxmlformats.org/officeDocument/2006/customXml" ds:itemID="{2F2F4564-876C-4965-9AEF-73709C740CD9}">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1568</Words>
  <Characters>8938</Characters>
  <Application>Microsoft Office Word</Application>
  <DocSecurity>0</DocSecurity>
  <Lines>74</Lines>
  <Paragraphs>20</Paragraphs>
  <ScaleCrop>false</ScaleCrop>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73</cp:revision>
  <dcterms:created xsi:type="dcterms:W3CDTF">2023-01-20T14:17:00Z</dcterms:created>
  <dcterms:modified xsi:type="dcterms:W3CDTF">2025-04-22T15:12:00Z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22498000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ies>
</file>