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1E5" w:rsidRPr="00F931E5" w:rsidRDefault="00F931E5" w:rsidP="00F931E5">
      <w:pPr>
        <w:ind w:right="450"/>
        <w:textAlignment w:val="baseline"/>
        <w:outlineLvl w:val="0"/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UKLR 2.2 </w:t>
      </w: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  <w:t>The Listing Principles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UKLR 2.2.1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single" w:sz="6" w:space="1" w:color="007480" w:frame="1"/>
          <w:lang w:eastAsia="en-GB"/>
          <w14:ligatures w14:val="none"/>
        </w:rPr>
        <w:t>R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29/07/2024</w:t>
      </w:r>
    </w:p>
    <w:p w:rsidR="00F931E5" w:rsidRDefault="00F931E5" w:rsidP="00F931E5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The Listing Principles are as follows: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</w:pPr>
    </w:p>
    <w:tbl>
      <w:tblPr>
        <w:tblW w:w="8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2"/>
        <w:gridCol w:w="7358"/>
      </w:tblGrid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5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take reasonable steps to establish and maintain adequate procedures, systems and controls to enable it to comply with its obligations.</w:t>
            </w:r>
          </w:p>
        </w:tc>
      </w:tr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6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deal with the </w:t>
            </w:r>
            <w:hyperlink r:id="rId7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FCA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in an open and cooperative manner.</w:t>
            </w:r>
          </w:p>
        </w:tc>
      </w:tr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8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take reasonable steps to enable its </w:t>
            </w:r>
            <w:hyperlink r:id="rId9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directors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to understand their responsibilities and obligations as </w:t>
            </w:r>
            <w:hyperlink r:id="rId10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directors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11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act with integrity towards the holders and potential holders of its </w:t>
            </w:r>
            <w:hyperlink r:id="rId12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13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ensure that it treats all holders of the same class of its </w:t>
            </w:r>
            <w:hyperlink r:id="rId14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that are in the same position equally in respect of the rights attaching to those </w:t>
            </w:r>
            <w:hyperlink r:id="rId15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  <w:tr w:rsidR="00F931E5" w:rsidRPr="00F931E5" w:rsidTr="00F931E5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spacing w:after="210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Listing </w:t>
            </w:r>
            <w:proofErr w:type="gramStart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Principle</w:t>
            </w:r>
            <w:proofErr w:type="gramEnd"/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931E5" w:rsidRPr="00F931E5" w:rsidRDefault="00F931E5" w:rsidP="00F931E5">
            <w:pPr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A </w:t>
            </w:r>
            <w:hyperlink r:id="rId16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company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must communicate information to holders and potential holders of its </w:t>
            </w:r>
            <w:hyperlink r:id="rId17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 in such a way as to avoid the creation or continuation of a false market in those </w:t>
            </w:r>
            <w:hyperlink r:id="rId18" w:history="1">
              <w:r w:rsidRPr="00F931E5">
                <w:rPr>
                  <w:rFonts w:ascii="inherit" w:eastAsia="Times New Roman" w:hAnsi="inherit" w:cs="Times New Roman"/>
                  <w:i/>
                  <w:iCs/>
                  <w:color w:val="005660"/>
                  <w:kern w:val="0"/>
                  <w:sz w:val="21"/>
                  <w:szCs w:val="21"/>
                  <w:u w:val="single"/>
                  <w:bdr w:val="none" w:sz="0" w:space="0" w:color="auto" w:frame="1"/>
                  <w:lang w:eastAsia="en-GB"/>
                  <w14:ligatures w14:val="none"/>
                </w:rPr>
                <w:t>listed securities</w:t>
              </w:r>
            </w:hyperlink>
            <w:r w:rsidRPr="00F931E5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en-GB"/>
                <w14:ligatures w14:val="none"/>
              </w:rPr>
              <w:t>.</w:t>
            </w:r>
          </w:p>
        </w:tc>
      </w:tr>
    </w:tbl>
    <w:p w:rsidR="00DF6715" w:rsidRDefault="00DF6715"/>
    <w:p w:rsidR="00F931E5" w:rsidRDefault="00F931E5"/>
    <w:p w:rsidR="00F931E5" w:rsidRDefault="00F931E5" w:rsidP="00F931E5">
      <w:pPr>
        <w:pStyle w:val="Heading1"/>
        <w:shd w:val="clear" w:color="auto" w:fill="FFFFFF"/>
        <w:spacing w:before="0" w:beforeAutospacing="0" w:after="0" w:afterAutospacing="0"/>
        <w:ind w:right="450"/>
        <w:textAlignment w:val="baseline"/>
        <w:rPr>
          <w:rFonts w:ascii="Arial" w:hAnsi="Arial" w:cs="Arial"/>
          <w:color w:val="701B45"/>
          <w:sz w:val="36"/>
          <w:szCs w:val="36"/>
        </w:rPr>
      </w:pPr>
      <w:r>
        <w:rPr>
          <w:rStyle w:val="extended"/>
          <w:rFonts w:ascii="inherit" w:hAnsi="inherit" w:cs="Arial"/>
          <w:color w:val="701B45"/>
          <w:sz w:val="36"/>
          <w:szCs w:val="36"/>
          <w:bdr w:val="none" w:sz="0" w:space="0" w:color="auto" w:frame="1"/>
        </w:rPr>
        <w:t>UKLR 3.2 </w:t>
      </w:r>
      <w:r>
        <w:rPr>
          <w:rFonts w:ascii="Arial" w:hAnsi="Arial" w:cs="Arial"/>
          <w:color w:val="701B45"/>
          <w:sz w:val="36"/>
          <w:szCs w:val="36"/>
        </w:rPr>
        <w:t>Requirements for all securities</w:t>
      </w:r>
    </w:p>
    <w:p w:rsidR="00F931E5" w:rsidRDefault="00F931E5"/>
    <w:p w:rsidR="00F931E5" w:rsidRDefault="00F931E5" w:rsidP="00F931E5">
      <w:pPr>
        <w:pStyle w:val="Heading2"/>
        <w:spacing w:before="0" w:after="90"/>
        <w:textAlignment w:val="baseline"/>
        <w:rPr>
          <w:rFonts w:ascii="inherit" w:hAnsi="inherit"/>
          <w:color w:val="701B45"/>
        </w:rPr>
      </w:pPr>
      <w:r>
        <w:rPr>
          <w:rFonts w:ascii="inherit" w:hAnsi="inherit"/>
          <w:color w:val="701B45"/>
        </w:rPr>
        <w:t>Transferability</w:t>
      </w:r>
    </w:p>
    <w:p w:rsid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  <w:bdr w:val="none" w:sz="0" w:space="0" w:color="auto" w:frame="1"/>
        </w:rPr>
      </w:pPr>
      <w:r>
        <w:rPr>
          <w:rStyle w:val="extended"/>
          <w:rFonts w:ascii="inherit" w:hAnsi="inherit"/>
          <w:b/>
          <w:bCs/>
          <w:sz w:val="21"/>
          <w:szCs w:val="21"/>
          <w:bdr w:val="none" w:sz="0" w:space="0" w:color="auto" w:frame="1"/>
        </w:rPr>
        <w:t>UKLR 3.2.4</w:t>
      </w:r>
      <w:r>
        <w:rPr>
          <w:rStyle w:val="section-type"/>
          <w:rFonts w:ascii="inherit" w:hAnsi="inherit"/>
          <w:b/>
          <w:bCs/>
          <w:sz w:val="21"/>
          <w:szCs w:val="21"/>
          <w:bdr w:val="single" w:sz="6" w:space="1" w:color="007480" w:frame="1"/>
        </w:rPr>
        <w:t>R</w:t>
      </w:r>
      <w:r>
        <w:rPr>
          <w:rFonts w:ascii="inherit" w:hAnsi="inherit"/>
          <w:b/>
          <w:bCs/>
          <w:sz w:val="21"/>
          <w:szCs w:val="21"/>
          <w:bdr w:val="none" w:sz="0" w:space="0" w:color="auto" w:frame="1"/>
        </w:rPr>
        <w:t>29/07/2024</w:t>
      </w:r>
    </w:p>
    <w:p w:rsid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  <w:bdr w:val="none" w:sz="0" w:space="0" w:color="auto" w:frame="1"/>
        </w:rPr>
      </w:pPr>
    </w:p>
    <w:p w:rsidR="00F931E5" w:rsidRP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</w:rPr>
      </w:pPr>
      <w:r>
        <w:rPr>
          <w:rFonts w:ascii="inherit" w:hAnsi="inherit"/>
          <w:sz w:val="21"/>
          <w:szCs w:val="21"/>
        </w:rPr>
        <w:t>(1) To be </w:t>
      </w:r>
      <w:hyperlink r:id="rId19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, </w:t>
      </w:r>
      <w:hyperlink r:id="rId20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must be freely transferable.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(2) To be </w:t>
      </w:r>
      <w:hyperlink r:id="rId21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, </w:t>
      </w:r>
      <w:hyperlink r:id="rId22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shares</w:t>
        </w:r>
      </w:hyperlink>
      <w:r>
        <w:rPr>
          <w:rFonts w:ascii="inherit" w:hAnsi="inherit"/>
          <w:sz w:val="21"/>
          <w:szCs w:val="21"/>
        </w:rPr>
        <w:t> must be fully paid and free from all liens and from any restriction on the right of transfer (except any restriction imposed for failure to comply with a notice under section 793 of the Companies Act 2006 (Notice by company requiring information about interests in its shares)).</w:t>
      </w:r>
    </w:p>
    <w:p w:rsidR="00F931E5" w:rsidRDefault="00F931E5"/>
    <w:p w:rsidR="00F931E5" w:rsidRDefault="00F931E5" w:rsidP="00F931E5">
      <w:pPr>
        <w:pStyle w:val="Heading2"/>
        <w:spacing w:before="0" w:after="90"/>
        <w:textAlignment w:val="baseline"/>
        <w:rPr>
          <w:rFonts w:ascii="inherit" w:hAnsi="inherit"/>
          <w:color w:val="701B45"/>
        </w:rPr>
      </w:pPr>
      <w:r>
        <w:rPr>
          <w:rFonts w:ascii="inherit" w:hAnsi="inherit"/>
          <w:color w:val="701B45"/>
        </w:rPr>
        <w:t>Market capitalisation</w:t>
      </w:r>
    </w:p>
    <w:p w:rsid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</w:rPr>
      </w:pPr>
      <w:r>
        <w:rPr>
          <w:rStyle w:val="extended"/>
          <w:rFonts w:ascii="inherit" w:hAnsi="inherit"/>
          <w:b/>
          <w:bCs/>
          <w:sz w:val="21"/>
          <w:szCs w:val="21"/>
          <w:bdr w:val="none" w:sz="0" w:space="0" w:color="auto" w:frame="1"/>
        </w:rPr>
        <w:t>UKLR 3.2.7</w:t>
      </w:r>
      <w:r>
        <w:rPr>
          <w:rStyle w:val="section-type"/>
          <w:rFonts w:ascii="inherit" w:hAnsi="inherit"/>
          <w:b/>
          <w:bCs/>
          <w:sz w:val="21"/>
          <w:szCs w:val="21"/>
          <w:bdr w:val="single" w:sz="6" w:space="1" w:color="007480" w:frame="1"/>
        </w:rPr>
        <w:t>R</w:t>
      </w:r>
      <w:r>
        <w:rPr>
          <w:rFonts w:ascii="inherit" w:hAnsi="inherit"/>
          <w:b/>
          <w:bCs/>
          <w:sz w:val="21"/>
          <w:szCs w:val="21"/>
          <w:bdr w:val="none" w:sz="0" w:space="0" w:color="auto" w:frame="1"/>
        </w:rPr>
        <w:t>29/07/2024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(1) 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Fonts w:ascii="inherit" w:hAnsi="inherit"/>
          <w:sz w:val="21"/>
          <w:szCs w:val="21"/>
        </w:rPr>
        <w:t>The expected aggregate market value of all </w:t>
      </w:r>
      <w:hyperlink r:id="rId23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(excluding </w:t>
      </w:r>
      <w:hyperlink r:id="rId24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treasury shares</w:t>
        </w:r>
      </w:hyperlink>
      <w:r>
        <w:rPr>
          <w:rFonts w:ascii="inherit" w:hAnsi="inherit"/>
          <w:sz w:val="21"/>
          <w:szCs w:val="21"/>
        </w:rPr>
        <w:t> and </w:t>
      </w:r>
      <w:hyperlink r:id="rId25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shares</w:t>
        </w:r>
      </w:hyperlink>
      <w:r>
        <w:rPr>
          <w:rFonts w:ascii="inherit" w:hAnsi="inherit"/>
          <w:sz w:val="21"/>
          <w:szCs w:val="21"/>
        </w:rPr>
        <w:t> of a </w:t>
      </w:r>
      <w:hyperlink r:id="rId26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closed-ended investment fund</w:t>
        </w:r>
      </w:hyperlink>
      <w:r>
        <w:rPr>
          <w:rFonts w:ascii="inherit" w:hAnsi="inherit"/>
          <w:sz w:val="21"/>
          <w:szCs w:val="21"/>
        </w:rPr>
        <w:t> or </w:t>
      </w:r>
      <w:hyperlink r:id="rId27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open-ended investment company</w:t>
        </w:r>
      </w:hyperlink>
      <w:r>
        <w:rPr>
          <w:rFonts w:ascii="inherit" w:hAnsi="inherit"/>
          <w:sz w:val="21"/>
          <w:szCs w:val="21"/>
        </w:rPr>
        <w:t>) to be </w:t>
      </w:r>
      <w:hyperlink r:id="rId28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 must be at least:</w:t>
      </w:r>
    </w:p>
    <w:p w:rsidR="00F931E5" w:rsidRDefault="00F931E5" w:rsidP="00F931E5">
      <w:pPr>
        <w:pStyle w:val="subpara2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(a) </w:t>
      </w:r>
      <w:r>
        <w:rPr>
          <w:rFonts w:ascii="inherit" w:hAnsi="inherit"/>
          <w:sz w:val="21"/>
          <w:szCs w:val="21"/>
        </w:rPr>
        <w:t xml:space="preserve"> </w:t>
      </w:r>
      <w:r>
        <w:rPr>
          <w:rFonts w:ascii="inherit" w:hAnsi="inherit"/>
          <w:sz w:val="21"/>
          <w:szCs w:val="21"/>
        </w:rPr>
        <w:t>£30 million for </w:t>
      </w:r>
      <w:hyperlink r:id="rId29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shares</w:t>
        </w:r>
      </w:hyperlink>
      <w:r>
        <w:rPr>
          <w:rFonts w:ascii="inherit" w:hAnsi="inherit"/>
          <w:sz w:val="21"/>
          <w:szCs w:val="21"/>
        </w:rPr>
        <w:t>; and</w:t>
      </w:r>
    </w:p>
    <w:p w:rsidR="00F931E5" w:rsidRDefault="00F931E5" w:rsidP="00F931E5">
      <w:pPr>
        <w:pStyle w:val="subpara2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(b) £200,000 for </w:t>
      </w:r>
      <w:hyperlink r:id="rId30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debt securities</w:t>
        </w:r>
      </w:hyperlink>
      <w:r>
        <w:rPr>
          <w:rFonts w:ascii="inherit" w:hAnsi="inherit"/>
          <w:sz w:val="21"/>
          <w:szCs w:val="21"/>
        </w:rPr>
        <w:t>.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(2) The expected aggregate market value of </w:t>
      </w:r>
      <w:hyperlink r:id="rId31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shares</w:t>
        </w:r>
      </w:hyperlink>
      <w:r>
        <w:rPr>
          <w:rFonts w:ascii="inherit" w:hAnsi="inherit"/>
          <w:sz w:val="21"/>
          <w:szCs w:val="21"/>
        </w:rPr>
        <w:t> of a </w:t>
      </w:r>
      <w:hyperlink r:id="rId32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closed-ended investment fund</w:t>
        </w:r>
      </w:hyperlink>
      <w:r>
        <w:rPr>
          <w:rFonts w:ascii="inherit" w:hAnsi="inherit"/>
          <w:sz w:val="21"/>
          <w:szCs w:val="21"/>
        </w:rPr>
        <w:t> or </w:t>
      </w:r>
      <w:hyperlink r:id="rId33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open-ended investment company</w:t>
        </w:r>
      </w:hyperlink>
      <w:r>
        <w:rPr>
          <w:rFonts w:ascii="inherit" w:hAnsi="inherit"/>
          <w:sz w:val="21"/>
          <w:szCs w:val="21"/>
        </w:rPr>
        <w:t> to be </w:t>
      </w:r>
      <w:hyperlink r:id="rId34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 must be at least £700,000.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(3) Paragraph (1) does not apply to tap issues where the amount of the </w:t>
      </w:r>
      <w:hyperlink r:id="rId35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debt securities</w:t>
        </w:r>
      </w:hyperlink>
      <w:r>
        <w:rPr>
          <w:rFonts w:ascii="inherit" w:hAnsi="inherit"/>
          <w:sz w:val="21"/>
          <w:szCs w:val="21"/>
        </w:rPr>
        <w:t> is not fixed.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(4) Paragraphs (1) and (2) do not apply if </w:t>
      </w:r>
      <w:hyperlink r:id="rId36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the same </w:t>
      </w:r>
      <w:hyperlink r:id="rId37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 are already </w:t>
      </w:r>
      <w:hyperlink r:id="rId38" w:history="1">
        <w:r>
          <w:rPr>
            <w:rStyle w:val="Hyperlink"/>
            <w:rFonts w:ascii="inherit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.</w:t>
      </w:r>
    </w:p>
    <w:p w:rsidR="00F931E5" w:rsidRDefault="00F931E5"/>
    <w:p w:rsidR="00F931E5" w:rsidRDefault="00F931E5"/>
    <w:p w:rsidR="00F931E5" w:rsidRDefault="00F931E5" w:rsidP="00F931E5">
      <w:pPr>
        <w:pStyle w:val="Heading2"/>
        <w:spacing w:before="0" w:after="90"/>
        <w:textAlignment w:val="baseline"/>
        <w:rPr>
          <w:rFonts w:ascii="inherit" w:hAnsi="inherit"/>
          <w:color w:val="701B45"/>
        </w:rPr>
      </w:pPr>
      <w:r>
        <w:rPr>
          <w:rFonts w:ascii="inherit" w:hAnsi="inherit"/>
          <w:color w:val="701B45"/>
        </w:rPr>
        <w:t>Whole class to be listed</w:t>
      </w:r>
    </w:p>
    <w:p w:rsid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</w:rPr>
      </w:pPr>
      <w:r>
        <w:rPr>
          <w:rStyle w:val="extended"/>
          <w:rFonts w:ascii="inherit" w:hAnsi="inherit"/>
          <w:b/>
          <w:bCs/>
          <w:sz w:val="21"/>
          <w:szCs w:val="21"/>
          <w:bdr w:val="none" w:sz="0" w:space="0" w:color="auto" w:frame="1"/>
        </w:rPr>
        <w:t>UKLR 3.2.9</w:t>
      </w:r>
      <w:r>
        <w:rPr>
          <w:rStyle w:val="section-type"/>
          <w:rFonts w:ascii="inherit" w:hAnsi="inherit"/>
          <w:b/>
          <w:bCs/>
          <w:sz w:val="21"/>
          <w:szCs w:val="21"/>
          <w:bdr w:val="single" w:sz="6" w:space="1" w:color="007480" w:frame="1"/>
        </w:rPr>
        <w:t>R</w:t>
      </w:r>
      <w:r>
        <w:rPr>
          <w:rFonts w:ascii="inherit" w:hAnsi="inherit"/>
          <w:b/>
          <w:bCs/>
          <w:sz w:val="21"/>
          <w:szCs w:val="21"/>
          <w:bdr w:val="none" w:sz="0" w:space="0" w:color="auto" w:frame="1"/>
        </w:rPr>
        <w:t>29/07/2024</w:t>
      </w:r>
    </w:p>
    <w:p w:rsidR="00F931E5" w:rsidRDefault="00F931E5" w:rsidP="00F931E5">
      <w:pPr>
        <w:pStyle w:val="NormalWeb"/>
        <w:spacing w:before="0" w:beforeAutospacing="0" w:after="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An application for </w:t>
      </w:r>
      <w:hyperlink r:id="rId39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listing</w:t>
        </w:r>
      </w:hyperlink>
      <w:r>
        <w:rPr>
          <w:rFonts w:ascii="inherit" w:hAnsi="inherit"/>
          <w:sz w:val="21"/>
          <w:szCs w:val="21"/>
        </w:rPr>
        <w:t> of </w:t>
      </w:r>
      <w:hyperlink r:id="rId40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any </w:t>
      </w:r>
      <w:hyperlink r:id="rId41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 must: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(1) if no </w:t>
      </w:r>
      <w:hyperlink r:id="rId42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that </w:t>
      </w:r>
      <w:hyperlink r:id="rId43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 are already </w:t>
      </w:r>
      <w:hyperlink r:id="rId44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, relate to all </w:t>
      </w:r>
      <w:hyperlink r:id="rId45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that </w:t>
      </w:r>
      <w:hyperlink r:id="rId46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, issued or proposed to be issued; or</w:t>
      </w:r>
    </w:p>
    <w:p w:rsidR="00F931E5" w:rsidRDefault="00F931E5" w:rsidP="00F931E5">
      <w:pPr>
        <w:pStyle w:val="subpara1"/>
        <w:spacing w:before="0" w:beforeAutospacing="0" w:after="90" w:afterAutospacing="0"/>
        <w:textAlignment w:val="baseline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(2) if </w:t>
      </w:r>
      <w:hyperlink r:id="rId47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that </w:t>
      </w:r>
      <w:hyperlink r:id="rId48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 are already </w:t>
      </w:r>
      <w:hyperlink r:id="rId49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listed</w:t>
        </w:r>
      </w:hyperlink>
      <w:r>
        <w:rPr>
          <w:rFonts w:ascii="inherit" w:hAnsi="inherit"/>
          <w:sz w:val="21"/>
          <w:szCs w:val="21"/>
        </w:rPr>
        <w:t>, relate to all further </w:t>
      </w:r>
      <w:hyperlink r:id="rId50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securities</w:t>
        </w:r>
      </w:hyperlink>
      <w:r>
        <w:rPr>
          <w:rFonts w:ascii="inherit" w:hAnsi="inherit"/>
          <w:sz w:val="21"/>
          <w:szCs w:val="21"/>
        </w:rPr>
        <w:t> of that </w:t>
      </w:r>
      <w:hyperlink r:id="rId51" w:history="1">
        <w:r>
          <w:rPr>
            <w:rStyle w:val="Hyperlink"/>
            <w:rFonts w:ascii="inherit" w:eastAsiaTheme="majorEastAsia" w:hAnsi="inherit"/>
            <w:i/>
            <w:iCs/>
            <w:color w:val="005660"/>
            <w:sz w:val="21"/>
            <w:szCs w:val="21"/>
            <w:bdr w:val="none" w:sz="0" w:space="0" w:color="auto" w:frame="1"/>
          </w:rPr>
          <w:t>class</w:t>
        </w:r>
      </w:hyperlink>
      <w:r>
        <w:rPr>
          <w:rFonts w:ascii="inherit" w:hAnsi="inherit"/>
          <w:sz w:val="21"/>
          <w:szCs w:val="21"/>
        </w:rPr>
        <w:t>, issued or proposed to be issued.</w:t>
      </w:r>
    </w:p>
    <w:p w:rsidR="00F931E5" w:rsidRDefault="00F931E5"/>
    <w:p w:rsidR="00F931E5" w:rsidRDefault="00F931E5"/>
    <w:p w:rsidR="00F931E5" w:rsidRDefault="00F931E5" w:rsidP="00F931E5">
      <w:pPr>
        <w:rPr>
          <w:b/>
          <w:bCs/>
        </w:rPr>
      </w:pPr>
      <w:r w:rsidRPr="00F931E5">
        <w:rPr>
          <w:b/>
          <w:bCs/>
        </w:rPr>
        <w:t>Prospectus</w:t>
      </w:r>
    </w:p>
    <w:p w:rsidR="00F931E5" w:rsidRPr="00F931E5" w:rsidRDefault="00F931E5" w:rsidP="00F931E5">
      <w:pPr>
        <w:rPr>
          <w:b/>
          <w:bCs/>
        </w:rPr>
      </w:pPr>
    </w:p>
    <w:p w:rsidR="00F931E5" w:rsidRDefault="00F931E5" w:rsidP="00F931E5">
      <w:r>
        <w:t>UKLR 3.2.10R29/07/2024</w:t>
      </w:r>
    </w:p>
    <w:p w:rsidR="00F931E5" w:rsidRDefault="00F931E5" w:rsidP="00F931E5"/>
    <w:p w:rsidR="00F931E5" w:rsidRDefault="00F931E5" w:rsidP="00F931E5">
      <w:r>
        <w:t>(1) This rule applies if:</w:t>
      </w:r>
    </w:p>
    <w:p w:rsidR="00F931E5" w:rsidRDefault="00F931E5" w:rsidP="00F931E5">
      <w:r>
        <w:t>(a) a prospectus must be approved and published for the securities; or</w:t>
      </w:r>
    </w:p>
    <w:p w:rsidR="00F931E5" w:rsidRDefault="00F931E5" w:rsidP="00F931E5">
      <w:r>
        <w:t>(b) the applicant is permitted and elects to draw up a prospectus for the securities.</w:t>
      </w:r>
    </w:p>
    <w:p w:rsidR="00F931E5" w:rsidRDefault="00F931E5" w:rsidP="00F931E5">
      <w:r>
        <w:t>(2) To be listed, a prospectus must have been approved by the FCA and published in relation to the securities.</w:t>
      </w:r>
    </w:p>
    <w:p w:rsidR="00F931E5" w:rsidRDefault="00F931E5" w:rsidP="00F931E5"/>
    <w:p w:rsidR="00F931E5" w:rsidRDefault="00F931E5" w:rsidP="00F931E5"/>
    <w:p w:rsidR="00F931E5" w:rsidRDefault="00F931E5" w:rsidP="00F931E5"/>
    <w:p w:rsidR="00F931E5" w:rsidRPr="00F931E5" w:rsidRDefault="00F931E5" w:rsidP="00F931E5">
      <w:pPr>
        <w:ind w:right="450"/>
        <w:textAlignment w:val="baseline"/>
        <w:outlineLvl w:val="0"/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UKLR 5.3 </w:t>
      </w: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  <w:t>Controlling shareholders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UKLR 5.3.1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single" w:sz="6" w:space="1" w:color="007480" w:frame="1"/>
          <w:lang w:eastAsia="en-GB"/>
          <w14:ligatures w14:val="none"/>
        </w:rPr>
        <w:t>R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29/07/2024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An </w:t>
      </w:r>
      <w:hyperlink r:id="rId52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with a </w:t>
      </w:r>
      <w:hyperlink r:id="rId53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must demonstrate that, despite having a </w:t>
      </w:r>
      <w:hyperlink r:id="rId54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, the </w:t>
      </w:r>
      <w:hyperlink r:id="rId55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is able to carry on the business it carries on as its main activity independently from such </w:t>
      </w:r>
      <w:hyperlink r:id="rId56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controlling shareholder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at all times.</w:t>
      </w:r>
    </w:p>
    <w:p w:rsidR="00F931E5" w:rsidRDefault="00F931E5" w:rsidP="00F931E5"/>
    <w:p w:rsidR="00F931E5" w:rsidRDefault="00F931E5" w:rsidP="00F931E5"/>
    <w:p w:rsidR="00F931E5" w:rsidRPr="00F931E5" w:rsidRDefault="00F931E5" w:rsidP="00F931E5">
      <w:pPr>
        <w:ind w:right="450"/>
        <w:textAlignment w:val="baseline"/>
        <w:outlineLvl w:val="0"/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bdr w:val="none" w:sz="0" w:space="0" w:color="auto" w:frame="1"/>
          <w:lang w:eastAsia="en-GB"/>
          <w14:ligatures w14:val="none"/>
        </w:rPr>
        <w:t>UKLR 5.5 </w:t>
      </w:r>
      <w:r w:rsidRPr="00F931E5">
        <w:rPr>
          <w:rFonts w:ascii="inherit" w:eastAsia="Times New Roman" w:hAnsi="inherit" w:cs="Times New Roman"/>
          <w:b/>
          <w:bCs/>
          <w:color w:val="701B45"/>
          <w:kern w:val="36"/>
          <w:sz w:val="36"/>
          <w:szCs w:val="36"/>
          <w:lang w:eastAsia="en-GB"/>
          <w14:ligatures w14:val="none"/>
        </w:rPr>
        <w:t>Shares in public hands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b/>
          <w:bCs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UKLR 5.5.1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single" w:sz="6" w:space="1" w:color="007480" w:frame="1"/>
          <w:lang w:eastAsia="en-GB"/>
          <w14:ligatures w14:val="none"/>
        </w:rPr>
        <w:t>R</w:t>
      </w:r>
      <w:r w:rsidRPr="00F931E5">
        <w:rPr>
          <w:rFonts w:ascii="inherit" w:eastAsia="Times New Roman" w:hAnsi="inherit" w:cs="Times New Roman"/>
          <w:b/>
          <w:bCs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29/07/2024</w:t>
      </w:r>
    </w:p>
    <w:p w:rsidR="00F931E5" w:rsidRPr="00F931E5" w:rsidRDefault="00F931E5" w:rsidP="00F931E5">
      <w:pPr>
        <w:textAlignment w:val="baseline"/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Where an </w:t>
      </w:r>
      <w:hyperlink r:id="rId57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applicant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is applying for the </w:t>
      </w:r>
      <w:hyperlink r:id="rId58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admission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of a </w:t>
      </w:r>
      <w:hyperlink r:id="rId59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class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of </w:t>
      </w:r>
      <w:hyperlink r:id="rId60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equity shares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to </w:t>
      </w:r>
      <w:hyperlink r:id="rId61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listing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in the </w:t>
      </w:r>
      <w:hyperlink r:id="rId62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equity shares (commercial companies)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category, a sufficient number of </w:t>
      </w:r>
      <w:hyperlink r:id="rId63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shares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of that </w:t>
      </w:r>
      <w:hyperlink r:id="rId64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class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 must, no later than the time of </w:t>
      </w:r>
      <w:hyperlink r:id="rId65" w:history="1">
        <w:r w:rsidRPr="00F931E5">
          <w:rPr>
            <w:rFonts w:ascii="inherit" w:eastAsia="Times New Roman" w:hAnsi="inherit" w:cs="Times New Roman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admission</w:t>
        </w:r>
      </w:hyperlink>
      <w:r w:rsidRPr="00F931E5">
        <w:rPr>
          <w:rFonts w:ascii="inherit" w:eastAsia="Times New Roman" w:hAnsi="inherit" w:cs="Times New Roman"/>
          <w:kern w:val="0"/>
          <w:sz w:val="21"/>
          <w:szCs w:val="21"/>
          <w:lang w:eastAsia="en-GB"/>
          <w14:ligatures w14:val="none"/>
        </w:rPr>
        <w:t>, be distributed to the public.</w:t>
      </w:r>
    </w:p>
    <w:p w:rsidR="00F931E5" w:rsidRDefault="00F931E5" w:rsidP="00F931E5"/>
    <w:p w:rsidR="00F931E5" w:rsidRDefault="00F931E5" w:rsidP="00F931E5"/>
    <w:p w:rsidR="00F931E5" w:rsidRPr="00F931E5" w:rsidRDefault="00F931E5" w:rsidP="00F931E5">
      <w:pPr>
        <w:rPr>
          <w:b/>
          <w:bCs/>
        </w:rPr>
      </w:pPr>
      <w:r w:rsidRPr="00F931E5">
        <w:rPr>
          <w:b/>
          <w:bCs/>
        </w:rPr>
        <w:t>UKLR 5.5.3R29/07/2024</w:t>
      </w:r>
    </w:p>
    <w:p w:rsidR="00F931E5" w:rsidRDefault="00F931E5" w:rsidP="00F931E5"/>
    <w:p w:rsidR="00F931E5" w:rsidRDefault="00F931E5" w:rsidP="00F931E5">
      <w:r>
        <w:t>For the purposes of UKLR 5.5.1R and UKLR 5.5.2R, shares are not held in public hands if they are:</w:t>
      </w:r>
    </w:p>
    <w:p w:rsidR="00F931E5" w:rsidRDefault="00F931E5" w:rsidP="00F931E5"/>
    <w:p w:rsidR="00F931E5" w:rsidRDefault="00F931E5" w:rsidP="00F931E5">
      <w:r>
        <w:t>(1) held, directly or indirectly, by:</w:t>
      </w:r>
    </w:p>
    <w:p w:rsidR="00F931E5" w:rsidRDefault="00F931E5" w:rsidP="00F931E5">
      <w:r>
        <w:t>(a) a director of the applicant or of any of its subsidiary undertakings;</w:t>
      </w:r>
    </w:p>
    <w:p w:rsidR="00F931E5" w:rsidRDefault="00F931E5" w:rsidP="00F931E5">
      <w:r>
        <w:t>(b) a person connected with a director of the applicant or of any of its subsidiary undertakings;</w:t>
      </w:r>
    </w:p>
    <w:p w:rsidR="00F931E5" w:rsidRDefault="00F931E5" w:rsidP="00F931E5">
      <w:r>
        <w:lastRenderedPageBreak/>
        <w:t>(c) the trustees of any employees’ share scheme or pension fund established for the benefit of any directors and employees of the applicant and its subsidiary undertakings;</w:t>
      </w:r>
    </w:p>
    <w:p w:rsidR="00F931E5" w:rsidRDefault="00F931E5" w:rsidP="00F931E5">
      <w:r>
        <w:t>(d) any person who, under any agreement, has a right to nominate a person to the board of directors of the applicant; or</w:t>
      </w:r>
    </w:p>
    <w:p w:rsidR="00F931E5" w:rsidRDefault="00F931E5" w:rsidP="00F931E5">
      <w:r>
        <w:t>(e) any person or persons in the same group or persons acting in concert who have an interest in 5% or more of the shares of the relevant class; or</w:t>
      </w:r>
    </w:p>
    <w:p w:rsidR="00F931E5" w:rsidRDefault="00F931E5" w:rsidP="00F931E5">
      <w:r>
        <w:t>(2) subject to a lock-up period of more than 180 calendar days.</w:t>
      </w:r>
    </w:p>
    <w:p w:rsidR="00F931E5" w:rsidRDefault="00F931E5" w:rsidP="00F931E5"/>
    <w:p w:rsidR="00F931E5" w:rsidRDefault="00F931E5" w:rsidP="00F931E5"/>
    <w:p w:rsidR="00F931E5" w:rsidRDefault="00F931E5" w:rsidP="00F931E5">
      <w:pPr>
        <w:pStyle w:val="Heading2"/>
        <w:spacing w:before="0" w:after="90"/>
        <w:textAlignment w:val="baseline"/>
        <w:rPr>
          <w:rFonts w:ascii="inherit" w:hAnsi="inherit"/>
          <w:color w:val="701B45"/>
        </w:rPr>
      </w:pPr>
      <w:r>
        <w:rPr>
          <w:rFonts w:ascii="inherit" w:hAnsi="inherit"/>
          <w:color w:val="701B45"/>
        </w:rPr>
        <w:t>Additional information</w:t>
      </w:r>
    </w:p>
    <w:p w:rsidR="00F931E5" w:rsidRDefault="00F931E5" w:rsidP="00F931E5">
      <w:pPr>
        <w:textAlignment w:val="baseline"/>
        <w:rPr>
          <w:rFonts w:ascii="inherit" w:hAnsi="inherit"/>
          <w:b/>
          <w:bCs/>
          <w:sz w:val="21"/>
          <w:szCs w:val="21"/>
        </w:rPr>
      </w:pPr>
      <w:r>
        <w:rPr>
          <w:rStyle w:val="extended"/>
          <w:rFonts w:ascii="inherit" w:hAnsi="inherit"/>
          <w:b/>
          <w:bCs/>
          <w:sz w:val="21"/>
          <w:szCs w:val="21"/>
          <w:bdr w:val="none" w:sz="0" w:space="0" w:color="auto" w:frame="1"/>
        </w:rPr>
        <w:t>UKLR 6.6.6</w:t>
      </w:r>
      <w:r>
        <w:rPr>
          <w:rStyle w:val="section-type"/>
          <w:rFonts w:ascii="inherit" w:hAnsi="inherit"/>
          <w:b/>
          <w:bCs/>
          <w:sz w:val="21"/>
          <w:szCs w:val="21"/>
          <w:bdr w:val="single" w:sz="6" w:space="1" w:color="007480" w:frame="1"/>
        </w:rPr>
        <w:t>R</w:t>
      </w:r>
      <w:r>
        <w:rPr>
          <w:rFonts w:ascii="inherit" w:hAnsi="inherit"/>
          <w:b/>
          <w:bCs/>
          <w:sz w:val="21"/>
          <w:szCs w:val="21"/>
          <w:bdr w:val="none" w:sz="0" w:space="0" w:color="auto" w:frame="1"/>
        </w:rPr>
        <w:t>28/03/2025</w:t>
      </w:r>
    </w:p>
    <w:p w:rsidR="00F931E5" w:rsidRDefault="00F931E5" w:rsidP="00F93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 the case of a </w:t>
      </w:r>
      <w:hyperlink r:id="rId66" w:history="1">
        <w:r>
          <w:rPr>
            <w:rStyle w:val="Hyperlink"/>
            <w:rFonts w:ascii="inherit" w:eastAsiaTheme="majorEastAsia" w:hAnsi="inherit" w:cs="Arial"/>
            <w:i/>
            <w:iCs/>
            <w:color w:val="005660"/>
            <w:sz w:val="21"/>
            <w:szCs w:val="21"/>
            <w:bdr w:val="none" w:sz="0" w:space="0" w:color="auto" w:frame="1"/>
          </w:rPr>
          <w:t>listed company</w:t>
        </w:r>
      </w:hyperlink>
      <w:r>
        <w:rPr>
          <w:rFonts w:ascii="Arial" w:hAnsi="Arial" w:cs="Arial"/>
          <w:color w:val="333333"/>
          <w:sz w:val="21"/>
          <w:szCs w:val="21"/>
        </w:rPr>
        <w:t> incorporated in the </w:t>
      </w:r>
      <w:hyperlink r:id="rId67" w:history="1">
        <w:r>
          <w:rPr>
            <w:rStyle w:val="Hyperlink"/>
            <w:rFonts w:ascii="inherit" w:eastAsiaTheme="majorEastAsia" w:hAnsi="inherit" w:cs="Arial"/>
            <w:i/>
            <w:iCs/>
            <w:color w:val="005660"/>
            <w:sz w:val="21"/>
            <w:szCs w:val="21"/>
            <w:bdr w:val="none" w:sz="0" w:space="0" w:color="auto" w:frame="1"/>
          </w:rPr>
          <w:t>United Kingdom</w:t>
        </w:r>
      </w:hyperlink>
      <w:r>
        <w:rPr>
          <w:rFonts w:ascii="Arial" w:hAnsi="Arial" w:cs="Arial"/>
          <w:color w:val="333333"/>
          <w:sz w:val="21"/>
          <w:szCs w:val="21"/>
        </w:rPr>
        <w:t>, the following additional items must be included in its annual financial report:</w:t>
      </w:r>
    </w:p>
    <w:p w:rsidR="00F931E5" w:rsidRDefault="00F931E5" w:rsidP="00F931E5">
      <w:pPr>
        <w:shd w:val="clear" w:color="auto" w:fill="FFFFFF"/>
        <w:spacing w:before="150"/>
        <w:ind w:left="1020"/>
        <w:textAlignment w:val="baseline"/>
        <w:rPr>
          <w:rFonts w:ascii="Arial" w:hAnsi="Arial" w:cs="Arial"/>
          <w:color w:val="333333"/>
          <w:sz w:val="21"/>
          <w:szCs w:val="21"/>
        </w:rPr>
      </w:pPr>
    </w:p>
    <w:p w:rsidR="00F931E5" w:rsidRDefault="00F931E5" w:rsidP="00F931E5">
      <w:r>
        <w:t xml:space="preserve">(5) a statement of how the listed company has applied the </w:t>
      </w:r>
      <w:proofErr w:type="gramStart"/>
      <w:r>
        <w:t>Principles</w:t>
      </w:r>
      <w:proofErr w:type="gramEnd"/>
      <w:r>
        <w:t xml:space="preserve"> set out in the UK Corporate Governance Code, in a manner that would enable shareholders to evaluate how the principles have been applied;</w:t>
      </w:r>
    </w:p>
    <w:p w:rsidR="00F931E5" w:rsidRDefault="00F931E5" w:rsidP="00F931E5">
      <w:r>
        <w:t>(6) a statement as to whether the listed company has:</w:t>
      </w:r>
    </w:p>
    <w:p w:rsidR="00F931E5" w:rsidRDefault="00F931E5" w:rsidP="00F931E5">
      <w:r>
        <w:t>(a) complied throughout the accounting period with all relevant provisions set out in the UK Corporate Governance Code; or</w:t>
      </w:r>
    </w:p>
    <w:p w:rsidR="00F931E5" w:rsidRDefault="00F931E5" w:rsidP="00F931E5">
      <w:r>
        <w:t>(b) not complied throughout the accounting period with all relevant provisions set out in the UK Corporate Governance Code and, if so, setting out:</w:t>
      </w:r>
    </w:p>
    <w:p w:rsidR="00F931E5" w:rsidRDefault="00F931E5" w:rsidP="00F931E5">
      <w:r>
        <w:t>(</w:t>
      </w:r>
      <w:proofErr w:type="spellStart"/>
      <w:r>
        <w:t>i</w:t>
      </w:r>
      <w:proofErr w:type="spellEnd"/>
      <w:r>
        <w:t>) those provisions it has not complied with;</w:t>
      </w:r>
    </w:p>
    <w:p w:rsidR="00F931E5" w:rsidRDefault="00F931E5" w:rsidP="00F931E5">
      <w:r>
        <w:t>(ii) in the case of provisions whose requirements are of a continuing nature, the period within which, if any, it did not comply with some or all of those provisions; and</w:t>
      </w:r>
    </w:p>
    <w:p w:rsidR="00F931E5" w:rsidRDefault="00F931E5" w:rsidP="00F931E5">
      <w:r>
        <w:t>(iii) the company’s reasons for non-compliance;</w:t>
      </w:r>
    </w:p>
    <w:p w:rsidR="00F931E5" w:rsidRDefault="00F931E5" w:rsidP="00F931E5"/>
    <w:p w:rsidR="00F931E5" w:rsidRDefault="00F931E5" w:rsidP="00F931E5"/>
    <w:p w:rsidR="00F931E5" w:rsidRDefault="00F931E5" w:rsidP="00F931E5"/>
    <w:p w:rsidR="00F931E5" w:rsidRPr="00F931E5" w:rsidRDefault="00F931E5" w:rsidP="00F931E5">
      <w:pPr>
        <w:rPr>
          <w:b/>
          <w:bCs/>
        </w:rPr>
      </w:pPr>
      <w:r w:rsidRPr="00F931E5">
        <w:rPr>
          <w:b/>
          <w:bCs/>
        </w:rPr>
        <w:t>DTR 7.1 Audit committees</w:t>
      </w:r>
    </w:p>
    <w:p w:rsidR="00F931E5" w:rsidRPr="00F931E5" w:rsidRDefault="00F931E5" w:rsidP="00F931E5">
      <w:pPr>
        <w:rPr>
          <w:b/>
          <w:bCs/>
        </w:rPr>
      </w:pPr>
      <w:r w:rsidRPr="00F931E5">
        <w:rPr>
          <w:b/>
          <w:bCs/>
        </w:rPr>
        <w:t>Audit committees and their functions</w:t>
      </w:r>
    </w:p>
    <w:p w:rsidR="00F931E5" w:rsidRDefault="00F931E5" w:rsidP="00F931E5">
      <w:r>
        <w:t>DTR 7.1.1R17/06/2016</w:t>
      </w:r>
    </w:p>
    <w:p w:rsidR="00F931E5" w:rsidRDefault="00F931E5" w:rsidP="00F931E5">
      <w:r>
        <w:t>RP</w:t>
      </w:r>
    </w:p>
    <w:p w:rsidR="00F931E5" w:rsidRDefault="00F931E5" w:rsidP="00F931E5">
      <w:r>
        <w:t>An issuer must have a body or bodies responsible for performing the functions set out in DTR 7.1.3 R.</w:t>
      </w:r>
    </w:p>
    <w:p w:rsidR="00F931E5" w:rsidRDefault="00F931E5" w:rsidP="00F931E5"/>
    <w:p w:rsidR="00F931E5" w:rsidRDefault="00F931E5" w:rsidP="00F931E5">
      <w:r>
        <w:t>DTR 7.1.1AR17/06/2016</w:t>
      </w:r>
    </w:p>
    <w:p w:rsidR="00F931E5" w:rsidRDefault="00F931E5" w:rsidP="00F931E5">
      <w:r>
        <w:t>RP</w:t>
      </w:r>
    </w:p>
    <w:p w:rsidR="00F931E5" w:rsidRDefault="00F931E5" w:rsidP="00F931E5">
      <w:r>
        <w:t>(1) A majority of the members of the relevant body must be independent.</w:t>
      </w:r>
    </w:p>
    <w:p w:rsidR="00F931E5" w:rsidRDefault="00F931E5" w:rsidP="00F931E5">
      <w:r>
        <w:t>(2) At least one member of the relevant body must have competence in accounting or auditing, or both.</w:t>
      </w:r>
    </w:p>
    <w:p w:rsidR="00F931E5" w:rsidRDefault="00F931E5" w:rsidP="00F931E5">
      <w:r>
        <w:t>(3) The members of the relevant body as a whole must have competence relevant to the sector in which the issuer is operating.</w:t>
      </w:r>
    </w:p>
    <w:p w:rsidR="00F931E5" w:rsidRDefault="00F931E5" w:rsidP="00F931E5">
      <w:r>
        <w:t>[Note: article 39(1) of the Audit Directive]</w:t>
      </w:r>
    </w:p>
    <w:p w:rsidR="00F931E5" w:rsidRDefault="00F931E5" w:rsidP="00F931E5"/>
    <w:p w:rsidR="00F931E5" w:rsidRDefault="00F931E5" w:rsidP="00F931E5"/>
    <w:p w:rsidR="00F931E5" w:rsidRDefault="00F931E5" w:rsidP="00F931E5">
      <w:r>
        <w:t>DTR 7.1.7G28/03/2025</w:t>
      </w:r>
    </w:p>
    <w:p w:rsidR="00F931E5" w:rsidRDefault="00F931E5" w:rsidP="00F931E5">
      <w:r>
        <w:lastRenderedPageBreak/>
        <w:t>RP</w:t>
      </w:r>
    </w:p>
    <w:p w:rsidR="00F931E5" w:rsidRDefault="00F931E5" w:rsidP="00F931E5">
      <w:r>
        <w:t xml:space="preserve">In the FCA's view, compliance with Provisions 14, 24, 25 and 26 of </w:t>
      </w:r>
      <w:proofErr w:type="spellStart"/>
      <w:r>
        <w:t>theUK</w:t>
      </w:r>
      <w:proofErr w:type="spellEnd"/>
      <w:r>
        <w:t xml:space="preserve"> Corporate Governance Code will result in compliance with DTR 7.1.1 R to DTR 7.1.3R and with DTR 7.1.5R except as regards disclosing how the body which carries out the functions required by DTR 7.1.3R is composed.</w:t>
      </w:r>
    </w:p>
    <w:p w:rsidR="00F931E5" w:rsidRDefault="00F931E5" w:rsidP="00F931E5"/>
    <w:p w:rsidR="00F931E5" w:rsidRDefault="00F931E5" w:rsidP="00F931E5">
      <w:r>
        <w:t xml:space="preserve">[Note: The Financial Reporting Council has issued guidance relating to the UK Corporate Governance Code which can be accessed on its website: </w:t>
      </w:r>
      <w:hyperlink r:id="rId68" w:history="1">
        <w:r w:rsidRPr="0099267B">
          <w:rPr>
            <w:rStyle w:val="Hyperlink"/>
          </w:rPr>
          <w:t>https://www.frc.org.uk/library/standards-codes-policy/corporate-governance/corporate-governance-code-guidance/</w:t>
        </w:r>
      </w:hyperlink>
      <w:r>
        <w:t>]</w:t>
      </w:r>
    </w:p>
    <w:p w:rsidR="00F931E5" w:rsidRDefault="00F931E5" w:rsidP="00F931E5"/>
    <w:p w:rsidR="00F931E5" w:rsidRDefault="00F931E5" w:rsidP="00F931E5"/>
    <w:p w:rsidR="00F931E5" w:rsidRDefault="00F931E5" w:rsidP="00F931E5"/>
    <w:p w:rsidR="00F931E5" w:rsidRPr="00F931E5" w:rsidRDefault="00F931E5" w:rsidP="00F931E5">
      <w:pPr>
        <w:shd w:val="clear" w:color="auto" w:fill="FFFFFF"/>
        <w:textAlignment w:val="baseline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DTR 7.1.7</w:t>
      </w:r>
      <w:bookmarkStart w:id="0" w:name="DES9"/>
      <w:bookmarkEnd w:id="0"/>
      <w:r w:rsidRPr="00F931E5">
        <w:rPr>
          <w:rFonts w:ascii="inherit" w:eastAsia="Times New Roman" w:hAnsi="inherit" w:cs="Arial"/>
          <w:b/>
          <w:bCs/>
          <w:color w:val="333333"/>
          <w:kern w:val="0"/>
          <w:sz w:val="21"/>
          <w:szCs w:val="21"/>
          <w:bdr w:val="single" w:sz="6" w:space="1" w:color="007480" w:frame="1"/>
          <w:lang w:eastAsia="en-GB"/>
          <w14:ligatures w14:val="none"/>
        </w:rPr>
        <w:t>G</w:t>
      </w:r>
      <w:r w:rsidRPr="00F931E5">
        <w:rPr>
          <w:rFonts w:ascii="inherit" w:eastAsia="Times New Roman" w:hAnsi="inherit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28/03/2025</w:t>
      </w:r>
      <w:hyperlink r:id="rId69" w:tooltip="Related Provisions" w:history="1">
        <w:r w:rsidRPr="00F931E5">
          <w:rPr>
            <w:rFonts w:ascii="inherit" w:eastAsia="Times New Roman" w:hAnsi="inherit" w:cs="Arial"/>
            <w:b/>
            <w:bCs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RP</w:t>
        </w:r>
      </w:hyperlink>
    </w:p>
    <w:p w:rsidR="00F931E5" w:rsidRPr="00F931E5" w:rsidRDefault="00F931E5" w:rsidP="00F931E5">
      <w:pPr>
        <w:shd w:val="clear" w:color="auto" w:fill="FFFFFF"/>
        <w:textAlignment w:val="baseline"/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In the </w:t>
      </w:r>
      <w:hyperlink r:id="rId70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FCA's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 xml:space="preserve"> view, compliance with Provisions 14, 24, 25 and 26 of </w:t>
      </w:r>
      <w:proofErr w:type="spellStart"/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the</w:t>
      </w:r>
      <w:hyperlink r:id="rId71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UK</w:t>
        </w:r>
        <w:proofErr w:type="spellEnd"/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 xml:space="preserve"> Corporate Governance Code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will result in compliance with </w:t>
      </w:r>
      <w:hyperlink r:id="rId72" w:anchor="DES3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DTR 7.1.1 R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to </w:t>
      </w:r>
      <w:hyperlink r:id="rId73" w:anchor="D5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DTR 7.1.3R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and with </w:t>
      </w:r>
      <w:hyperlink r:id="rId74" w:anchor="D11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DTR 7.1.5R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except as regards disclosing how the body which carries out the functions required by </w:t>
      </w:r>
      <w:hyperlink r:id="rId75" w:anchor="D5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DTR 7.1.3R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is composed.</w:t>
      </w:r>
    </w:p>
    <w:p w:rsidR="00F931E5" w:rsidRPr="00F931E5" w:rsidRDefault="00F931E5" w:rsidP="00F931E5">
      <w:pPr>
        <w:shd w:val="clear" w:color="auto" w:fill="FFFFFF"/>
        <w:textAlignment w:val="baseline"/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[</w:t>
      </w:r>
      <w:r w:rsidRPr="00F931E5">
        <w:rPr>
          <w:rFonts w:ascii="inherit" w:eastAsia="Times New Roman" w:hAnsi="inherit" w:cs="Arial"/>
          <w:b/>
          <w:bCs/>
          <w:color w:val="333333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Note:</w:t>
      </w:r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The Financial Reporting Council has issued guidance relating to the </w:t>
      </w:r>
      <w:hyperlink r:id="rId76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UK Corporate Governance Code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 which can be accessed on its website: </w:t>
      </w:r>
      <w:hyperlink r:id="rId77" w:tgtFrame="_blank" w:history="1">
        <w:r w:rsidRPr="00F931E5">
          <w:rPr>
            <w:rFonts w:ascii="inherit" w:eastAsia="Times New Roman" w:hAnsi="inherit" w:cs="Arial"/>
            <w:i/>
            <w:iCs/>
            <w:color w:val="005660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https://www.frc.org.uk/library/standards-codes-policy/corporate-governance/corporate-governance-code-guidance/</w:t>
        </w:r>
      </w:hyperlink>
      <w:r w:rsidRPr="00F931E5">
        <w:rPr>
          <w:rFonts w:ascii="inherit" w:eastAsia="Times New Roman" w:hAnsi="inherit" w:cs="Arial"/>
          <w:color w:val="333333"/>
          <w:kern w:val="0"/>
          <w:sz w:val="21"/>
          <w:szCs w:val="21"/>
          <w:lang w:eastAsia="en-GB"/>
          <w14:ligatures w14:val="none"/>
        </w:rPr>
        <w:t>]</w:t>
      </w:r>
    </w:p>
    <w:p w:rsidR="00F931E5" w:rsidRDefault="00F931E5" w:rsidP="00F931E5"/>
    <w:sectPr w:rsidR="00F93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570F4"/>
    <w:multiLevelType w:val="multilevel"/>
    <w:tmpl w:val="1CDA5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321FB6"/>
    <w:multiLevelType w:val="multilevel"/>
    <w:tmpl w:val="792C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1E2320"/>
    <w:multiLevelType w:val="multilevel"/>
    <w:tmpl w:val="7A0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191978">
    <w:abstractNumId w:val="0"/>
  </w:num>
  <w:num w:numId="2" w16cid:durableId="1671634656">
    <w:abstractNumId w:val="1"/>
  </w:num>
  <w:num w:numId="3" w16cid:durableId="40449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E5"/>
    <w:rsid w:val="00572098"/>
    <w:rsid w:val="00CD39EA"/>
    <w:rsid w:val="00DF6715"/>
    <w:rsid w:val="00EC2D50"/>
    <w:rsid w:val="00F9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AB9F1"/>
  <w15:chartTrackingRefBased/>
  <w15:docId w15:val="{BBF8423B-E8DD-174F-A3BB-159819CD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31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1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1E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extended">
    <w:name w:val="extended"/>
    <w:basedOn w:val="DefaultParagraphFont"/>
    <w:rsid w:val="00F931E5"/>
  </w:style>
  <w:style w:type="character" w:customStyle="1" w:styleId="section-type">
    <w:name w:val="section-type"/>
    <w:basedOn w:val="DefaultParagraphFont"/>
    <w:rsid w:val="00F931E5"/>
  </w:style>
  <w:style w:type="paragraph" w:styleId="NormalWeb">
    <w:name w:val="Normal (Web)"/>
    <w:basedOn w:val="Normal"/>
    <w:uiPriority w:val="99"/>
    <w:semiHidden/>
    <w:unhideWhenUsed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931E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1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ubpara1">
    <w:name w:val="subpara1"/>
    <w:basedOn w:val="Normal"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subpara2">
    <w:name w:val="subpara2"/>
    <w:basedOn w:val="Normal"/>
    <w:rsid w:val="00F93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931E5"/>
    <w:rPr>
      <w:color w:val="605E5C"/>
      <w:shd w:val="clear" w:color="auto" w:fill="E1DFDD"/>
    </w:rPr>
  </w:style>
  <w:style w:type="character" w:customStyle="1" w:styleId="xrefin">
    <w:name w:val="xrefin"/>
    <w:basedOn w:val="DefaultParagraphFont"/>
    <w:rsid w:val="00F931E5"/>
  </w:style>
  <w:style w:type="character" w:customStyle="1" w:styleId="xrefout">
    <w:name w:val="xrefout"/>
    <w:basedOn w:val="DefaultParagraphFont"/>
    <w:rsid w:val="00F931E5"/>
  </w:style>
  <w:style w:type="character" w:styleId="Strong">
    <w:name w:val="Strong"/>
    <w:basedOn w:val="DefaultParagraphFont"/>
    <w:uiPriority w:val="22"/>
    <w:qFormat/>
    <w:rsid w:val="00F93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2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9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7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3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35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95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05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9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80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7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57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72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5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8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14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5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6224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8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ndbook.fca.org.uk/handbook/glossary/G2485.html" TargetMode="External"/><Relationship Id="rId21" Type="http://schemas.openxmlformats.org/officeDocument/2006/relationships/hyperlink" Target="https://www.handbook.fca.org.uk/handbook/glossary/G658.html" TargetMode="External"/><Relationship Id="rId42" Type="http://schemas.openxmlformats.org/officeDocument/2006/relationships/hyperlink" Target="https://www.handbook.fca.org.uk/handbook/glossary/G1061.html" TargetMode="External"/><Relationship Id="rId47" Type="http://schemas.openxmlformats.org/officeDocument/2006/relationships/hyperlink" Target="https://www.handbook.fca.org.uk/handbook/glossary/G1061.html" TargetMode="External"/><Relationship Id="rId63" Type="http://schemas.openxmlformats.org/officeDocument/2006/relationships/hyperlink" Target="https://www.handbook.fca.org.uk/handbook/glossary/G1078.html" TargetMode="External"/><Relationship Id="rId68" Type="http://schemas.openxmlformats.org/officeDocument/2006/relationships/hyperlink" Target="https://www.frc.org.uk/library/standards-codes-policy/corporate-governance/corporate-governance-code-guidance/" TargetMode="External"/><Relationship Id="rId16" Type="http://schemas.openxmlformats.org/officeDocument/2006/relationships/hyperlink" Target="https://www.handbook.fca.org.uk/handbook/glossary/G1778.html" TargetMode="External"/><Relationship Id="rId11" Type="http://schemas.openxmlformats.org/officeDocument/2006/relationships/hyperlink" Target="https://www.handbook.fca.org.uk/handbook/glossary/G1778.html" TargetMode="External"/><Relationship Id="rId24" Type="http://schemas.openxmlformats.org/officeDocument/2006/relationships/hyperlink" Target="https://www.handbook.fca.org.uk/handbook/glossary/G1723.html" TargetMode="External"/><Relationship Id="rId32" Type="http://schemas.openxmlformats.org/officeDocument/2006/relationships/hyperlink" Target="https://www.handbook.fca.org.uk/handbook/glossary/G2485.html" TargetMode="External"/><Relationship Id="rId37" Type="http://schemas.openxmlformats.org/officeDocument/2006/relationships/hyperlink" Target="https://www.handbook.fca.org.uk/handbook/glossary/G152.html" TargetMode="External"/><Relationship Id="rId40" Type="http://schemas.openxmlformats.org/officeDocument/2006/relationships/hyperlink" Target="https://www.handbook.fca.org.uk/handbook/glossary/G1061.html" TargetMode="External"/><Relationship Id="rId45" Type="http://schemas.openxmlformats.org/officeDocument/2006/relationships/hyperlink" Target="https://www.handbook.fca.org.uk/handbook/glossary/G1061.html" TargetMode="External"/><Relationship Id="rId53" Type="http://schemas.openxmlformats.org/officeDocument/2006/relationships/hyperlink" Target="https://www.handbook.fca.org.uk/handbook/glossary/G3382.html" TargetMode="External"/><Relationship Id="rId58" Type="http://schemas.openxmlformats.org/officeDocument/2006/relationships/hyperlink" Target="https://www.handbook.fca.org.uk/handbook/glossary/G1728.html" TargetMode="External"/><Relationship Id="rId66" Type="http://schemas.openxmlformats.org/officeDocument/2006/relationships/hyperlink" Target="https://www.handbook.fca.org.uk/handbook/glossary/G1778.html" TargetMode="External"/><Relationship Id="rId74" Type="http://schemas.openxmlformats.org/officeDocument/2006/relationships/hyperlink" Target="https://www.handbook.fca.org.uk/handbook/DTR/7/1.html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www.handbook.fca.org.uk/handbook/glossary/G1778.html" TargetMode="External"/><Relationship Id="rId61" Type="http://schemas.openxmlformats.org/officeDocument/2006/relationships/hyperlink" Target="https://www.handbook.fca.org.uk/handbook/glossary/G658.html" TargetMode="External"/><Relationship Id="rId19" Type="http://schemas.openxmlformats.org/officeDocument/2006/relationships/hyperlink" Target="https://www.handbook.fca.org.uk/handbook/glossary/G658.html" TargetMode="External"/><Relationship Id="rId14" Type="http://schemas.openxmlformats.org/officeDocument/2006/relationships/hyperlink" Target="https://www.handbook.fca.org.uk/handbook/glossary/G660.html" TargetMode="External"/><Relationship Id="rId22" Type="http://schemas.openxmlformats.org/officeDocument/2006/relationships/hyperlink" Target="https://www.handbook.fca.org.uk/handbook/glossary/G1078.html" TargetMode="External"/><Relationship Id="rId27" Type="http://schemas.openxmlformats.org/officeDocument/2006/relationships/hyperlink" Target="https://www.handbook.fca.org.uk/handbook/glossary/G801.html" TargetMode="External"/><Relationship Id="rId30" Type="http://schemas.openxmlformats.org/officeDocument/2006/relationships/hyperlink" Target="https://www.handbook.fca.org.uk/handbook/glossary/G267.html" TargetMode="External"/><Relationship Id="rId35" Type="http://schemas.openxmlformats.org/officeDocument/2006/relationships/hyperlink" Target="https://www.handbook.fca.org.uk/handbook/glossary/G267.html" TargetMode="External"/><Relationship Id="rId43" Type="http://schemas.openxmlformats.org/officeDocument/2006/relationships/hyperlink" Target="https://www.handbook.fca.org.uk/handbook/glossary/G152.html" TargetMode="External"/><Relationship Id="rId48" Type="http://schemas.openxmlformats.org/officeDocument/2006/relationships/hyperlink" Target="https://www.handbook.fca.org.uk/handbook/glossary/G152.html" TargetMode="External"/><Relationship Id="rId56" Type="http://schemas.openxmlformats.org/officeDocument/2006/relationships/hyperlink" Target="https://www.handbook.fca.org.uk/handbook/glossary/G3382.html" TargetMode="External"/><Relationship Id="rId64" Type="http://schemas.openxmlformats.org/officeDocument/2006/relationships/hyperlink" Target="https://www.handbook.fca.org.uk/handbook/glossary/G152.html" TargetMode="External"/><Relationship Id="rId69" Type="http://schemas.openxmlformats.org/officeDocument/2006/relationships/hyperlink" Target="https://www.handbook.fca.org.uk/handbook?related-provisions-for-provision=DTR%207.1.7" TargetMode="External"/><Relationship Id="rId77" Type="http://schemas.openxmlformats.org/officeDocument/2006/relationships/hyperlink" Target="https://www.frc.org.uk/library/standards-codes-policy/corporate-governance/corporate-governance-code-guidance/" TargetMode="External"/><Relationship Id="rId8" Type="http://schemas.openxmlformats.org/officeDocument/2006/relationships/hyperlink" Target="https://www.handbook.fca.org.uk/handbook/glossary/G1778.html" TargetMode="External"/><Relationship Id="rId51" Type="http://schemas.openxmlformats.org/officeDocument/2006/relationships/hyperlink" Target="https://www.handbook.fca.org.uk/handbook/glossary/G152.html" TargetMode="External"/><Relationship Id="rId72" Type="http://schemas.openxmlformats.org/officeDocument/2006/relationships/hyperlink" Target="https://www.handbook.fca.org.uk/handbook/DTR/7/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ndbook.fca.org.uk/handbook/glossary/G660.html" TargetMode="External"/><Relationship Id="rId17" Type="http://schemas.openxmlformats.org/officeDocument/2006/relationships/hyperlink" Target="https://www.handbook.fca.org.uk/handbook/glossary/G660.html" TargetMode="External"/><Relationship Id="rId25" Type="http://schemas.openxmlformats.org/officeDocument/2006/relationships/hyperlink" Target="https://www.handbook.fca.org.uk/handbook/glossary/G1078.html" TargetMode="External"/><Relationship Id="rId33" Type="http://schemas.openxmlformats.org/officeDocument/2006/relationships/hyperlink" Target="https://www.handbook.fca.org.uk/handbook/glossary/G801.html" TargetMode="External"/><Relationship Id="rId38" Type="http://schemas.openxmlformats.org/officeDocument/2006/relationships/hyperlink" Target="https://www.handbook.fca.org.uk/handbook/glossary/G658.html" TargetMode="External"/><Relationship Id="rId46" Type="http://schemas.openxmlformats.org/officeDocument/2006/relationships/hyperlink" Target="https://www.handbook.fca.org.uk/handbook/glossary/G152.html" TargetMode="External"/><Relationship Id="rId59" Type="http://schemas.openxmlformats.org/officeDocument/2006/relationships/hyperlink" Target="https://www.handbook.fca.org.uk/handbook/glossary/G152.html" TargetMode="External"/><Relationship Id="rId67" Type="http://schemas.openxmlformats.org/officeDocument/2006/relationships/hyperlink" Target="https://www.handbook.fca.org.uk/handbook/glossary/G1232.html" TargetMode="External"/><Relationship Id="rId20" Type="http://schemas.openxmlformats.org/officeDocument/2006/relationships/hyperlink" Target="https://www.handbook.fca.org.uk/handbook/glossary/G1061.html" TargetMode="External"/><Relationship Id="rId41" Type="http://schemas.openxmlformats.org/officeDocument/2006/relationships/hyperlink" Target="https://www.handbook.fca.org.uk/handbook/glossary/G152.html" TargetMode="External"/><Relationship Id="rId54" Type="http://schemas.openxmlformats.org/officeDocument/2006/relationships/hyperlink" Target="https://www.handbook.fca.org.uk/handbook/glossary/G3382.html" TargetMode="External"/><Relationship Id="rId62" Type="http://schemas.openxmlformats.org/officeDocument/2006/relationships/hyperlink" Target="https://www.handbook.fca.org.uk/handbook/glossary/G93565e.html" TargetMode="External"/><Relationship Id="rId70" Type="http://schemas.openxmlformats.org/officeDocument/2006/relationships/hyperlink" Target="https://www.handbook.fca.org.uk/handbook/glossary/G2974.html" TargetMode="External"/><Relationship Id="rId75" Type="http://schemas.openxmlformats.org/officeDocument/2006/relationships/hyperlink" Target="https://www.handbook.fca.org.uk/handbook/DTR/7/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ndbook.fca.org.uk/handbook/glossary/G1778.html" TargetMode="External"/><Relationship Id="rId15" Type="http://schemas.openxmlformats.org/officeDocument/2006/relationships/hyperlink" Target="https://www.handbook.fca.org.uk/handbook/glossary/G660.html" TargetMode="External"/><Relationship Id="rId23" Type="http://schemas.openxmlformats.org/officeDocument/2006/relationships/hyperlink" Target="https://www.handbook.fca.org.uk/handbook/glossary/G1061.html" TargetMode="External"/><Relationship Id="rId28" Type="http://schemas.openxmlformats.org/officeDocument/2006/relationships/hyperlink" Target="https://www.handbook.fca.org.uk/handbook/glossary/G658.html" TargetMode="External"/><Relationship Id="rId36" Type="http://schemas.openxmlformats.org/officeDocument/2006/relationships/hyperlink" Target="https://www.handbook.fca.org.uk/handbook/glossary/G1061.html" TargetMode="External"/><Relationship Id="rId49" Type="http://schemas.openxmlformats.org/officeDocument/2006/relationships/hyperlink" Target="https://www.handbook.fca.org.uk/handbook/glossary/G658.html" TargetMode="External"/><Relationship Id="rId57" Type="http://schemas.openxmlformats.org/officeDocument/2006/relationships/hyperlink" Target="https://www.handbook.fca.org.uk/handbook/glossary/G1732.html" TargetMode="External"/><Relationship Id="rId10" Type="http://schemas.openxmlformats.org/officeDocument/2006/relationships/hyperlink" Target="https://www.handbook.fca.org.uk/handbook/glossary/G296.html" TargetMode="External"/><Relationship Id="rId31" Type="http://schemas.openxmlformats.org/officeDocument/2006/relationships/hyperlink" Target="https://www.handbook.fca.org.uk/handbook/glossary/G1078.html" TargetMode="External"/><Relationship Id="rId44" Type="http://schemas.openxmlformats.org/officeDocument/2006/relationships/hyperlink" Target="https://www.handbook.fca.org.uk/handbook/glossary/G658.html" TargetMode="External"/><Relationship Id="rId52" Type="http://schemas.openxmlformats.org/officeDocument/2006/relationships/hyperlink" Target="https://www.handbook.fca.org.uk/handbook/glossary/G1732.html" TargetMode="External"/><Relationship Id="rId60" Type="http://schemas.openxmlformats.org/officeDocument/2006/relationships/hyperlink" Target="https://www.handbook.fca.org.uk/handbook/glossary/G1712.html" TargetMode="External"/><Relationship Id="rId65" Type="http://schemas.openxmlformats.org/officeDocument/2006/relationships/hyperlink" Target="https://www.handbook.fca.org.uk/handbook/glossary/G1728.html" TargetMode="External"/><Relationship Id="rId73" Type="http://schemas.openxmlformats.org/officeDocument/2006/relationships/hyperlink" Target="https://www.handbook.fca.org.uk/handbook/DTR/7/1.html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ndbook.fca.org.uk/handbook/glossary/G296.html" TargetMode="External"/><Relationship Id="rId13" Type="http://schemas.openxmlformats.org/officeDocument/2006/relationships/hyperlink" Target="https://www.handbook.fca.org.uk/handbook/glossary/G1778.html" TargetMode="External"/><Relationship Id="rId18" Type="http://schemas.openxmlformats.org/officeDocument/2006/relationships/hyperlink" Target="https://www.handbook.fca.org.uk/handbook/glossary/G660.html" TargetMode="External"/><Relationship Id="rId39" Type="http://schemas.openxmlformats.org/officeDocument/2006/relationships/hyperlink" Target="https://www.handbook.fca.org.uk/handbook/glossary/G658.html" TargetMode="External"/><Relationship Id="rId34" Type="http://schemas.openxmlformats.org/officeDocument/2006/relationships/hyperlink" Target="https://www.handbook.fca.org.uk/handbook/glossary/G658.html" TargetMode="External"/><Relationship Id="rId50" Type="http://schemas.openxmlformats.org/officeDocument/2006/relationships/hyperlink" Target="https://www.handbook.fca.org.uk/handbook/glossary/G1061.html" TargetMode="External"/><Relationship Id="rId55" Type="http://schemas.openxmlformats.org/officeDocument/2006/relationships/hyperlink" Target="https://www.handbook.fca.org.uk/handbook/glossary/G1732.html" TargetMode="External"/><Relationship Id="rId76" Type="http://schemas.openxmlformats.org/officeDocument/2006/relationships/hyperlink" Target="https://www.handbook.fca.org.uk/handbook/glossary/G2791.html" TargetMode="External"/><Relationship Id="rId7" Type="http://schemas.openxmlformats.org/officeDocument/2006/relationships/hyperlink" Target="https://www.handbook.fca.org.uk/handbook/glossary/G2974.html" TargetMode="External"/><Relationship Id="rId71" Type="http://schemas.openxmlformats.org/officeDocument/2006/relationships/hyperlink" Target="https://www.handbook.fca.org.uk/handbook/glossary/G279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ndbook.fca.org.uk/handbook/glossary/G10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1904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Ricci</dc:creator>
  <cp:keywords/>
  <dc:description/>
  <cp:lastModifiedBy>Giulia Ricci</cp:lastModifiedBy>
  <cp:revision>1</cp:revision>
  <dcterms:created xsi:type="dcterms:W3CDTF">2025-06-04T08:53:00Z</dcterms:created>
  <dcterms:modified xsi:type="dcterms:W3CDTF">2025-06-04T09:06:00Z</dcterms:modified>
</cp:coreProperties>
</file>