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8307" w14:textId="77777777" w:rsidR="004B36B4" w:rsidRPr="006263E5" w:rsidRDefault="00932A5D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6263E5">
        <w:rPr>
          <w:rFonts w:ascii="Arial" w:hAnsi="Arial" w:cs="Arial"/>
          <w:color w:val="auto"/>
          <w:sz w:val="24"/>
          <w:szCs w:val="24"/>
        </w:rPr>
        <w:t>Competition Law – Introduction for Due Diligence</w:t>
      </w:r>
    </w:p>
    <w:p w14:paraId="24C69F7A" w14:textId="77777777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>This element introduces the broad spectrum of competition law in the UK</w:t>
      </w:r>
    </w:p>
    <w:p w14:paraId="72E0CF6D" w14:textId="77777777" w:rsidR="004B36B4" w:rsidRPr="006263E5" w:rsidRDefault="00932A5D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6263E5">
        <w:rPr>
          <w:rFonts w:ascii="Arial" w:hAnsi="Arial" w:cs="Arial"/>
          <w:color w:val="auto"/>
          <w:sz w:val="24"/>
          <w:szCs w:val="24"/>
        </w:rPr>
        <w:t>Competition Law</w:t>
      </w:r>
    </w:p>
    <w:p w14:paraId="35828D12" w14:textId="77777777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Given its purpose, nature and scope, competition law is a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pervasive issue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for clients and might arise in a range of different contexts</w:t>
      </w:r>
      <w:r w:rsidRPr="006263E5">
        <w:rPr>
          <w:rFonts w:ascii="Arial" w:hAnsi="Arial" w:cs="Arial"/>
          <w:sz w:val="24"/>
          <w:szCs w:val="24"/>
        </w:rPr>
        <w:t xml:space="preserve">. When conducting due </w:t>
      </w:r>
      <w:proofErr w:type="gramStart"/>
      <w:r w:rsidRPr="006263E5">
        <w:rPr>
          <w:rFonts w:ascii="Arial" w:hAnsi="Arial" w:cs="Arial"/>
          <w:sz w:val="24"/>
          <w:szCs w:val="24"/>
        </w:rPr>
        <w:t>diligence</w:t>
      </w:r>
      <w:proofErr w:type="gramEnd"/>
      <w:r w:rsidRPr="006263E5">
        <w:rPr>
          <w:rFonts w:ascii="Arial" w:hAnsi="Arial" w:cs="Arial"/>
          <w:sz w:val="24"/>
          <w:szCs w:val="24"/>
        </w:rPr>
        <w:t xml:space="preserve"> you should be mindful of its scope and its practical application; the consequences of competition law being breached can be significant and might take effect in multiple jurisdictions.</w:t>
      </w:r>
    </w:p>
    <w:p w14:paraId="6C6ACAC5" w14:textId="77777777" w:rsidR="004B36B4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In the UK, the key regulator for competition law is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the Competition and Markets Authority (CMA)</w:t>
      </w:r>
      <w:r w:rsidRPr="00F2044C">
        <w:rPr>
          <w:rFonts w:ascii="Arial" w:hAnsi="Arial" w:cs="Arial"/>
          <w:sz w:val="24"/>
          <w:szCs w:val="24"/>
          <w:highlight w:val="yellow"/>
        </w:rPr>
        <w:t>.</w:t>
      </w:r>
      <w:r w:rsidRPr="006263E5">
        <w:rPr>
          <w:rFonts w:ascii="Arial" w:hAnsi="Arial" w:cs="Arial"/>
          <w:sz w:val="24"/>
          <w:szCs w:val="24"/>
        </w:rPr>
        <w:t xml:space="preserve"> There are </w:t>
      </w:r>
      <w:r w:rsidRPr="00F2044C">
        <w:rPr>
          <w:rFonts w:ascii="Arial" w:hAnsi="Arial" w:cs="Arial"/>
          <w:sz w:val="24"/>
          <w:szCs w:val="24"/>
          <w:highlight w:val="yellow"/>
        </w:rPr>
        <w:t>four key areas of competition law as shown below. We have considered Merger Control in the previous Topic.</w:t>
      </w:r>
    </w:p>
    <w:p w14:paraId="1994347F" w14:textId="586578AA" w:rsidR="0040014D" w:rsidRDefault="0040014D" w:rsidP="0040014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40014D">
        <w:rPr>
          <w:rFonts w:ascii="Arial" w:hAnsi="Arial" w:cs="Arial"/>
          <w:b/>
          <w:bCs/>
          <w:sz w:val="24"/>
          <w:szCs w:val="24"/>
          <w:lang w:val="en-GB"/>
        </w:rPr>
        <w:t>Competition Law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includes </w:t>
      </w:r>
    </w:p>
    <w:p w14:paraId="040E4683" w14:textId="77777777" w:rsidR="00C065F4" w:rsidRPr="00F2044C" w:rsidRDefault="00C065F4" w:rsidP="00C065F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  <w:lang w:val="en-GB"/>
        </w:rPr>
      </w:pPr>
      <w:r w:rsidRPr="00F2044C">
        <w:rPr>
          <w:rFonts w:ascii="Arial" w:hAnsi="Arial" w:cs="Arial"/>
          <w:sz w:val="24"/>
          <w:szCs w:val="24"/>
          <w:highlight w:val="yellow"/>
          <w:lang w:val="en-GB"/>
        </w:rPr>
        <w:t>Anti-competitive agreements</w:t>
      </w:r>
    </w:p>
    <w:p w14:paraId="448625DD" w14:textId="77777777" w:rsidR="00C065F4" w:rsidRPr="00F2044C" w:rsidRDefault="00C065F4" w:rsidP="00C065F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  <w:lang w:val="en-GB"/>
        </w:rPr>
      </w:pPr>
      <w:r w:rsidRPr="00F2044C">
        <w:rPr>
          <w:rFonts w:ascii="Arial" w:hAnsi="Arial" w:cs="Arial"/>
          <w:sz w:val="24"/>
          <w:szCs w:val="24"/>
          <w:highlight w:val="yellow"/>
          <w:lang w:val="en-GB"/>
        </w:rPr>
        <w:t>Abuse of a dominant position</w:t>
      </w:r>
    </w:p>
    <w:p w14:paraId="3A5554F5" w14:textId="77777777" w:rsidR="00C065F4" w:rsidRPr="00F2044C" w:rsidRDefault="00C065F4" w:rsidP="00C065F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  <w:lang w:val="en-GB"/>
        </w:rPr>
      </w:pPr>
      <w:r w:rsidRPr="00F2044C">
        <w:rPr>
          <w:rFonts w:ascii="Arial" w:hAnsi="Arial" w:cs="Arial"/>
          <w:sz w:val="24"/>
          <w:szCs w:val="24"/>
          <w:highlight w:val="yellow"/>
          <w:lang w:val="en-GB"/>
        </w:rPr>
        <w:t>Merger control</w:t>
      </w:r>
    </w:p>
    <w:p w14:paraId="1D3B218C" w14:textId="7792CA37" w:rsidR="00C065F4" w:rsidRPr="00F2044C" w:rsidRDefault="00C065F4" w:rsidP="00C065F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  <w:lang w:val="en-GB"/>
        </w:rPr>
      </w:pPr>
      <w:r w:rsidRPr="00F2044C">
        <w:rPr>
          <w:rFonts w:ascii="Arial" w:hAnsi="Arial" w:cs="Arial"/>
          <w:sz w:val="24"/>
          <w:szCs w:val="24"/>
          <w:highlight w:val="yellow"/>
          <w:lang w:val="en-GB"/>
        </w:rPr>
        <w:t>Subsidy control</w:t>
      </w:r>
    </w:p>
    <w:p w14:paraId="57F1E299" w14:textId="77777777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>Due diligence review of contracts may reveal concerns in relation to anti-competitive agreements in particular. As a corporate lawyer any concerns should be discussed with specialist lawyers.</w:t>
      </w:r>
    </w:p>
    <w:p w14:paraId="4C2C766F" w14:textId="77777777" w:rsidR="00C065F4" w:rsidRPr="00F2044C" w:rsidRDefault="00C065F4" w:rsidP="00C065F4">
      <w:pPr>
        <w:pStyle w:val="Heading1"/>
        <w:rPr>
          <w:rFonts w:ascii="Arial" w:hAnsi="Arial" w:cs="Arial"/>
          <w:color w:val="auto"/>
          <w:sz w:val="24"/>
          <w:szCs w:val="24"/>
          <w:highlight w:val="yellow"/>
        </w:rPr>
      </w:pPr>
      <w:r w:rsidRPr="00F2044C">
        <w:rPr>
          <w:rFonts w:ascii="Arial" w:hAnsi="Arial" w:cs="Arial"/>
          <w:color w:val="auto"/>
          <w:sz w:val="24"/>
          <w:szCs w:val="24"/>
          <w:highlight w:val="yellow"/>
        </w:rPr>
        <w:t>Anti-competitive agreements</w:t>
      </w:r>
    </w:p>
    <w:p w14:paraId="758EEB4F" w14:textId="77777777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F2044C">
        <w:rPr>
          <w:rFonts w:ascii="Arial" w:hAnsi="Arial" w:cs="Arial"/>
          <w:sz w:val="24"/>
          <w:szCs w:val="24"/>
          <w:highlight w:val="yellow"/>
        </w:rPr>
        <w:t>Competition law controls the conditions under which companies can co-operate with each other</w:t>
      </w:r>
      <w:r w:rsidRPr="006263E5">
        <w:rPr>
          <w:rFonts w:ascii="Arial" w:hAnsi="Arial" w:cs="Arial"/>
          <w:sz w:val="24"/>
          <w:szCs w:val="24"/>
        </w:rPr>
        <w:t>, whether or not they are competitors and even if they are at different levels of the supply chain known as the ‘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Chapter I prohibition’</w:t>
      </w:r>
      <w:r w:rsidRPr="006263E5">
        <w:rPr>
          <w:rFonts w:ascii="Arial" w:hAnsi="Arial" w:cs="Arial"/>
          <w:sz w:val="24"/>
          <w:szCs w:val="24"/>
        </w:rPr>
        <w:t>.</w:t>
      </w:r>
    </w:p>
    <w:p w14:paraId="3365A927" w14:textId="77777777" w:rsidR="00C065F4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For the prohibition to ‘bite’, </w:t>
      </w:r>
      <w:r w:rsidRPr="00F2044C">
        <w:rPr>
          <w:rFonts w:ascii="Arial" w:hAnsi="Arial" w:cs="Arial"/>
          <w:sz w:val="24"/>
          <w:szCs w:val="24"/>
          <w:highlight w:val="yellow"/>
        </w:rPr>
        <w:t>each of the three criteria listed in section 2 must be met:</w:t>
      </w:r>
      <w:r w:rsidRPr="006263E5">
        <w:rPr>
          <w:rFonts w:ascii="Arial" w:hAnsi="Arial" w:cs="Arial"/>
          <w:sz w:val="24"/>
          <w:szCs w:val="24"/>
        </w:rPr>
        <w:t> </w:t>
      </w:r>
    </w:p>
    <w:p w14:paraId="5794F082" w14:textId="77777777" w:rsidR="00C065F4" w:rsidRPr="00C065F4" w:rsidRDefault="00932A5D" w:rsidP="00C065F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065F4">
        <w:rPr>
          <w:rFonts w:ascii="Arial" w:hAnsi="Arial" w:cs="Arial"/>
          <w:sz w:val="24"/>
          <w:szCs w:val="24"/>
        </w:rPr>
        <w:t xml:space="preserve">There must be an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agreement between undertakings</w:t>
      </w:r>
      <w:r w:rsidRPr="00F2044C">
        <w:rPr>
          <w:rFonts w:ascii="Arial" w:hAnsi="Arial" w:cs="Arial"/>
          <w:sz w:val="24"/>
          <w:szCs w:val="24"/>
          <w:highlight w:val="yellow"/>
        </w:rPr>
        <w:t>, a decision by associations of undertakings or a concerted practice between undertakings</w:t>
      </w:r>
      <w:r w:rsidRPr="00C065F4">
        <w:rPr>
          <w:rFonts w:ascii="Arial" w:hAnsi="Arial" w:cs="Arial"/>
          <w:sz w:val="24"/>
          <w:szCs w:val="24"/>
        </w:rPr>
        <w:t>; which </w:t>
      </w:r>
    </w:p>
    <w:p w14:paraId="42217CDC" w14:textId="77777777" w:rsidR="00C065F4" w:rsidRPr="00C065F4" w:rsidRDefault="00932A5D" w:rsidP="00C065F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may affect trade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within the UK;</w:t>
      </w:r>
      <w:r w:rsidRPr="00C065F4">
        <w:rPr>
          <w:rFonts w:ascii="Arial" w:hAnsi="Arial" w:cs="Arial"/>
          <w:sz w:val="24"/>
          <w:szCs w:val="24"/>
        </w:rPr>
        <w:t xml:space="preserve"> and </w:t>
      </w:r>
    </w:p>
    <w:p w14:paraId="4752E063" w14:textId="0F97804B" w:rsidR="004B36B4" w:rsidRPr="00C065F4" w:rsidRDefault="00932A5D" w:rsidP="00C065F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2044C">
        <w:rPr>
          <w:rFonts w:ascii="Arial" w:hAnsi="Arial" w:cs="Arial"/>
          <w:sz w:val="24"/>
          <w:szCs w:val="24"/>
          <w:highlight w:val="yellow"/>
        </w:rPr>
        <w:t xml:space="preserve">has as its object or effect the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prevention, restriction or distortion of</w:t>
      </w:r>
      <w:r w:rsidRPr="00F2044C">
        <w:rPr>
          <w:rFonts w:ascii="Arial" w:hAnsi="Arial" w:cs="Arial"/>
          <w:sz w:val="24"/>
          <w:szCs w:val="24"/>
          <w:highlight w:val="yellow"/>
        </w:rPr>
        <w:t> competition within the UK</w:t>
      </w:r>
      <w:r w:rsidRPr="00C065F4">
        <w:rPr>
          <w:rFonts w:ascii="Arial" w:hAnsi="Arial" w:cs="Arial"/>
          <w:sz w:val="24"/>
          <w:szCs w:val="24"/>
        </w:rPr>
        <w:t>.</w:t>
      </w:r>
    </w:p>
    <w:p w14:paraId="31DEDB4D" w14:textId="77777777" w:rsidR="00C065F4" w:rsidRPr="00C065F4" w:rsidRDefault="00932A5D">
      <w:pPr>
        <w:rPr>
          <w:rFonts w:ascii="Arial" w:hAnsi="Arial" w:cs="Arial"/>
          <w:b/>
          <w:bCs/>
          <w:sz w:val="24"/>
          <w:szCs w:val="24"/>
        </w:rPr>
      </w:pPr>
      <w:r w:rsidRPr="00C065F4">
        <w:rPr>
          <w:rFonts w:ascii="Arial" w:hAnsi="Arial" w:cs="Arial"/>
          <w:b/>
          <w:bCs/>
          <w:sz w:val="24"/>
          <w:szCs w:val="24"/>
        </w:rPr>
        <w:lastRenderedPageBreak/>
        <w:t>Key Consequence</w:t>
      </w:r>
    </w:p>
    <w:p w14:paraId="51771D37" w14:textId="7B98D98C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F2044C">
        <w:rPr>
          <w:rFonts w:ascii="Arial" w:hAnsi="Arial" w:cs="Arial"/>
          <w:sz w:val="24"/>
          <w:szCs w:val="24"/>
          <w:highlight w:val="yellow"/>
        </w:rPr>
        <w:t>An agreement that meets these three criteria is prohibited</w:t>
      </w:r>
      <w:r w:rsidRPr="006263E5">
        <w:rPr>
          <w:rFonts w:ascii="Arial" w:hAnsi="Arial" w:cs="Arial"/>
          <w:sz w:val="24"/>
          <w:szCs w:val="24"/>
        </w:rPr>
        <w:t xml:space="preserve"> (and therefore void) </w:t>
      </w:r>
      <w:r w:rsidRPr="00F2044C">
        <w:rPr>
          <w:rFonts w:ascii="Arial" w:hAnsi="Arial" w:cs="Arial"/>
          <w:sz w:val="24"/>
          <w:szCs w:val="24"/>
          <w:highlight w:val="yellow"/>
        </w:rPr>
        <w:t>unless it comes within an exemption.</w:t>
      </w:r>
    </w:p>
    <w:p w14:paraId="7C413437" w14:textId="77777777" w:rsidR="00C065F4" w:rsidRPr="00C065F4" w:rsidRDefault="00932A5D">
      <w:pPr>
        <w:rPr>
          <w:rFonts w:ascii="Arial" w:hAnsi="Arial" w:cs="Arial"/>
          <w:b/>
          <w:bCs/>
          <w:sz w:val="24"/>
          <w:szCs w:val="24"/>
        </w:rPr>
      </w:pPr>
      <w:r w:rsidRPr="00C065F4">
        <w:rPr>
          <w:rFonts w:ascii="Arial" w:hAnsi="Arial" w:cs="Arial"/>
          <w:b/>
          <w:bCs/>
          <w:sz w:val="24"/>
          <w:szCs w:val="24"/>
        </w:rPr>
        <w:t>Exemptions?</w:t>
      </w:r>
    </w:p>
    <w:p w14:paraId="5286F3B3" w14:textId="77777777" w:rsidR="00C065F4" w:rsidRPr="00C065F4" w:rsidRDefault="00932A5D" w:rsidP="00C065F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065F4">
        <w:rPr>
          <w:rFonts w:ascii="Arial" w:hAnsi="Arial" w:cs="Arial"/>
          <w:sz w:val="24"/>
          <w:szCs w:val="24"/>
        </w:rPr>
        <w:t>Certain categories of agreement are excluded from the regime by a block exemption as the competition authorities consider the arrangements to be beneficial and to be encouraged (e.g. distribution agreements.</w:t>
      </w:r>
    </w:p>
    <w:p w14:paraId="0BD8208B" w14:textId="77777777" w:rsidR="00C065F4" w:rsidRPr="00C065F4" w:rsidRDefault="00932A5D" w:rsidP="00C065F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065F4">
        <w:rPr>
          <w:rFonts w:ascii="Arial" w:hAnsi="Arial" w:cs="Arial"/>
          <w:sz w:val="24"/>
          <w:szCs w:val="24"/>
        </w:rPr>
        <w:t xml:space="preserve">There is also a </w:t>
      </w:r>
      <w:r w:rsidRPr="00C065F4">
        <w:rPr>
          <w:rFonts w:ascii="Arial" w:hAnsi="Arial" w:cs="Arial"/>
          <w:b/>
          <w:bCs/>
          <w:sz w:val="24"/>
          <w:szCs w:val="24"/>
        </w:rPr>
        <w:t>de minimis threshold</w:t>
      </w:r>
      <w:r w:rsidRPr="00C065F4">
        <w:rPr>
          <w:rFonts w:ascii="Arial" w:hAnsi="Arial" w:cs="Arial"/>
          <w:sz w:val="24"/>
          <w:szCs w:val="24"/>
        </w:rPr>
        <w:t xml:space="preserve"> exempting agreements that are not expected to have an appreciable impact on trade. </w:t>
      </w:r>
    </w:p>
    <w:p w14:paraId="61A8AC5B" w14:textId="16A67B62" w:rsidR="004B36B4" w:rsidRPr="00F2044C" w:rsidRDefault="00932A5D" w:rsidP="00C065F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highlight w:val="yellow"/>
        </w:rPr>
      </w:pPr>
      <w:r w:rsidRPr="00C065F4">
        <w:rPr>
          <w:rFonts w:ascii="Arial" w:hAnsi="Arial" w:cs="Arial"/>
          <w:sz w:val="24"/>
          <w:szCs w:val="24"/>
        </w:rPr>
        <w:t>Exemptions also apply to agreements that (1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)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contribute to improvements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in production/distribution or promoting technical or economic progress while allowing consumers a fair share of the resulting benefit</w:t>
      </w:r>
      <w:r w:rsidRPr="00C065F4">
        <w:rPr>
          <w:rFonts w:ascii="Arial" w:hAnsi="Arial" w:cs="Arial"/>
          <w:sz w:val="24"/>
          <w:szCs w:val="24"/>
        </w:rPr>
        <w:t xml:space="preserve">; (2)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only impose restrictions that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are indispensable to the attainment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of these objectives</w:t>
      </w:r>
      <w:r w:rsidRPr="00C065F4">
        <w:rPr>
          <w:rFonts w:ascii="Arial" w:hAnsi="Arial" w:cs="Arial"/>
          <w:sz w:val="24"/>
          <w:szCs w:val="24"/>
        </w:rPr>
        <w:t xml:space="preserve">; and (3)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do not afford the parties the possibility of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eliminating competition</w:t>
      </w:r>
      <w:r w:rsidRPr="00F2044C">
        <w:rPr>
          <w:rFonts w:ascii="Arial" w:hAnsi="Arial" w:cs="Arial"/>
          <w:sz w:val="24"/>
          <w:szCs w:val="24"/>
          <w:highlight w:val="yellow"/>
        </w:rPr>
        <w:t>.</w:t>
      </w:r>
    </w:p>
    <w:p w14:paraId="1EE9160C" w14:textId="77777777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>‘</w:t>
      </w:r>
      <w:r w:rsidRPr="00C065F4">
        <w:rPr>
          <w:rFonts w:ascii="Arial" w:hAnsi="Arial" w:cs="Arial"/>
          <w:b/>
          <w:bCs/>
          <w:sz w:val="24"/>
          <w:szCs w:val="24"/>
        </w:rPr>
        <w:t>Horizontal’ and ‘Vertical’ agreements</w:t>
      </w:r>
    </w:p>
    <w:p w14:paraId="6EFF8EEB" w14:textId="77777777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>The application of the Chapter I prohibition will differ depending on whether an arrangement is classed as a </w:t>
      </w:r>
      <w:r w:rsidRPr="00F2044C">
        <w:rPr>
          <w:rFonts w:ascii="Arial" w:hAnsi="Arial" w:cs="Arial"/>
          <w:sz w:val="24"/>
          <w:szCs w:val="24"/>
          <w:highlight w:val="yellow"/>
        </w:rPr>
        <w:t>'horizontal' or a 'vertical' agreement</w:t>
      </w:r>
      <w:r w:rsidRPr="006263E5">
        <w:rPr>
          <w:rFonts w:ascii="Arial" w:hAnsi="Arial" w:cs="Arial"/>
          <w:sz w:val="24"/>
          <w:szCs w:val="24"/>
        </w:rPr>
        <w:t xml:space="preserve">.  Agreements are classified as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 xml:space="preserve">vertical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if for the purposes of the agreement the parties operate at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different levels of the supply chain.</w:t>
      </w:r>
      <w:r w:rsidRPr="007C1A6A">
        <w:rPr>
          <w:rFonts w:ascii="Arial" w:hAnsi="Arial" w:cs="Arial"/>
          <w:b/>
          <w:bCs/>
          <w:sz w:val="24"/>
          <w:szCs w:val="24"/>
        </w:rPr>
        <w:t xml:space="preserve"> 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 xml:space="preserve">Horizontal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agreements, meanwhile, operate at the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same level of the supply chain</w:t>
      </w:r>
      <w:r w:rsidRPr="00F2044C">
        <w:rPr>
          <w:rFonts w:ascii="Arial" w:hAnsi="Arial" w:cs="Arial"/>
          <w:sz w:val="24"/>
          <w:szCs w:val="24"/>
          <w:highlight w:val="yellow"/>
        </w:rPr>
        <w:t>.</w:t>
      </w:r>
    </w:p>
    <w:p w14:paraId="109A050D" w14:textId="77777777" w:rsidR="00E440CA" w:rsidRPr="00E440CA" w:rsidRDefault="00932A5D">
      <w:pPr>
        <w:rPr>
          <w:rFonts w:ascii="Arial" w:hAnsi="Arial" w:cs="Arial"/>
          <w:b/>
          <w:bCs/>
          <w:sz w:val="24"/>
          <w:szCs w:val="24"/>
        </w:rPr>
      </w:pPr>
      <w:r w:rsidRPr="00E440CA">
        <w:rPr>
          <w:rFonts w:ascii="Arial" w:hAnsi="Arial" w:cs="Arial"/>
          <w:b/>
          <w:bCs/>
          <w:sz w:val="24"/>
          <w:szCs w:val="24"/>
        </w:rPr>
        <w:t>Horizontal Agreements</w:t>
      </w:r>
    </w:p>
    <w:p w14:paraId="5B3FA802" w14:textId="77777777" w:rsidR="00E440CA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The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Chapter I prohibition clearly controls the conditions under which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competitors</w:t>
      </w:r>
      <w:r w:rsidRPr="00E440CA">
        <w:rPr>
          <w:rFonts w:ascii="Arial" w:hAnsi="Arial" w:cs="Arial"/>
          <w:b/>
          <w:bCs/>
          <w:sz w:val="24"/>
          <w:szCs w:val="24"/>
        </w:rPr>
        <w:t xml:space="preserve"> </w:t>
      </w:r>
      <w:r w:rsidRPr="00F2044C">
        <w:rPr>
          <w:rFonts w:ascii="Arial" w:hAnsi="Arial" w:cs="Arial"/>
          <w:sz w:val="24"/>
          <w:szCs w:val="24"/>
          <w:highlight w:val="yellow"/>
        </w:rPr>
        <w:t>can co-operate under a horizontal agreement</w:t>
      </w:r>
      <w:r w:rsidRPr="006263E5">
        <w:rPr>
          <w:rFonts w:ascii="Arial" w:hAnsi="Arial" w:cs="Arial"/>
          <w:sz w:val="24"/>
          <w:szCs w:val="24"/>
        </w:rPr>
        <w:t xml:space="preserve"> – remembering that, under </w:t>
      </w:r>
      <w:r w:rsidRPr="00F2044C">
        <w:rPr>
          <w:rFonts w:ascii="Arial" w:hAnsi="Arial" w:cs="Arial"/>
          <w:sz w:val="24"/>
          <w:szCs w:val="24"/>
          <w:highlight w:val="yellow"/>
        </w:rPr>
        <w:t>normal market conditions, competitors can be expected to compete on a range of factors including price, product quality and innovation</w:t>
      </w:r>
      <w:r w:rsidRPr="006263E5">
        <w:rPr>
          <w:rFonts w:ascii="Arial" w:hAnsi="Arial" w:cs="Arial"/>
          <w:sz w:val="24"/>
          <w:szCs w:val="24"/>
        </w:rPr>
        <w:t>. </w:t>
      </w:r>
    </w:p>
    <w:p w14:paraId="71AD4A75" w14:textId="77777777" w:rsidR="002B1197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Examples of horizontal agreements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include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joint purchasing agreements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and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research and development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agreements made between competing enterprises</w:t>
      </w:r>
      <w:r w:rsidRPr="006263E5">
        <w:rPr>
          <w:rFonts w:ascii="Arial" w:hAnsi="Arial" w:cs="Arial"/>
          <w:sz w:val="24"/>
          <w:szCs w:val="24"/>
        </w:rPr>
        <w:t>.  Depending on their terms, these agreements may fall under exemptions.</w:t>
      </w:r>
    </w:p>
    <w:p w14:paraId="1F6CD333" w14:textId="3D72A193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F2044C">
        <w:rPr>
          <w:rFonts w:ascii="Arial" w:hAnsi="Arial" w:cs="Arial"/>
          <w:sz w:val="24"/>
          <w:szCs w:val="24"/>
          <w:highlight w:val="yellow"/>
        </w:rPr>
        <w:t xml:space="preserve">Horizontal agreements where the parties are aiming to fix prices or divide up customers or markets could lead to the creation of a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'cartel'</w:t>
      </w:r>
      <w:r w:rsidRPr="006263E5">
        <w:rPr>
          <w:rFonts w:ascii="Arial" w:hAnsi="Arial" w:cs="Arial"/>
          <w:sz w:val="24"/>
          <w:szCs w:val="24"/>
        </w:rPr>
        <w:t xml:space="preserve">: individuals involved in setting up a cartel will be guilty of a criminal offence. Where competitors cease to compete as a result of a cartel,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consumers have no choice but to pay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artificially high prices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or to accept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worse non-financial</w:t>
      </w:r>
      <w:r w:rsidRPr="00F2044C">
        <w:rPr>
          <w:rFonts w:ascii="Arial" w:hAnsi="Arial" w:cs="Arial"/>
          <w:sz w:val="24"/>
          <w:szCs w:val="24"/>
          <w:highlight w:val="yellow"/>
        </w:rPr>
        <w:t> conditions.</w:t>
      </w:r>
    </w:p>
    <w:p w14:paraId="2E9D8D06" w14:textId="77777777" w:rsidR="002B1197" w:rsidRDefault="00932A5D">
      <w:pPr>
        <w:rPr>
          <w:rFonts w:ascii="Arial" w:hAnsi="Arial" w:cs="Arial"/>
          <w:b/>
          <w:bCs/>
          <w:sz w:val="24"/>
          <w:szCs w:val="24"/>
        </w:rPr>
      </w:pPr>
      <w:r w:rsidRPr="002B1197">
        <w:rPr>
          <w:rFonts w:ascii="Arial" w:hAnsi="Arial" w:cs="Arial"/>
          <w:b/>
          <w:bCs/>
          <w:sz w:val="24"/>
          <w:szCs w:val="24"/>
        </w:rPr>
        <w:lastRenderedPageBreak/>
        <w:t>Vertical Agreements</w:t>
      </w:r>
    </w:p>
    <w:p w14:paraId="20652244" w14:textId="77777777" w:rsidR="002B1197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The Chapter I prohibition also controls the conditions under which parties can co-operate under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a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vertical agreement</w:t>
      </w:r>
      <w:r w:rsidRPr="00F2044C">
        <w:rPr>
          <w:rFonts w:ascii="Arial" w:hAnsi="Arial" w:cs="Arial"/>
          <w:sz w:val="24"/>
          <w:szCs w:val="24"/>
          <w:highlight w:val="yellow"/>
        </w:rPr>
        <w:t>.</w:t>
      </w:r>
      <w:r w:rsidRPr="006263E5">
        <w:rPr>
          <w:rFonts w:ascii="Arial" w:hAnsi="Arial" w:cs="Arial"/>
          <w:sz w:val="24"/>
          <w:szCs w:val="24"/>
        </w:rPr>
        <w:t> </w:t>
      </w:r>
    </w:p>
    <w:p w14:paraId="7E1CAD15" w14:textId="77777777" w:rsidR="007A09B8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One of the most common forms of vertical agreement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is the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distribution agreement</w:t>
      </w:r>
      <w:r w:rsidRPr="00F2044C">
        <w:rPr>
          <w:rFonts w:ascii="Arial" w:hAnsi="Arial" w:cs="Arial"/>
          <w:sz w:val="24"/>
          <w:szCs w:val="24"/>
          <w:highlight w:val="yellow"/>
        </w:rPr>
        <w:t>, between a supplier of products and a distributor who will buy the products and then sell them on to the end customers.</w:t>
      </w:r>
      <w:r w:rsidRPr="006263E5">
        <w:rPr>
          <w:rFonts w:ascii="Arial" w:hAnsi="Arial" w:cs="Arial"/>
          <w:sz w:val="24"/>
          <w:szCs w:val="24"/>
        </w:rPr>
        <w:t> </w:t>
      </w:r>
    </w:p>
    <w:p w14:paraId="128C6975" w14:textId="06622471" w:rsidR="007A09B8" w:rsidRDefault="00932A5D">
      <w:pPr>
        <w:rPr>
          <w:rFonts w:ascii="Arial" w:hAnsi="Arial" w:cs="Arial"/>
          <w:sz w:val="24"/>
          <w:szCs w:val="24"/>
        </w:rPr>
      </w:pPr>
      <w:r w:rsidRPr="00F2044C">
        <w:rPr>
          <w:rFonts w:ascii="Arial" w:hAnsi="Arial" w:cs="Arial"/>
          <w:sz w:val="24"/>
          <w:szCs w:val="24"/>
          <w:highlight w:val="yellow"/>
        </w:rPr>
        <w:t>Most vertical agreements will be drafted so as to benefit from a block exemption of the Chapter I prohibition.</w:t>
      </w:r>
    </w:p>
    <w:p w14:paraId="2CEF041A" w14:textId="7F7A5143" w:rsidR="004B36B4" w:rsidRPr="006263E5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Even where the block exemption does not apply the agreement will not necessarily fall foul of the Chapter I prohibition, however, the parties will need to consider the </w:t>
      </w:r>
      <w:r w:rsidRPr="00F2044C">
        <w:rPr>
          <w:rFonts w:ascii="Arial" w:hAnsi="Arial" w:cs="Arial"/>
          <w:sz w:val="24"/>
          <w:szCs w:val="24"/>
          <w:highlight w:val="yellow"/>
        </w:rPr>
        <w:t>extent to which the agreement might have the effect of restricting competition.</w:t>
      </w:r>
    </w:p>
    <w:p w14:paraId="2131A23A" w14:textId="77777777" w:rsidR="004B36B4" w:rsidRPr="006263E5" w:rsidRDefault="00932A5D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6263E5">
        <w:rPr>
          <w:rFonts w:ascii="Arial" w:hAnsi="Arial" w:cs="Arial"/>
          <w:color w:val="auto"/>
          <w:sz w:val="24"/>
          <w:szCs w:val="24"/>
        </w:rPr>
        <w:t>Competition law: Penalties</w:t>
      </w:r>
    </w:p>
    <w:p w14:paraId="686925C5" w14:textId="77777777" w:rsidR="007A09B8" w:rsidRDefault="00932A5D">
      <w:pPr>
        <w:rPr>
          <w:rFonts w:ascii="Arial" w:hAnsi="Arial" w:cs="Arial"/>
          <w:sz w:val="24"/>
          <w:szCs w:val="24"/>
        </w:rPr>
      </w:pPr>
      <w:r w:rsidRPr="006263E5">
        <w:rPr>
          <w:rFonts w:ascii="Arial" w:hAnsi="Arial" w:cs="Arial"/>
          <w:sz w:val="24"/>
          <w:szCs w:val="24"/>
        </w:rPr>
        <w:t xml:space="preserve">Breach of competition law can have </w:t>
      </w:r>
      <w:r w:rsidRPr="007A09B8">
        <w:rPr>
          <w:rFonts w:ascii="Arial" w:hAnsi="Arial" w:cs="Arial"/>
          <w:b/>
          <w:bCs/>
          <w:sz w:val="24"/>
          <w:szCs w:val="24"/>
        </w:rPr>
        <w:t>significant consequences</w:t>
      </w:r>
      <w:r w:rsidRPr="006263E5">
        <w:rPr>
          <w:rFonts w:ascii="Arial" w:hAnsi="Arial" w:cs="Arial"/>
          <w:sz w:val="24"/>
          <w:szCs w:val="24"/>
        </w:rPr>
        <w:t>: </w:t>
      </w:r>
    </w:p>
    <w:p w14:paraId="7461F8C4" w14:textId="77777777" w:rsidR="007A09B8" w:rsidRPr="00F2044C" w:rsidRDefault="00932A5D" w:rsidP="007A09B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highlight w:val="yellow"/>
        </w:rPr>
      </w:pPr>
      <w:r w:rsidRPr="007A09B8">
        <w:rPr>
          <w:rFonts w:ascii="Arial" w:hAnsi="Arial" w:cs="Arial"/>
          <w:sz w:val="24"/>
          <w:szCs w:val="24"/>
        </w:rPr>
        <w:t xml:space="preserve">The CMA can, for example, 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impose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significant fines</w:t>
      </w:r>
      <w:r w:rsidRPr="007A09B8">
        <w:rPr>
          <w:rFonts w:ascii="Arial" w:hAnsi="Arial" w:cs="Arial"/>
          <w:sz w:val="24"/>
          <w:szCs w:val="24"/>
        </w:rPr>
        <w:t xml:space="preserve"> (amounting to up to 10% of worldwide turnover for each infringement) </w:t>
      </w:r>
      <w:r w:rsidRPr="00F2044C">
        <w:rPr>
          <w:rFonts w:ascii="Arial" w:hAnsi="Arial" w:cs="Arial"/>
          <w:sz w:val="24"/>
          <w:szCs w:val="24"/>
          <w:highlight w:val="yellow"/>
        </w:rPr>
        <w:t>if the Chapter I or Chapter II prohibitions are breached. </w:t>
      </w:r>
    </w:p>
    <w:p w14:paraId="12A6843C" w14:textId="77777777" w:rsidR="007A09B8" w:rsidRPr="00F2044C" w:rsidRDefault="00932A5D" w:rsidP="007A09B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highlight w:val="yellow"/>
        </w:rPr>
      </w:pPr>
      <w:r w:rsidRPr="00F2044C">
        <w:rPr>
          <w:rFonts w:ascii="Arial" w:hAnsi="Arial" w:cs="Arial"/>
          <w:sz w:val="24"/>
          <w:szCs w:val="24"/>
          <w:highlight w:val="yellow"/>
        </w:rPr>
        <w:t>Directors might individually face: </w:t>
      </w:r>
    </w:p>
    <w:p w14:paraId="65290CB8" w14:textId="77777777" w:rsidR="007A09B8" w:rsidRPr="00F2044C" w:rsidRDefault="00932A5D" w:rsidP="007A09B8">
      <w:pPr>
        <w:pStyle w:val="ListParagraph"/>
        <w:numPr>
          <w:ilvl w:val="1"/>
          <w:numId w:val="18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fines; </w:t>
      </w:r>
    </w:p>
    <w:p w14:paraId="1058E9B2" w14:textId="77777777" w:rsidR="007A09B8" w:rsidRPr="00F2044C" w:rsidRDefault="00932A5D" w:rsidP="007A09B8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  <w:highlight w:val="yellow"/>
        </w:rPr>
      </w:pP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imprisonment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and/or </w:t>
      </w:r>
    </w:p>
    <w:p w14:paraId="39CB2693" w14:textId="77777777" w:rsidR="007A09B8" w:rsidRPr="007A09B8" w:rsidRDefault="00932A5D" w:rsidP="007A09B8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disqualification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from acting as a director</w:t>
      </w:r>
      <w:r w:rsidRPr="007A09B8">
        <w:rPr>
          <w:rFonts w:ascii="Arial" w:hAnsi="Arial" w:cs="Arial"/>
          <w:sz w:val="24"/>
          <w:szCs w:val="24"/>
        </w:rPr>
        <w:t>. </w:t>
      </w:r>
    </w:p>
    <w:p w14:paraId="1D83639D" w14:textId="77777777" w:rsidR="007A09B8" w:rsidRPr="007A09B8" w:rsidRDefault="00932A5D" w:rsidP="007A09B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A09B8">
        <w:rPr>
          <w:rFonts w:ascii="Arial" w:hAnsi="Arial" w:cs="Arial"/>
          <w:sz w:val="24"/>
          <w:szCs w:val="24"/>
        </w:rPr>
        <w:t xml:space="preserve">There might also be </w:t>
      </w: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civil liability</w:t>
      </w:r>
      <w:r w:rsidRPr="007A09B8">
        <w:rPr>
          <w:rFonts w:ascii="Arial" w:hAnsi="Arial" w:cs="Arial"/>
          <w:sz w:val="24"/>
          <w:szCs w:val="24"/>
        </w:rPr>
        <w:t>, with those affected bringing civil claims for damages. </w:t>
      </w:r>
    </w:p>
    <w:p w14:paraId="08294C69" w14:textId="57F6435E" w:rsidR="004B36B4" w:rsidRPr="007A09B8" w:rsidRDefault="00932A5D" w:rsidP="007A09B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2044C">
        <w:rPr>
          <w:rFonts w:ascii="Arial" w:hAnsi="Arial" w:cs="Arial"/>
          <w:b/>
          <w:bCs/>
          <w:sz w:val="24"/>
          <w:szCs w:val="24"/>
          <w:highlight w:val="yellow"/>
        </w:rPr>
        <w:t>Reputational damage</w:t>
      </w:r>
      <w:r w:rsidRPr="00F2044C">
        <w:rPr>
          <w:rFonts w:ascii="Arial" w:hAnsi="Arial" w:cs="Arial"/>
          <w:sz w:val="24"/>
          <w:szCs w:val="24"/>
          <w:highlight w:val="yellow"/>
        </w:rPr>
        <w:t xml:space="preserve"> might be significant</w:t>
      </w:r>
      <w:r w:rsidRPr="007A09B8">
        <w:rPr>
          <w:rFonts w:ascii="Arial" w:hAnsi="Arial" w:cs="Arial"/>
          <w:sz w:val="24"/>
          <w:szCs w:val="24"/>
        </w:rPr>
        <w:t xml:space="preserve"> (for both companies and their directors).</w:t>
      </w:r>
    </w:p>
    <w:p w14:paraId="4171D989" w14:textId="77777777" w:rsidR="007A09B8" w:rsidRPr="006263E5" w:rsidRDefault="007A09B8" w:rsidP="007A09B8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Summary</w:t>
      </w:r>
    </w:p>
    <w:p w14:paraId="62BEC7EB" w14:textId="77777777" w:rsidR="007A09B8" w:rsidRPr="007A09B8" w:rsidRDefault="00932A5D" w:rsidP="007A09B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7A09B8">
        <w:rPr>
          <w:rFonts w:ascii="Arial" w:hAnsi="Arial" w:cs="Arial"/>
          <w:sz w:val="24"/>
          <w:szCs w:val="24"/>
        </w:rPr>
        <w:t>Competition law is pervasive and covers anti-competitive agreements, abuse of a dominant position, merger control and subsidy control.</w:t>
      </w:r>
    </w:p>
    <w:p w14:paraId="1C70650B" w14:textId="77777777" w:rsidR="007A09B8" w:rsidRPr="007A09B8" w:rsidRDefault="00932A5D" w:rsidP="007A09B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7A09B8">
        <w:rPr>
          <w:rFonts w:ascii="Arial" w:hAnsi="Arial" w:cs="Arial"/>
          <w:sz w:val="24"/>
          <w:szCs w:val="24"/>
        </w:rPr>
        <w:t>The Chapter I prohibition will cause anti-competitive agreements or specific provisions within such agreements to be void – there are various exemptions that will apply differently to horizontal and vertical agreements.</w:t>
      </w:r>
    </w:p>
    <w:p w14:paraId="33651A9B" w14:textId="786A2DEA" w:rsidR="004B36B4" w:rsidRPr="007A09B8" w:rsidRDefault="00932A5D" w:rsidP="007A09B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7A09B8">
        <w:rPr>
          <w:rFonts w:ascii="Arial" w:hAnsi="Arial" w:cs="Arial"/>
          <w:sz w:val="24"/>
          <w:szCs w:val="24"/>
        </w:rPr>
        <w:t>Consequences of breaching competition law are potentially considerable and might result in fines; civil claims for damages; imprisonment; disqualification as a director; and reputational damage.</w:t>
      </w:r>
    </w:p>
    <w:sectPr w:rsidR="004B36B4" w:rsidRPr="007A0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BD6265"/>
    <w:multiLevelType w:val="hybridMultilevel"/>
    <w:tmpl w:val="EFA40FC8"/>
    <w:lvl w:ilvl="0" w:tplc="CA082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16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A4D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48A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DC1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80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50D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040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AEE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EE61AD9"/>
    <w:multiLevelType w:val="hybridMultilevel"/>
    <w:tmpl w:val="4D669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3154A"/>
    <w:multiLevelType w:val="hybridMultilevel"/>
    <w:tmpl w:val="DB641606"/>
    <w:lvl w:ilvl="0" w:tplc="522A6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401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FA1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9CF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94C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125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36C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FAA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0E6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8A2087A"/>
    <w:multiLevelType w:val="hybridMultilevel"/>
    <w:tmpl w:val="C5AA891E"/>
    <w:lvl w:ilvl="0" w:tplc="C95A3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82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648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A03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081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E2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84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948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D2A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D9A26BD"/>
    <w:multiLevelType w:val="hybridMultilevel"/>
    <w:tmpl w:val="CFD83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A18AE"/>
    <w:multiLevelType w:val="hybridMultilevel"/>
    <w:tmpl w:val="1AAEDF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60E5B"/>
    <w:multiLevelType w:val="hybridMultilevel"/>
    <w:tmpl w:val="ED18785E"/>
    <w:lvl w:ilvl="0" w:tplc="3984D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F4B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908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745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64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A84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504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CA2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FE8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6BC4A8F"/>
    <w:multiLevelType w:val="hybridMultilevel"/>
    <w:tmpl w:val="0A74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925E6"/>
    <w:multiLevelType w:val="hybridMultilevel"/>
    <w:tmpl w:val="5D36423C"/>
    <w:lvl w:ilvl="0" w:tplc="7136A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70B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A2B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2C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1EE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07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E0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BCA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D40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C645E69"/>
    <w:multiLevelType w:val="hybridMultilevel"/>
    <w:tmpl w:val="5864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540009">
    <w:abstractNumId w:val="8"/>
  </w:num>
  <w:num w:numId="2" w16cid:durableId="671833015">
    <w:abstractNumId w:val="6"/>
  </w:num>
  <w:num w:numId="3" w16cid:durableId="178354941">
    <w:abstractNumId w:val="5"/>
  </w:num>
  <w:num w:numId="4" w16cid:durableId="1740713547">
    <w:abstractNumId w:val="4"/>
  </w:num>
  <w:num w:numId="5" w16cid:durableId="1655185880">
    <w:abstractNumId w:val="7"/>
  </w:num>
  <w:num w:numId="6" w16cid:durableId="1484736048">
    <w:abstractNumId w:val="3"/>
  </w:num>
  <w:num w:numId="7" w16cid:durableId="1347829475">
    <w:abstractNumId w:val="2"/>
  </w:num>
  <w:num w:numId="8" w16cid:durableId="285501745">
    <w:abstractNumId w:val="1"/>
  </w:num>
  <w:num w:numId="9" w16cid:durableId="682438220">
    <w:abstractNumId w:val="0"/>
  </w:num>
  <w:num w:numId="10" w16cid:durableId="47919150">
    <w:abstractNumId w:val="11"/>
  </w:num>
  <w:num w:numId="11" w16cid:durableId="1934507136">
    <w:abstractNumId w:val="15"/>
  </w:num>
  <w:num w:numId="12" w16cid:durableId="802624461">
    <w:abstractNumId w:val="17"/>
  </w:num>
  <w:num w:numId="13" w16cid:durableId="178391322">
    <w:abstractNumId w:val="9"/>
  </w:num>
  <w:num w:numId="14" w16cid:durableId="1134101488">
    <w:abstractNumId w:val="12"/>
  </w:num>
  <w:num w:numId="15" w16cid:durableId="1773553853">
    <w:abstractNumId w:val="14"/>
  </w:num>
  <w:num w:numId="16" w16cid:durableId="1588229588">
    <w:abstractNumId w:val="10"/>
  </w:num>
  <w:num w:numId="17" w16cid:durableId="1151561311">
    <w:abstractNumId w:val="18"/>
  </w:num>
  <w:num w:numId="18" w16cid:durableId="2098364168">
    <w:abstractNumId w:val="13"/>
  </w:num>
  <w:num w:numId="19" w16cid:durableId="14030249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1197"/>
    <w:rsid w:val="00326F90"/>
    <w:rsid w:val="0040014D"/>
    <w:rsid w:val="004B36B4"/>
    <w:rsid w:val="004C77A2"/>
    <w:rsid w:val="006263E5"/>
    <w:rsid w:val="007A09B8"/>
    <w:rsid w:val="007C1A6A"/>
    <w:rsid w:val="00932A5D"/>
    <w:rsid w:val="00AA1D8D"/>
    <w:rsid w:val="00B47730"/>
    <w:rsid w:val="00C065F4"/>
    <w:rsid w:val="00CB0664"/>
    <w:rsid w:val="00E440CA"/>
    <w:rsid w:val="00F204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F9D8FE9-F8DF-4C1B-A7B4-B4B6071A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261A759551047A613B23BAD80F753" ma:contentTypeVersion="27" ma:contentTypeDescription="Create a new document." ma:contentTypeScope="" ma:versionID="5ff49cbf6eefd5e5e362fc3f849bbe28">
  <xsd:schema xmlns:xsd="http://www.w3.org/2001/XMLSchema" xmlns:xs="http://www.w3.org/2001/XMLSchema" xmlns:p="http://schemas.microsoft.com/office/2006/metadata/properties" xmlns:ns2="afb2d85d-35d9-45b8-bfaa-3edd9cbc3488" xmlns:ns3="d7593786-a1cc-4346-bf19-2acfb37ece19" xmlns:ns4="c839ac5d-a8d8-4c0b-bff0-15d0217b8558" targetNamespace="http://schemas.microsoft.com/office/2006/metadata/properties" ma:root="true" ma:fieldsID="85c9ee7a98b34bad76992d11abc196ac" ns2:_="" ns3:_="" ns4:_="">
    <xsd:import namespace="afb2d85d-35d9-45b8-bfaa-3edd9cbc3488"/>
    <xsd:import namespace="d7593786-a1cc-4346-bf19-2acfb37ece19"/>
    <xsd:import namespace="c839ac5d-a8d8-4c0b-bff0-15d0217b85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Location" minOccurs="0"/>
                <xsd:element ref="ns2:bf396621-0565-4d98-9f36-20a47710d3ccCountryOrRegion" minOccurs="0"/>
                <xsd:element ref="ns2:bf396621-0565-4d98-9f36-20a47710d3ccState" minOccurs="0"/>
                <xsd:element ref="ns2:bf396621-0565-4d98-9f36-20a47710d3ccCity" minOccurs="0"/>
                <xsd:element ref="ns2:bf396621-0565-4d98-9f36-20a47710d3ccPostalCode" minOccurs="0"/>
                <xsd:element ref="ns2:bf396621-0565-4d98-9f36-20a47710d3ccStreet" minOccurs="0"/>
                <xsd:element ref="ns2:bf396621-0565-4d98-9f36-20a47710d3ccGeoLoc" minOccurs="0"/>
                <xsd:element ref="ns2:bf396621-0565-4d98-9f36-20a47710d3ccDispNam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2d85d-35d9-45b8-bfaa-3edd9cbc3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ocation" ma:index="24" nillable="true" ma:displayName="Location" ma:format="Dropdown" ma:internalName="Location">
      <xsd:simpleType>
        <xsd:restriction base="dms:Unknown"/>
      </xsd:simpleType>
    </xsd:element>
    <xsd:element name="bf396621-0565-4d98-9f36-20a47710d3ccCountryOrRegion" ma:index="25" nillable="true" ma:displayName="Location: Country/Region" ma:internalName="CountryOrRegion" ma:readOnly="true">
      <xsd:simpleType>
        <xsd:restriction base="dms:Text"/>
      </xsd:simpleType>
    </xsd:element>
    <xsd:element name="bf396621-0565-4d98-9f36-20a47710d3ccState" ma:index="26" nillable="true" ma:displayName="Location: State" ma:internalName="State" ma:readOnly="true">
      <xsd:simpleType>
        <xsd:restriction base="dms:Text"/>
      </xsd:simpleType>
    </xsd:element>
    <xsd:element name="bf396621-0565-4d98-9f36-20a47710d3ccCity" ma:index="27" nillable="true" ma:displayName="Location: City" ma:internalName="City" ma:readOnly="true">
      <xsd:simpleType>
        <xsd:restriction base="dms:Text"/>
      </xsd:simpleType>
    </xsd:element>
    <xsd:element name="bf396621-0565-4d98-9f36-20a47710d3ccPostalCode" ma:index="28" nillable="true" ma:displayName="Location: Postal Code" ma:internalName="PostalCode" ma:readOnly="true">
      <xsd:simpleType>
        <xsd:restriction base="dms:Text"/>
      </xsd:simpleType>
    </xsd:element>
    <xsd:element name="bf396621-0565-4d98-9f36-20a47710d3ccStreet" ma:index="29" nillable="true" ma:displayName="Location: Street" ma:internalName="Street" ma:readOnly="true">
      <xsd:simpleType>
        <xsd:restriction base="dms:Text"/>
      </xsd:simpleType>
    </xsd:element>
    <xsd:element name="bf396621-0565-4d98-9f36-20a47710d3ccGeoLoc" ma:index="30" nillable="true" ma:displayName="Location: Coordinates" ma:internalName="GeoLoc" ma:readOnly="true">
      <xsd:simpleType>
        <xsd:restriction base="dms:Unknown"/>
      </xsd:simpleType>
    </xsd:element>
    <xsd:element name="bf396621-0565-4d98-9f36-20a47710d3ccDispName" ma:index="31" nillable="true" ma:displayName="Location: Name" ma:internalName="DispName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3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93786-a1cc-4346-bf19-2acfb37ec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ac5d-a8d8-4c0b-bff0-15d0217b855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3cb42c7-5f6e-40d4-a90f-32dd9d0d3e0e}" ma:internalName="TaxCatchAll" ma:showField="CatchAllData" ma:web="c839ac5d-a8d8-4c0b-bff0-15d0217b85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b2d85d-35d9-45b8-bfaa-3edd9cbc3488">
      <Terms xmlns="http://schemas.microsoft.com/office/infopath/2007/PartnerControls"/>
    </lcf76f155ced4ddcb4097134ff3c332f>
    <Location xmlns="afb2d85d-35d9-45b8-bfaa-3edd9cbc3488" xsi:nil="true"/>
    <TaxCatchAll xmlns="c839ac5d-a8d8-4c0b-bff0-15d0217b855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73F5B2-332D-41DF-8CD8-A17E57B0B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2d85d-35d9-45b8-bfaa-3edd9cbc3488"/>
    <ds:schemaRef ds:uri="d7593786-a1cc-4346-bf19-2acfb37ece19"/>
    <ds:schemaRef ds:uri="c839ac5d-a8d8-4c0b-bff0-15d0217b8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18FFEA-57AF-49A2-8144-2036C5781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FB1736-2564-4ADF-BAD0-645999A0DAD0}">
  <ds:schemaRefs>
    <ds:schemaRef ds:uri="http://schemas.microsoft.com/office/2006/metadata/properties"/>
    <ds:schemaRef ds:uri="http://schemas.microsoft.com/office/infopath/2007/PartnerControls"/>
    <ds:schemaRef ds:uri="afb2d85d-35d9-45b8-bfaa-3edd9cbc3488"/>
    <ds:schemaRef ds:uri="c839ac5d-a8d8-4c0b-bff0-15d0217b85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Giulia Ricci</cp:lastModifiedBy>
  <cp:revision>10</cp:revision>
  <dcterms:created xsi:type="dcterms:W3CDTF">2013-12-23T23:15:00Z</dcterms:created>
  <dcterms:modified xsi:type="dcterms:W3CDTF">2025-05-26T17:20:00Z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0x010100EC0261A759551047A613B23BAD80F753</vt:lpwstr>
  </property>
  <property fmtid="{D5CDD505-2E9C-101B-9397-08002B2CF9AE}" pid="3" name="MediaServiceImageTags">
    <vt:lpwstr/>
  </property>
</Properties>
</file>