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3E527" w14:textId="77777777" w:rsidR="00A73E9C" w:rsidRPr="00621EA2" w:rsidRDefault="00000000">
      <w:pPr>
        <w:rPr>
          <w:rFonts w:ascii="Arial" w:hAnsi="Arial" w:cs="Arial"/>
          <w:b/>
          <w:bCs/>
          <w:sz w:val="24"/>
          <w:szCs w:val="24"/>
        </w:rPr>
      </w:pPr>
      <w:r w:rsidRPr="00621EA2">
        <w:rPr>
          <w:rFonts w:ascii="Arial" w:hAnsi="Arial" w:cs="Arial"/>
          <w:b/>
          <w:bCs/>
          <w:sz w:val="24"/>
          <w:szCs w:val="24"/>
        </w:rPr>
        <w:t>Private equity funds and the typical structure of private equity backed acquisition</w:t>
      </w:r>
    </w:p>
    <w:p w14:paraId="0D8B052D" w14:textId="77777777" w:rsidR="00A73E9C" w:rsidRPr="00621EA2" w:rsidRDefault="00000000">
      <w:pPr>
        <w:rPr>
          <w:rFonts w:ascii="Arial" w:hAnsi="Arial" w:cs="Arial"/>
          <w:sz w:val="24"/>
          <w:szCs w:val="24"/>
        </w:rPr>
      </w:pPr>
      <w:r w:rsidRPr="00621EA2">
        <w:rPr>
          <w:rFonts w:ascii="Arial" w:hAnsi="Arial" w:cs="Arial"/>
          <w:sz w:val="24"/>
          <w:szCs w:val="24"/>
        </w:rPr>
        <w:t>This section will focus on the purchase of the business and assets or the issued share capital of a company by a private equity fund. It will be funded by equity from the private equity fund together with a management team and further funding from banks or other institutional lenders</w:t>
      </w:r>
    </w:p>
    <w:p w14:paraId="494A058E" w14:textId="77777777" w:rsidR="00621EA2" w:rsidRDefault="00000000" w:rsidP="00621EA2">
      <w:pPr>
        <w:rPr>
          <w:rFonts w:ascii="Arial" w:hAnsi="Arial" w:cs="Arial"/>
          <w:b/>
          <w:bCs/>
          <w:sz w:val="24"/>
          <w:szCs w:val="24"/>
        </w:rPr>
      </w:pPr>
      <w:r w:rsidRPr="00621EA2">
        <w:rPr>
          <w:rFonts w:ascii="Arial" w:hAnsi="Arial" w:cs="Arial"/>
          <w:b/>
          <w:bCs/>
          <w:sz w:val="24"/>
          <w:szCs w:val="24"/>
        </w:rPr>
        <w:t>Introduction</w:t>
      </w:r>
    </w:p>
    <w:p w14:paraId="3D28A9F1" w14:textId="77777777" w:rsidR="00621EA2" w:rsidRDefault="00000000" w:rsidP="00621EA2">
      <w:pPr>
        <w:rPr>
          <w:rFonts w:ascii="Arial" w:hAnsi="Arial" w:cs="Arial"/>
          <w:sz w:val="24"/>
          <w:szCs w:val="24"/>
        </w:rPr>
      </w:pPr>
      <w:r w:rsidRPr="00621EA2">
        <w:rPr>
          <w:rFonts w:ascii="Arial" w:hAnsi="Arial" w:cs="Arial"/>
          <w:sz w:val="24"/>
          <w:szCs w:val="24"/>
        </w:rPr>
        <w:t>A Private Equity Fund (</w:t>
      </w:r>
      <w:r w:rsidRPr="00621EA2">
        <w:rPr>
          <w:rFonts w:ascii="Arial" w:hAnsi="Arial" w:cs="Arial"/>
          <w:b/>
          <w:bCs/>
          <w:sz w:val="24"/>
          <w:szCs w:val="24"/>
        </w:rPr>
        <w:t>PE Fund</w:t>
      </w:r>
      <w:r w:rsidRPr="00621EA2">
        <w:rPr>
          <w:rFonts w:ascii="Arial" w:hAnsi="Arial" w:cs="Arial"/>
          <w:sz w:val="24"/>
          <w:szCs w:val="24"/>
        </w:rPr>
        <w:t xml:space="preserve">) </w:t>
      </w:r>
      <w:proofErr w:type="gramStart"/>
      <w:r w:rsidRPr="00621EA2">
        <w:rPr>
          <w:rFonts w:ascii="Arial" w:hAnsi="Arial" w:cs="Arial"/>
          <w:sz w:val="24"/>
          <w:szCs w:val="24"/>
        </w:rPr>
        <w:t>is:</w:t>
      </w:r>
      <w:proofErr w:type="gramEnd"/>
      <w:r w:rsidRPr="00621EA2">
        <w:rPr>
          <w:rFonts w:ascii="Arial" w:hAnsi="Arial" w:cs="Arial"/>
          <w:sz w:val="24"/>
          <w:szCs w:val="24"/>
        </w:rPr>
        <w:t xml:space="preserve"> fund set up for the purposes of investing in unlisted securities.</w:t>
      </w:r>
    </w:p>
    <w:p w14:paraId="25F67BA6" w14:textId="77777777" w:rsidR="00621EA2" w:rsidRDefault="00000000" w:rsidP="00621EA2">
      <w:pPr>
        <w:rPr>
          <w:rFonts w:ascii="Arial" w:hAnsi="Arial" w:cs="Arial"/>
          <w:sz w:val="24"/>
          <w:szCs w:val="24"/>
        </w:rPr>
      </w:pPr>
      <w:r w:rsidRPr="00621EA2">
        <w:rPr>
          <w:rFonts w:ascii="Arial" w:hAnsi="Arial" w:cs="Arial"/>
          <w:sz w:val="24"/>
          <w:szCs w:val="24"/>
        </w:rPr>
        <w:t>Note: This may include ‘taking private’ a listed company through a successful takeover process.</w:t>
      </w:r>
    </w:p>
    <w:p w14:paraId="12249030" w14:textId="77777777" w:rsidR="00621EA2" w:rsidRPr="00621EA2" w:rsidRDefault="00000000" w:rsidP="00621EA2">
      <w:pPr>
        <w:rPr>
          <w:rFonts w:ascii="Arial" w:hAnsi="Arial" w:cs="Arial"/>
          <w:sz w:val="24"/>
          <w:szCs w:val="24"/>
        </w:rPr>
      </w:pPr>
      <w:r w:rsidRPr="00621EA2">
        <w:rPr>
          <w:rFonts w:ascii="Arial" w:hAnsi="Arial" w:cs="Arial"/>
          <w:sz w:val="24"/>
          <w:szCs w:val="24"/>
        </w:rPr>
        <w:t>In its simplest form, a private equity fund (the ‘</w:t>
      </w:r>
      <w:r w:rsidRPr="00621EA2">
        <w:rPr>
          <w:rFonts w:ascii="Arial" w:hAnsi="Arial" w:cs="Arial"/>
          <w:b/>
          <w:bCs/>
          <w:sz w:val="24"/>
          <w:szCs w:val="24"/>
        </w:rPr>
        <w:t>Fund</w:t>
      </w:r>
      <w:r w:rsidRPr="00621EA2">
        <w:rPr>
          <w:rFonts w:ascii="Arial" w:hAnsi="Arial" w:cs="Arial"/>
          <w:sz w:val="24"/>
          <w:szCs w:val="24"/>
        </w:rPr>
        <w:t xml:space="preserve">’) gathers money from </w:t>
      </w:r>
      <w:proofErr w:type="gramStart"/>
      <w:r w:rsidRPr="00621EA2">
        <w:rPr>
          <w:rFonts w:ascii="Arial" w:hAnsi="Arial" w:cs="Arial"/>
          <w:sz w:val="24"/>
          <w:szCs w:val="24"/>
        </w:rPr>
        <w:t>a number of</w:t>
      </w:r>
      <w:proofErr w:type="gramEnd"/>
      <w:r w:rsidRPr="00621EA2">
        <w:rPr>
          <w:rFonts w:ascii="Arial" w:hAnsi="Arial" w:cs="Arial"/>
          <w:sz w:val="24"/>
          <w:szCs w:val="24"/>
        </w:rPr>
        <w:t xml:space="preserve"> different investors and then seeks out opportunities for investing that money in order to make a return (both in income and capital growth) on that money, for the investors. Investors in private equity funds include high net worth individuals and institutional investors such as banks, pension funds and insurance companies. At any time, a single Fund will hold investments (usually shares and loan notes) in </w:t>
      </w:r>
      <w:proofErr w:type="gramStart"/>
      <w:r w:rsidRPr="00621EA2">
        <w:rPr>
          <w:rFonts w:ascii="Arial" w:hAnsi="Arial" w:cs="Arial"/>
          <w:sz w:val="24"/>
          <w:szCs w:val="24"/>
        </w:rPr>
        <w:t>a number of</w:t>
      </w:r>
      <w:proofErr w:type="gramEnd"/>
      <w:r w:rsidRPr="00621EA2">
        <w:rPr>
          <w:rFonts w:ascii="Arial" w:hAnsi="Arial" w:cs="Arial"/>
          <w:sz w:val="24"/>
          <w:szCs w:val="24"/>
        </w:rPr>
        <w:t xml:space="preserve"> different companies.  </w:t>
      </w:r>
    </w:p>
    <w:p w14:paraId="3F97D7A5" w14:textId="77777777" w:rsidR="00621EA2" w:rsidRDefault="00000000" w:rsidP="00621EA2">
      <w:pPr>
        <w:rPr>
          <w:rFonts w:ascii="Arial" w:hAnsi="Arial" w:cs="Arial"/>
          <w:sz w:val="24"/>
          <w:szCs w:val="24"/>
        </w:rPr>
      </w:pPr>
      <w:r w:rsidRPr="00621EA2">
        <w:rPr>
          <w:rFonts w:ascii="Arial" w:hAnsi="Arial" w:cs="Arial"/>
          <w:sz w:val="24"/>
          <w:szCs w:val="24"/>
        </w:rPr>
        <w:t xml:space="preserve">These companies are commonly referred to as the Fund’s ‘portfolio </w:t>
      </w:r>
      <w:proofErr w:type="gramStart"/>
      <w:r w:rsidRPr="00621EA2">
        <w:rPr>
          <w:rFonts w:ascii="Arial" w:hAnsi="Arial" w:cs="Arial"/>
          <w:sz w:val="24"/>
          <w:szCs w:val="24"/>
        </w:rPr>
        <w:t>companies’</w:t>
      </w:r>
      <w:proofErr w:type="gramEnd"/>
      <w:r w:rsidRPr="00621EA2">
        <w:rPr>
          <w:rFonts w:ascii="Arial" w:hAnsi="Arial" w:cs="Arial"/>
          <w:sz w:val="24"/>
          <w:szCs w:val="24"/>
        </w:rPr>
        <w:t>.</w:t>
      </w:r>
    </w:p>
    <w:p w14:paraId="3D11B48C" w14:textId="77777777" w:rsidR="00621EA2" w:rsidRDefault="00000000" w:rsidP="00621EA2">
      <w:pPr>
        <w:rPr>
          <w:rFonts w:ascii="Arial" w:hAnsi="Arial" w:cs="Arial"/>
          <w:sz w:val="24"/>
          <w:szCs w:val="24"/>
        </w:rPr>
      </w:pPr>
      <w:r w:rsidRPr="00621EA2">
        <w:rPr>
          <w:rFonts w:ascii="Arial" w:hAnsi="Arial" w:cs="Arial"/>
          <w:sz w:val="24"/>
          <w:szCs w:val="24"/>
        </w:rPr>
        <w:t xml:space="preserve">A Private Equity “House” will have </w:t>
      </w:r>
      <w:proofErr w:type="gramStart"/>
      <w:r w:rsidRPr="00621EA2">
        <w:rPr>
          <w:rFonts w:ascii="Arial" w:hAnsi="Arial" w:cs="Arial"/>
          <w:sz w:val="24"/>
          <w:szCs w:val="24"/>
        </w:rPr>
        <w:t>a number of</w:t>
      </w:r>
      <w:proofErr w:type="gramEnd"/>
      <w:r w:rsidRPr="00621EA2">
        <w:rPr>
          <w:rFonts w:ascii="Arial" w:hAnsi="Arial" w:cs="Arial"/>
          <w:sz w:val="24"/>
          <w:szCs w:val="24"/>
        </w:rPr>
        <w:t xml:space="preserve"> PE Funds all at different stages of the life cycle of a fund e.g. </w:t>
      </w:r>
    </w:p>
    <w:p w14:paraId="51404682" w14:textId="77777777" w:rsidR="00621EA2" w:rsidRPr="00621EA2" w:rsidRDefault="00000000" w:rsidP="00621EA2">
      <w:pPr>
        <w:pStyle w:val="ListParagraph"/>
        <w:numPr>
          <w:ilvl w:val="0"/>
          <w:numId w:val="10"/>
        </w:numPr>
        <w:rPr>
          <w:rFonts w:ascii="Arial" w:hAnsi="Arial" w:cs="Arial"/>
          <w:sz w:val="24"/>
          <w:szCs w:val="24"/>
        </w:rPr>
      </w:pPr>
      <w:proofErr w:type="gramStart"/>
      <w:r w:rsidRPr="00621EA2">
        <w:rPr>
          <w:rFonts w:ascii="Arial" w:hAnsi="Arial" w:cs="Arial"/>
          <w:sz w:val="24"/>
          <w:szCs w:val="24"/>
        </w:rPr>
        <w:t>Fundraising;</w:t>
      </w:r>
      <w:proofErr w:type="gramEnd"/>
    </w:p>
    <w:p w14:paraId="40DE9285" w14:textId="77777777" w:rsidR="00621EA2" w:rsidRPr="00621EA2" w:rsidRDefault="00000000" w:rsidP="00621EA2">
      <w:pPr>
        <w:pStyle w:val="ListParagraph"/>
        <w:numPr>
          <w:ilvl w:val="0"/>
          <w:numId w:val="10"/>
        </w:numPr>
        <w:rPr>
          <w:rFonts w:ascii="Arial" w:hAnsi="Arial" w:cs="Arial"/>
          <w:sz w:val="24"/>
          <w:szCs w:val="24"/>
        </w:rPr>
      </w:pPr>
      <w:proofErr w:type="gramStart"/>
      <w:r w:rsidRPr="00621EA2">
        <w:rPr>
          <w:rFonts w:ascii="Arial" w:hAnsi="Arial" w:cs="Arial"/>
          <w:sz w:val="24"/>
          <w:szCs w:val="24"/>
        </w:rPr>
        <w:t>Acquisition;</w:t>
      </w:r>
      <w:proofErr w:type="gramEnd"/>
    </w:p>
    <w:p w14:paraId="71148AB4" w14:textId="77777777" w:rsidR="00621EA2" w:rsidRPr="00621EA2" w:rsidRDefault="00000000" w:rsidP="00621EA2">
      <w:pPr>
        <w:pStyle w:val="ListParagraph"/>
        <w:numPr>
          <w:ilvl w:val="0"/>
          <w:numId w:val="10"/>
        </w:numPr>
        <w:rPr>
          <w:rFonts w:ascii="Arial" w:hAnsi="Arial" w:cs="Arial"/>
          <w:sz w:val="24"/>
          <w:szCs w:val="24"/>
        </w:rPr>
      </w:pPr>
      <w:proofErr w:type="gramStart"/>
      <w:r w:rsidRPr="00621EA2">
        <w:rPr>
          <w:rFonts w:ascii="Arial" w:hAnsi="Arial" w:cs="Arial"/>
          <w:sz w:val="24"/>
          <w:szCs w:val="24"/>
        </w:rPr>
        <w:t>Operation;</w:t>
      </w:r>
      <w:proofErr w:type="gramEnd"/>
    </w:p>
    <w:p w14:paraId="2DAC3A20" w14:textId="77777777" w:rsidR="00621EA2" w:rsidRPr="00621EA2" w:rsidRDefault="00000000" w:rsidP="00621EA2">
      <w:pPr>
        <w:pStyle w:val="ListParagraph"/>
        <w:numPr>
          <w:ilvl w:val="0"/>
          <w:numId w:val="10"/>
        </w:numPr>
        <w:rPr>
          <w:rFonts w:ascii="Arial" w:hAnsi="Arial" w:cs="Arial"/>
          <w:sz w:val="24"/>
          <w:szCs w:val="24"/>
        </w:rPr>
      </w:pPr>
      <w:r w:rsidRPr="00621EA2">
        <w:rPr>
          <w:rFonts w:ascii="Arial" w:hAnsi="Arial" w:cs="Arial"/>
          <w:sz w:val="24"/>
          <w:szCs w:val="24"/>
        </w:rPr>
        <w:t>Exit; and</w:t>
      </w:r>
    </w:p>
    <w:p w14:paraId="3E7D666C" w14:textId="77777777" w:rsidR="00621EA2" w:rsidRPr="00621EA2" w:rsidRDefault="00000000" w:rsidP="00621EA2">
      <w:pPr>
        <w:pStyle w:val="ListParagraph"/>
        <w:numPr>
          <w:ilvl w:val="0"/>
          <w:numId w:val="10"/>
        </w:numPr>
        <w:rPr>
          <w:rFonts w:ascii="Arial" w:hAnsi="Arial" w:cs="Arial"/>
          <w:sz w:val="24"/>
          <w:szCs w:val="24"/>
        </w:rPr>
      </w:pPr>
      <w:r w:rsidRPr="00621EA2">
        <w:rPr>
          <w:rFonts w:ascii="Arial" w:hAnsi="Arial" w:cs="Arial"/>
          <w:sz w:val="24"/>
          <w:szCs w:val="24"/>
        </w:rPr>
        <w:t>Return on proceeds and winding up.</w:t>
      </w:r>
    </w:p>
    <w:p w14:paraId="6FCD1197" w14:textId="54904A40" w:rsidR="00A73E9C" w:rsidRPr="00621EA2" w:rsidRDefault="00000000" w:rsidP="00621EA2">
      <w:pPr>
        <w:rPr>
          <w:rFonts w:ascii="Arial" w:hAnsi="Arial" w:cs="Arial"/>
          <w:sz w:val="24"/>
          <w:szCs w:val="24"/>
        </w:rPr>
      </w:pPr>
      <w:r w:rsidRPr="00621EA2">
        <w:rPr>
          <w:rFonts w:ascii="Arial" w:hAnsi="Arial" w:cs="Arial"/>
          <w:sz w:val="24"/>
          <w:szCs w:val="24"/>
        </w:rPr>
        <w:t>Throughout this knowledge stream we will refer to a PE Fund rather than PE houses for simplicity.</w:t>
      </w:r>
    </w:p>
    <w:p w14:paraId="66EDAE4C" w14:textId="77777777" w:rsidR="00DC74E4" w:rsidRPr="00DC74E4" w:rsidRDefault="00DC74E4" w:rsidP="00DC74E4">
      <w:pPr>
        <w:rPr>
          <w:rFonts w:ascii="Arial" w:hAnsi="Arial" w:cs="Arial"/>
          <w:b/>
          <w:bCs/>
          <w:sz w:val="24"/>
          <w:szCs w:val="24"/>
        </w:rPr>
      </w:pPr>
      <w:r w:rsidRPr="00DC74E4">
        <w:rPr>
          <w:rFonts w:ascii="Arial" w:hAnsi="Arial" w:cs="Arial"/>
          <w:b/>
          <w:bCs/>
          <w:sz w:val="24"/>
          <w:szCs w:val="24"/>
        </w:rPr>
        <w:t>What fund vehicle is used for a PE Fund?</w:t>
      </w:r>
    </w:p>
    <w:p w14:paraId="51E5804F" w14:textId="77777777" w:rsidR="00DC74E4" w:rsidRDefault="00000000">
      <w:pPr>
        <w:rPr>
          <w:rFonts w:ascii="Arial" w:hAnsi="Arial" w:cs="Arial"/>
          <w:sz w:val="24"/>
          <w:szCs w:val="24"/>
        </w:rPr>
      </w:pPr>
      <w:r w:rsidRPr="00621EA2">
        <w:rPr>
          <w:rFonts w:ascii="Arial" w:hAnsi="Arial" w:cs="Arial"/>
          <w:sz w:val="24"/>
          <w:szCs w:val="24"/>
        </w:rPr>
        <w:t xml:space="preserve">The typical structure used by a PE Fund in the UK is </w:t>
      </w:r>
      <w:proofErr w:type="gramStart"/>
      <w:r w:rsidRPr="00621EA2">
        <w:rPr>
          <w:rFonts w:ascii="Arial" w:hAnsi="Arial" w:cs="Arial"/>
          <w:sz w:val="24"/>
          <w:szCs w:val="24"/>
        </w:rPr>
        <w:t>a:Limited</w:t>
      </w:r>
      <w:proofErr w:type="gramEnd"/>
      <w:r w:rsidRPr="00621EA2">
        <w:rPr>
          <w:rFonts w:ascii="Arial" w:hAnsi="Arial" w:cs="Arial"/>
          <w:sz w:val="24"/>
          <w:szCs w:val="24"/>
        </w:rPr>
        <w:t xml:space="preserve"> Partnership</w:t>
      </w:r>
    </w:p>
    <w:p w14:paraId="252CEEF7" w14:textId="77777777" w:rsidR="00DC74E4" w:rsidRDefault="00000000">
      <w:pPr>
        <w:rPr>
          <w:rFonts w:ascii="Arial" w:hAnsi="Arial" w:cs="Arial"/>
          <w:sz w:val="24"/>
          <w:szCs w:val="24"/>
        </w:rPr>
      </w:pPr>
      <w:r w:rsidRPr="00621EA2">
        <w:rPr>
          <w:rFonts w:ascii="Arial" w:hAnsi="Arial" w:cs="Arial"/>
          <w:sz w:val="24"/>
          <w:szCs w:val="24"/>
        </w:rPr>
        <w:t>The detail of this structure is discussed in detail in the next section of this knowledge stream</w:t>
      </w:r>
    </w:p>
    <w:p w14:paraId="2928C332" w14:textId="09C351FC" w:rsidR="00A73E9C" w:rsidRPr="00621EA2" w:rsidRDefault="00000000">
      <w:pPr>
        <w:rPr>
          <w:rFonts w:ascii="Arial" w:hAnsi="Arial" w:cs="Arial"/>
          <w:sz w:val="24"/>
          <w:szCs w:val="24"/>
        </w:rPr>
      </w:pPr>
      <w:r w:rsidRPr="00621EA2">
        <w:rPr>
          <w:rFonts w:ascii="Arial" w:hAnsi="Arial" w:cs="Arial"/>
          <w:sz w:val="24"/>
          <w:szCs w:val="24"/>
        </w:rPr>
        <w:lastRenderedPageBreak/>
        <w:t xml:space="preserve">The key elements of the structure </w:t>
      </w:r>
      <w:proofErr w:type="gramStart"/>
      <w:r w:rsidRPr="00621EA2">
        <w:rPr>
          <w:rFonts w:ascii="Arial" w:hAnsi="Arial" w:cs="Arial"/>
          <w:sz w:val="24"/>
          <w:szCs w:val="24"/>
        </w:rPr>
        <w:t>are :</w:t>
      </w:r>
      <w:proofErr w:type="gramEnd"/>
    </w:p>
    <w:p w14:paraId="62AD020A" w14:textId="7520E7CB" w:rsidR="00DC74E4" w:rsidRPr="00DC74E4" w:rsidRDefault="00DC74E4" w:rsidP="00DC74E4">
      <w:pPr>
        <w:pStyle w:val="ListParagraph"/>
        <w:numPr>
          <w:ilvl w:val="0"/>
          <w:numId w:val="11"/>
        </w:numPr>
        <w:rPr>
          <w:rFonts w:ascii="Arial" w:hAnsi="Arial" w:cs="Arial"/>
          <w:sz w:val="24"/>
          <w:szCs w:val="24"/>
        </w:rPr>
      </w:pPr>
      <w:r w:rsidRPr="00DC74E4">
        <w:rPr>
          <w:rFonts w:ascii="Arial" w:hAnsi="Arial" w:cs="Arial"/>
          <w:sz w:val="24"/>
          <w:szCs w:val="24"/>
          <w:lang w:val="en-GB"/>
        </w:rPr>
        <w:t xml:space="preserve">A </w:t>
      </w:r>
      <w:r w:rsidRPr="00DC74E4">
        <w:rPr>
          <w:rFonts w:ascii="Arial" w:hAnsi="Arial" w:cs="Arial"/>
          <w:b/>
          <w:bCs/>
          <w:sz w:val="24"/>
          <w:szCs w:val="24"/>
          <w:lang w:val="en-GB"/>
        </w:rPr>
        <w:t xml:space="preserve">General Partner </w:t>
      </w:r>
      <w:r w:rsidRPr="00DC74E4">
        <w:rPr>
          <w:rFonts w:ascii="Arial" w:hAnsi="Arial" w:cs="Arial"/>
          <w:sz w:val="24"/>
          <w:szCs w:val="24"/>
          <w:lang w:val="en-GB"/>
        </w:rPr>
        <w:t>(GP)</w:t>
      </w:r>
      <w:r w:rsidRPr="00DC74E4">
        <w:rPr>
          <w:rFonts w:ascii="Arial" w:hAnsi="Arial" w:cs="Arial"/>
          <w:sz w:val="24"/>
          <w:szCs w:val="24"/>
          <w:lang w:val="en-GB"/>
        </w:rPr>
        <w:t>:</w:t>
      </w:r>
      <w:r w:rsidRPr="00DC74E4">
        <w:rPr>
          <w:rFonts w:hAnsi="Arial"/>
          <w:color w:val="000000" w:themeColor="text1"/>
          <w:kern w:val="24"/>
          <w:sz w:val="24"/>
          <w:szCs w:val="24"/>
          <w:lang w:val="en-GB" w:eastAsia="en-GB"/>
        </w:rPr>
        <w:t xml:space="preserve"> </w:t>
      </w:r>
      <w:r w:rsidRPr="00DC74E4">
        <w:rPr>
          <w:rFonts w:ascii="Arial" w:hAnsi="Arial" w:cs="Arial"/>
          <w:sz w:val="24"/>
          <w:szCs w:val="24"/>
        </w:rPr>
        <w:t>The GP has full responsibility for operating the limited partnership. It has unlimited liability for its debts and obligations.</w:t>
      </w:r>
    </w:p>
    <w:p w14:paraId="49079BB4" w14:textId="77777777" w:rsidR="00DC74E4" w:rsidRPr="00DC74E4" w:rsidRDefault="00DC74E4" w:rsidP="00DC74E4">
      <w:pPr>
        <w:pStyle w:val="ListParagraph"/>
        <w:numPr>
          <w:ilvl w:val="0"/>
          <w:numId w:val="11"/>
        </w:numPr>
        <w:rPr>
          <w:rFonts w:ascii="Arial" w:hAnsi="Arial" w:cs="Arial"/>
          <w:sz w:val="24"/>
          <w:szCs w:val="24"/>
        </w:rPr>
      </w:pPr>
      <w:r w:rsidRPr="00DC74E4">
        <w:rPr>
          <w:rFonts w:ascii="Arial" w:hAnsi="Arial" w:cs="Arial"/>
          <w:b/>
          <w:bCs/>
          <w:sz w:val="24"/>
          <w:szCs w:val="24"/>
          <w:lang w:val="en-GB"/>
        </w:rPr>
        <w:t xml:space="preserve">Limited Partners </w:t>
      </w:r>
      <w:r w:rsidRPr="00DC74E4">
        <w:rPr>
          <w:rFonts w:ascii="Arial" w:hAnsi="Arial" w:cs="Arial"/>
          <w:sz w:val="24"/>
          <w:szCs w:val="24"/>
          <w:lang w:val="en-GB"/>
        </w:rPr>
        <w:t>(LPs)</w:t>
      </w:r>
      <w:r w:rsidRPr="00DC74E4">
        <w:rPr>
          <w:rFonts w:ascii="Arial" w:hAnsi="Arial" w:cs="Arial"/>
          <w:sz w:val="24"/>
          <w:szCs w:val="24"/>
          <w:lang w:val="en-GB"/>
        </w:rPr>
        <w:t xml:space="preserve">: </w:t>
      </w:r>
      <w:r w:rsidRPr="00DC74E4">
        <w:rPr>
          <w:rFonts w:ascii="Arial" w:hAnsi="Arial" w:cs="Arial"/>
          <w:sz w:val="24"/>
          <w:szCs w:val="24"/>
        </w:rPr>
        <w:t>The LPs have limited liability unless they take part in management of the partnership business.</w:t>
      </w:r>
    </w:p>
    <w:p w14:paraId="6533B578" w14:textId="08908ECD" w:rsidR="00DC74E4" w:rsidRPr="00DC74E4" w:rsidRDefault="00DC74E4" w:rsidP="00DC74E4">
      <w:pPr>
        <w:pStyle w:val="ListParagraph"/>
        <w:numPr>
          <w:ilvl w:val="0"/>
          <w:numId w:val="11"/>
        </w:numPr>
        <w:rPr>
          <w:rFonts w:ascii="Arial" w:hAnsi="Arial" w:cs="Arial"/>
          <w:sz w:val="24"/>
          <w:szCs w:val="24"/>
          <w:lang w:val="en-GB"/>
        </w:rPr>
      </w:pPr>
      <w:r w:rsidRPr="00DC74E4">
        <w:rPr>
          <w:rFonts w:ascii="Arial" w:hAnsi="Arial" w:cs="Arial"/>
          <w:sz w:val="24"/>
          <w:szCs w:val="24"/>
          <w:lang w:val="en-GB"/>
        </w:rPr>
        <w:t xml:space="preserve">PE Funds also have a </w:t>
      </w:r>
      <w:r w:rsidRPr="00DC74E4">
        <w:rPr>
          <w:rFonts w:ascii="Arial" w:hAnsi="Arial" w:cs="Arial"/>
          <w:b/>
          <w:bCs/>
          <w:sz w:val="24"/>
          <w:szCs w:val="24"/>
          <w:lang w:val="en-GB"/>
        </w:rPr>
        <w:t xml:space="preserve">limited lifespan </w:t>
      </w:r>
      <w:r w:rsidRPr="00DC74E4">
        <w:rPr>
          <w:rFonts w:ascii="Arial" w:hAnsi="Arial" w:cs="Arial"/>
          <w:sz w:val="24"/>
          <w:szCs w:val="24"/>
          <w:lang w:val="en-GB"/>
        </w:rPr>
        <w:t>(typically 10 years plus 2 extensions of 1 year) within which investors’ money will be returned to them (as the structure is closed ended).</w:t>
      </w:r>
    </w:p>
    <w:p w14:paraId="08ED5AAD" w14:textId="77777777" w:rsidR="00DC74E4" w:rsidRDefault="00000000">
      <w:pPr>
        <w:rPr>
          <w:rFonts w:ascii="Arial" w:hAnsi="Arial" w:cs="Arial"/>
          <w:sz w:val="24"/>
          <w:szCs w:val="24"/>
        </w:rPr>
      </w:pPr>
      <w:r w:rsidRPr="00621EA2">
        <w:rPr>
          <w:rFonts w:ascii="Arial" w:hAnsi="Arial" w:cs="Arial"/>
          <w:sz w:val="24"/>
          <w:szCs w:val="24"/>
        </w:rPr>
        <w:t>The key benefits of using this structure for a fund are</w:t>
      </w:r>
    </w:p>
    <w:p w14:paraId="4C2CBA8A" w14:textId="77777777" w:rsidR="00DC74E4" w:rsidRPr="00DC74E4" w:rsidRDefault="00000000" w:rsidP="00DC74E4">
      <w:pPr>
        <w:pStyle w:val="ListParagraph"/>
        <w:numPr>
          <w:ilvl w:val="0"/>
          <w:numId w:val="12"/>
        </w:numPr>
        <w:rPr>
          <w:rFonts w:ascii="Arial" w:hAnsi="Arial" w:cs="Arial"/>
          <w:sz w:val="24"/>
          <w:szCs w:val="24"/>
        </w:rPr>
      </w:pPr>
      <w:r w:rsidRPr="00DC74E4">
        <w:rPr>
          <w:rFonts w:ascii="Arial" w:hAnsi="Arial" w:cs="Arial"/>
          <w:sz w:val="24"/>
          <w:szCs w:val="24"/>
        </w:rPr>
        <w:t xml:space="preserve">an investor role with limited liability and no active management </w:t>
      </w:r>
      <w:proofErr w:type="gramStart"/>
      <w:r w:rsidRPr="00DC74E4">
        <w:rPr>
          <w:rFonts w:ascii="Arial" w:hAnsi="Arial" w:cs="Arial"/>
          <w:sz w:val="24"/>
          <w:szCs w:val="24"/>
        </w:rPr>
        <w:t>rights;</w:t>
      </w:r>
      <w:proofErr w:type="gramEnd"/>
    </w:p>
    <w:p w14:paraId="13F4F299" w14:textId="77777777" w:rsidR="00DC74E4" w:rsidRPr="00DC74E4" w:rsidRDefault="00000000" w:rsidP="00DC74E4">
      <w:pPr>
        <w:pStyle w:val="ListParagraph"/>
        <w:numPr>
          <w:ilvl w:val="0"/>
          <w:numId w:val="12"/>
        </w:numPr>
        <w:rPr>
          <w:rFonts w:ascii="Arial" w:hAnsi="Arial" w:cs="Arial"/>
          <w:sz w:val="24"/>
          <w:szCs w:val="24"/>
        </w:rPr>
      </w:pPr>
      <w:r w:rsidRPr="00DC74E4">
        <w:rPr>
          <w:rFonts w:ascii="Arial" w:hAnsi="Arial" w:cs="Arial"/>
          <w:sz w:val="24"/>
          <w:szCs w:val="24"/>
        </w:rPr>
        <w:t>flexibility and privacy – as the agreement forming the partnership will not be public and accounts are not required to be filed; and</w:t>
      </w:r>
    </w:p>
    <w:p w14:paraId="59542F3F" w14:textId="0AD47764" w:rsidR="00A73E9C" w:rsidRPr="00DC74E4" w:rsidRDefault="00000000" w:rsidP="00DC74E4">
      <w:pPr>
        <w:pStyle w:val="ListParagraph"/>
        <w:numPr>
          <w:ilvl w:val="0"/>
          <w:numId w:val="12"/>
        </w:numPr>
        <w:rPr>
          <w:rFonts w:ascii="Arial" w:hAnsi="Arial" w:cs="Arial"/>
          <w:sz w:val="24"/>
          <w:szCs w:val="24"/>
        </w:rPr>
      </w:pPr>
      <w:r w:rsidRPr="00DC74E4">
        <w:rPr>
          <w:rFonts w:ascii="Arial" w:hAnsi="Arial" w:cs="Arial"/>
          <w:sz w:val="24"/>
          <w:szCs w:val="24"/>
        </w:rPr>
        <w:t>tax transparency.</w:t>
      </w:r>
    </w:p>
    <w:p w14:paraId="7FC6D9E1" w14:textId="77777777" w:rsidR="00DC74E4" w:rsidRPr="00DC74E4" w:rsidRDefault="00DC74E4" w:rsidP="00DC74E4">
      <w:pPr>
        <w:rPr>
          <w:rFonts w:ascii="Arial" w:hAnsi="Arial" w:cs="Arial"/>
          <w:b/>
          <w:bCs/>
          <w:sz w:val="24"/>
          <w:szCs w:val="24"/>
        </w:rPr>
      </w:pPr>
      <w:r w:rsidRPr="00DC74E4">
        <w:rPr>
          <w:rFonts w:ascii="Arial" w:hAnsi="Arial" w:cs="Arial"/>
          <w:b/>
          <w:bCs/>
          <w:sz w:val="24"/>
          <w:szCs w:val="24"/>
        </w:rPr>
        <w:t>Types of private equity activity</w:t>
      </w:r>
    </w:p>
    <w:p w14:paraId="4C504171" w14:textId="77777777" w:rsidR="00DC74E4" w:rsidRDefault="00000000">
      <w:pPr>
        <w:rPr>
          <w:rFonts w:ascii="Arial" w:hAnsi="Arial" w:cs="Arial"/>
          <w:sz w:val="24"/>
          <w:szCs w:val="24"/>
        </w:rPr>
      </w:pPr>
      <w:proofErr w:type="gramStart"/>
      <w:r w:rsidRPr="00621EA2">
        <w:rPr>
          <w:rFonts w:ascii="Arial" w:hAnsi="Arial" w:cs="Arial"/>
          <w:sz w:val="24"/>
          <w:szCs w:val="24"/>
        </w:rPr>
        <w:t>Generally speaking, there</w:t>
      </w:r>
      <w:proofErr w:type="gramEnd"/>
      <w:r w:rsidRPr="00621EA2">
        <w:rPr>
          <w:rFonts w:ascii="Arial" w:hAnsi="Arial" w:cs="Arial"/>
          <w:sz w:val="24"/>
          <w:szCs w:val="24"/>
        </w:rPr>
        <w:t xml:space="preserve"> are three main types of private equity (or private capital) activity:</w:t>
      </w:r>
    </w:p>
    <w:p w14:paraId="0AC8E816" w14:textId="77777777" w:rsidR="00DC74E4" w:rsidRPr="00DC74E4" w:rsidRDefault="00000000" w:rsidP="00DC74E4">
      <w:pPr>
        <w:pStyle w:val="ListParagraph"/>
        <w:numPr>
          <w:ilvl w:val="0"/>
          <w:numId w:val="13"/>
        </w:numPr>
        <w:rPr>
          <w:rFonts w:ascii="Arial" w:hAnsi="Arial" w:cs="Arial"/>
          <w:sz w:val="24"/>
          <w:szCs w:val="24"/>
        </w:rPr>
      </w:pPr>
      <w:r w:rsidRPr="00DC74E4">
        <w:rPr>
          <w:rFonts w:ascii="Arial" w:hAnsi="Arial" w:cs="Arial"/>
          <w:sz w:val="24"/>
          <w:szCs w:val="24"/>
        </w:rPr>
        <w:t xml:space="preserve">the funding of a new business with little or no track record: </w:t>
      </w:r>
      <w:r w:rsidRPr="00DC74E4">
        <w:rPr>
          <w:rFonts w:ascii="Arial" w:hAnsi="Arial" w:cs="Arial"/>
          <w:b/>
          <w:bCs/>
          <w:sz w:val="24"/>
          <w:szCs w:val="24"/>
        </w:rPr>
        <w:t xml:space="preserve">Venture </w:t>
      </w:r>
      <w:proofErr w:type="gramStart"/>
      <w:r w:rsidRPr="00DC74E4">
        <w:rPr>
          <w:rFonts w:ascii="Arial" w:hAnsi="Arial" w:cs="Arial"/>
          <w:b/>
          <w:bCs/>
          <w:sz w:val="24"/>
          <w:szCs w:val="24"/>
        </w:rPr>
        <w:t>Capital</w:t>
      </w:r>
      <w:r w:rsidRPr="00DC74E4">
        <w:rPr>
          <w:rFonts w:ascii="Arial" w:hAnsi="Arial" w:cs="Arial"/>
          <w:sz w:val="24"/>
          <w:szCs w:val="24"/>
        </w:rPr>
        <w:t>;</w:t>
      </w:r>
      <w:proofErr w:type="gramEnd"/>
    </w:p>
    <w:p w14:paraId="0D297C34" w14:textId="3154518A" w:rsidR="00DC74E4" w:rsidRPr="00DC74E4" w:rsidRDefault="00000000" w:rsidP="00DC74E4">
      <w:pPr>
        <w:pStyle w:val="ListParagraph"/>
        <w:numPr>
          <w:ilvl w:val="0"/>
          <w:numId w:val="13"/>
        </w:numPr>
        <w:rPr>
          <w:rFonts w:ascii="Arial" w:hAnsi="Arial" w:cs="Arial"/>
          <w:sz w:val="24"/>
          <w:szCs w:val="24"/>
        </w:rPr>
      </w:pPr>
      <w:r w:rsidRPr="00DC74E4">
        <w:rPr>
          <w:rFonts w:ascii="Arial" w:hAnsi="Arial" w:cs="Arial"/>
          <w:sz w:val="24"/>
          <w:szCs w:val="24"/>
        </w:rPr>
        <w:t xml:space="preserve">the funding of an existing, more mature business to help it develop: </w:t>
      </w:r>
      <w:r w:rsidRPr="00DC74E4">
        <w:rPr>
          <w:rFonts w:ascii="Arial" w:hAnsi="Arial" w:cs="Arial"/>
          <w:b/>
          <w:bCs/>
          <w:sz w:val="24"/>
          <w:szCs w:val="24"/>
        </w:rPr>
        <w:t>Development Capital</w:t>
      </w:r>
      <w:r w:rsidRPr="00DC74E4">
        <w:rPr>
          <w:rFonts w:ascii="Arial" w:hAnsi="Arial" w:cs="Arial"/>
          <w:sz w:val="24"/>
          <w:szCs w:val="24"/>
        </w:rPr>
        <w:t>; and</w:t>
      </w:r>
    </w:p>
    <w:p w14:paraId="09584781" w14:textId="77777777" w:rsidR="00DC74E4" w:rsidRPr="00DC74E4" w:rsidRDefault="00000000" w:rsidP="00DC74E4">
      <w:pPr>
        <w:pStyle w:val="ListParagraph"/>
        <w:numPr>
          <w:ilvl w:val="0"/>
          <w:numId w:val="13"/>
        </w:numPr>
        <w:rPr>
          <w:rFonts w:ascii="Arial" w:hAnsi="Arial" w:cs="Arial"/>
          <w:sz w:val="24"/>
          <w:szCs w:val="24"/>
        </w:rPr>
      </w:pPr>
      <w:r w:rsidRPr="00DC74E4">
        <w:rPr>
          <w:rFonts w:ascii="Arial" w:hAnsi="Arial" w:cs="Arial"/>
          <w:sz w:val="24"/>
          <w:szCs w:val="24"/>
        </w:rPr>
        <w:t xml:space="preserve">the funding of purchases of established businesses where there is still a margin for improvement of performance (somewhat confusingly, the term private equity or PE is often used synonymously with these transactions. However, the term </w:t>
      </w:r>
      <w:r w:rsidRPr="00DC74E4">
        <w:rPr>
          <w:rFonts w:ascii="Arial" w:hAnsi="Arial" w:cs="Arial"/>
          <w:b/>
          <w:bCs/>
          <w:sz w:val="24"/>
          <w:szCs w:val="24"/>
        </w:rPr>
        <w:t>'private capital'</w:t>
      </w:r>
      <w:r w:rsidRPr="00DC74E4">
        <w:rPr>
          <w:rFonts w:ascii="Arial" w:hAnsi="Arial" w:cs="Arial"/>
          <w:sz w:val="24"/>
          <w:szCs w:val="24"/>
        </w:rPr>
        <w:t xml:space="preserve"> is becoming a more common general term). </w:t>
      </w:r>
    </w:p>
    <w:p w14:paraId="3237968E" w14:textId="77777777" w:rsidR="00DC74E4" w:rsidRDefault="00000000">
      <w:pPr>
        <w:rPr>
          <w:rFonts w:ascii="Arial" w:hAnsi="Arial" w:cs="Arial"/>
          <w:sz w:val="24"/>
          <w:szCs w:val="24"/>
        </w:rPr>
      </w:pPr>
      <w:r w:rsidRPr="00621EA2">
        <w:rPr>
          <w:rFonts w:ascii="Arial" w:hAnsi="Arial" w:cs="Arial"/>
          <w:sz w:val="24"/>
          <w:szCs w:val="24"/>
        </w:rPr>
        <w:t>For the purposes of this knowledge stream, we will be focusing on the third of these types of private equity activity. These transactions are often referred to as either a: </w:t>
      </w:r>
    </w:p>
    <w:p w14:paraId="530AE9FB" w14:textId="77777777" w:rsidR="00DC74E4" w:rsidRPr="00DC74E4" w:rsidRDefault="00000000" w:rsidP="00DC74E4">
      <w:pPr>
        <w:pStyle w:val="ListParagraph"/>
        <w:numPr>
          <w:ilvl w:val="0"/>
          <w:numId w:val="14"/>
        </w:numPr>
        <w:rPr>
          <w:rFonts w:ascii="Arial" w:hAnsi="Arial" w:cs="Arial"/>
          <w:sz w:val="24"/>
          <w:szCs w:val="24"/>
        </w:rPr>
      </w:pPr>
      <w:r w:rsidRPr="00DC74E4">
        <w:rPr>
          <w:rFonts w:ascii="Arial" w:hAnsi="Arial" w:cs="Arial"/>
          <w:sz w:val="24"/>
          <w:szCs w:val="24"/>
        </w:rPr>
        <w:t>Management Buy-out (‘</w:t>
      </w:r>
      <w:r w:rsidRPr="00DC74E4">
        <w:rPr>
          <w:rFonts w:ascii="Arial" w:hAnsi="Arial" w:cs="Arial"/>
          <w:b/>
          <w:bCs/>
          <w:sz w:val="24"/>
          <w:szCs w:val="24"/>
        </w:rPr>
        <w:t>MBO</w:t>
      </w:r>
      <w:r w:rsidRPr="00DC74E4">
        <w:rPr>
          <w:rFonts w:ascii="Arial" w:hAnsi="Arial" w:cs="Arial"/>
          <w:sz w:val="24"/>
          <w:szCs w:val="24"/>
        </w:rPr>
        <w:t xml:space="preserve">’): this is where the </w:t>
      </w:r>
      <w:r w:rsidRPr="00DC74E4">
        <w:rPr>
          <w:rFonts w:ascii="Arial" w:hAnsi="Arial" w:cs="Arial"/>
          <w:b/>
          <w:bCs/>
          <w:sz w:val="24"/>
          <w:szCs w:val="24"/>
        </w:rPr>
        <w:t>existing management</w:t>
      </w:r>
      <w:r w:rsidRPr="00DC74E4">
        <w:rPr>
          <w:rFonts w:ascii="Arial" w:hAnsi="Arial" w:cs="Arial"/>
          <w:sz w:val="24"/>
          <w:szCs w:val="24"/>
        </w:rPr>
        <w:t xml:space="preserve"> of a company or business, together with the Fund, buy the company or business from its existing </w:t>
      </w:r>
      <w:proofErr w:type="gramStart"/>
      <w:r w:rsidRPr="00DC74E4">
        <w:rPr>
          <w:rFonts w:ascii="Arial" w:hAnsi="Arial" w:cs="Arial"/>
          <w:sz w:val="24"/>
          <w:szCs w:val="24"/>
        </w:rPr>
        <w:t>owner;</w:t>
      </w:r>
      <w:proofErr w:type="gramEnd"/>
      <w:r w:rsidRPr="00DC74E4">
        <w:rPr>
          <w:rFonts w:ascii="Arial" w:hAnsi="Arial" w:cs="Arial"/>
          <w:sz w:val="24"/>
          <w:szCs w:val="24"/>
        </w:rPr>
        <w:t> </w:t>
      </w:r>
    </w:p>
    <w:p w14:paraId="3CE88030" w14:textId="77777777" w:rsidR="00DC74E4" w:rsidRPr="00DC74E4" w:rsidRDefault="00000000" w:rsidP="00DC74E4">
      <w:pPr>
        <w:pStyle w:val="ListParagraph"/>
        <w:numPr>
          <w:ilvl w:val="0"/>
          <w:numId w:val="14"/>
        </w:numPr>
        <w:rPr>
          <w:rFonts w:ascii="Arial" w:hAnsi="Arial" w:cs="Arial"/>
          <w:sz w:val="24"/>
          <w:szCs w:val="24"/>
        </w:rPr>
      </w:pPr>
      <w:r w:rsidRPr="00DC74E4">
        <w:rPr>
          <w:rFonts w:ascii="Arial" w:hAnsi="Arial" w:cs="Arial"/>
          <w:sz w:val="24"/>
          <w:szCs w:val="24"/>
        </w:rPr>
        <w:t>Management Buy-in (‘</w:t>
      </w:r>
      <w:r w:rsidRPr="00DC74E4">
        <w:rPr>
          <w:rFonts w:ascii="Arial" w:hAnsi="Arial" w:cs="Arial"/>
          <w:b/>
          <w:bCs/>
          <w:sz w:val="24"/>
          <w:szCs w:val="24"/>
        </w:rPr>
        <w:t>MBI</w:t>
      </w:r>
      <w:r w:rsidRPr="00DC74E4">
        <w:rPr>
          <w:rFonts w:ascii="Arial" w:hAnsi="Arial" w:cs="Arial"/>
          <w:sz w:val="24"/>
          <w:szCs w:val="24"/>
        </w:rPr>
        <w:t xml:space="preserve">’): this is where a </w:t>
      </w:r>
      <w:r w:rsidRPr="00DC74E4">
        <w:rPr>
          <w:rFonts w:ascii="Arial" w:hAnsi="Arial" w:cs="Arial"/>
          <w:b/>
          <w:bCs/>
          <w:sz w:val="24"/>
          <w:szCs w:val="24"/>
        </w:rPr>
        <w:t>new management team</w:t>
      </w:r>
      <w:r w:rsidRPr="00DC74E4">
        <w:rPr>
          <w:rFonts w:ascii="Arial" w:hAnsi="Arial" w:cs="Arial"/>
          <w:sz w:val="24"/>
          <w:szCs w:val="24"/>
        </w:rPr>
        <w:t xml:space="preserve"> is assembled for the purposes of running the company or business after its acquisition by the Fund from its existing owner;</w:t>
      </w:r>
      <w:r w:rsidRPr="00DC74E4">
        <w:rPr>
          <w:rFonts w:ascii="Arial" w:hAnsi="Arial" w:cs="Arial"/>
          <w:sz w:val="24"/>
          <w:szCs w:val="24"/>
        </w:rPr>
        <w:br/>
        <w:t>Institutional Buy-out (‘</w:t>
      </w:r>
      <w:r w:rsidRPr="00DC74E4">
        <w:rPr>
          <w:rFonts w:ascii="Arial" w:hAnsi="Arial" w:cs="Arial"/>
          <w:b/>
          <w:bCs/>
          <w:sz w:val="24"/>
          <w:szCs w:val="24"/>
        </w:rPr>
        <w:t>IBO</w:t>
      </w:r>
      <w:r w:rsidRPr="00DC74E4">
        <w:rPr>
          <w:rFonts w:ascii="Arial" w:hAnsi="Arial" w:cs="Arial"/>
          <w:sz w:val="24"/>
          <w:szCs w:val="24"/>
        </w:rPr>
        <w:t xml:space="preserve">’): this principally driven by the Fund with a </w:t>
      </w:r>
      <w:r w:rsidRPr="00DC74E4">
        <w:rPr>
          <w:rFonts w:ascii="Arial" w:hAnsi="Arial" w:cs="Arial"/>
          <w:sz w:val="24"/>
          <w:szCs w:val="24"/>
        </w:rPr>
        <w:lastRenderedPageBreak/>
        <w:t>management team (who may be existing or new or a mixture) taking a smaller stake of equity</w:t>
      </w:r>
    </w:p>
    <w:p w14:paraId="0DA56047" w14:textId="150A082E" w:rsidR="00A73E9C" w:rsidRPr="00621EA2" w:rsidRDefault="00000000">
      <w:pPr>
        <w:rPr>
          <w:rFonts w:ascii="Arial" w:hAnsi="Arial" w:cs="Arial"/>
          <w:sz w:val="24"/>
          <w:szCs w:val="24"/>
        </w:rPr>
      </w:pPr>
      <w:r w:rsidRPr="00DC74E4">
        <w:rPr>
          <w:rFonts w:ascii="Arial" w:hAnsi="Arial" w:cs="Arial"/>
          <w:b/>
          <w:bCs/>
          <w:sz w:val="24"/>
          <w:szCs w:val="24"/>
        </w:rPr>
        <w:t>Point to Note:</w:t>
      </w:r>
      <w:r w:rsidRPr="00621EA2">
        <w:rPr>
          <w:rFonts w:ascii="Arial" w:hAnsi="Arial" w:cs="Arial"/>
          <w:sz w:val="24"/>
          <w:szCs w:val="24"/>
        </w:rPr>
        <w:t>  Although the terminology focuses on management, in most cases, the transaction is initiated and driven by the Fund rather than management.</w:t>
      </w:r>
    </w:p>
    <w:p w14:paraId="3A6BB18E" w14:textId="77777777" w:rsidR="00DC74E4" w:rsidRPr="00DC74E4" w:rsidRDefault="00DC74E4" w:rsidP="00DC74E4">
      <w:pPr>
        <w:rPr>
          <w:rFonts w:ascii="Arial" w:hAnsi="Arial" w:cs="Arial"/>
          <w:b/>
          <w:bCs/>
          <w:sz w:val="24"/>
          <w:szCs w:val="24"/>
        </w:rPr>
      </w:pPr>
      <w:r w:rsidRPr="00DC74E4">
        <w:rPr>
          <w:rFonts w:ascii="Arial" w:hAnsi="Arial" w:cs="Arial"/>
          <w:b/>
          <w:bCs/>
          <w:sz w:val="24"/>
          <w:szCs w:val="24"/>
        </w:rPr>
        <w:t>The acquisition vehicle</w:t>
      </w:r>
    </w:p>
    <w:p w14:paraId="289118DE" w14:textId="77777777" w:rsidR="00DC74E4" w:rsidRDefault="00000000">
      <w:pPr>
        <w:rPr>
          <w:rFonts w:ascii="Arial" w:hAnsi="Arial" w:cs="Arial"/>
          <w:sz w:val="24"/>
          <w:szCs w:val="24"/>
        </w:rPr>
      </w:pPr>
      <w:r w:rsidRPr="00621EA2">
        <w:rPr>
          <w:rFonts w:ascii="Arial" w:hAnsi="Arial" w:cs="Arial"/>
          <w:sz w:val="24"/>
          <w:szCs w:val="24"/>
        </w:rPr>
        <w:t xml:space="preserve">The Fund will set up an </w:t>
      </w:r>
      <w:r w:rsidRPr="00DC74E4">
        <w:rPr>
          <w:rFonts w:ascii="Arial" w:hAnsi="Arial" w:cs="Arial"/>
          <w:b/>
          <w:bCs/>
          <w:sz w:val="24"/>
          <w:szCs w:val="24"/>
        </w:rPr>
        <w:t>acquisition vehicle</w:t>
      </w:r>
      <w:r w:rsidRPr="00621EA2">
        <w:rPr>
          <w:rFonts w:ascii="Arial" w:hAnsi="Arial" w:cs="Arial"/>
          <w:sz w:val="24"/>
          <w:szCs w:val="24"/>
        </w:rPr>
        <w:t xml:space="preserve"> (a newly incorporated company or group of newly incorporated companies) into which it invests which will acquire the target company or business (‘</w:t>
      </w:r>
      <w:r w:rsidRPr="00DC74E4">
        <w:rPr>
          <w:rFonts w:ascii="Arial" w:hAnsi="Arial" w:cs="Arial"/>
          <w:b/>
          <w:bCs/>
          <w:sz w:val="24"/>
          <w:szCs w:val="24"/>
        </w:rPr>
        <w:t>Target</w:t>
      </w:r>
      <w:r w:rsidRPr="00621EA2">
        <w:rPr>
          <w:rFonts w:ascii="Arial" w:hAnsi="Arial" w:cs="Arial"/>
          <w:sz w:val="24"/>
          <w:szCs w:val="24"/>
        </w:rPr>
        <w:t>’). The company into which the Fund invests is known as ‘</w:t>
      </w:r>
      <w:r w:rsidRPr="00DC74E4">
        <w:rPr>
          <w:rFonts w:ascii="Arial" w:hAnsi="Arial" w:cs="Arial"/>
          <w:b/>
          <w:bCs/>
          <w:sz w:val="24"/>
          <w:szCs w:val="24"/>
        </w:rPr>
        <w:t>Topco</w:t>
      </w:r>
      <w:r w:rsidRPr="00621EA2">
        <w:rPr>
          <w:rFonts w:ascii="Arial" w:hAnsi="Arial" w:cs="Arial"/>
          <w:sz w:val="24"/>
          <w:szCs w:val="24"/>
        </w:rPr>
        <w:t>’ in this knowledge stream.  Often, the Fund will set up a second company as a wholly owned subsidiary company of Topco that will be the acquisition vehicle (‘</w:t>
      </w:r>
      <w:r w:rsidRPr="00DC74E4">
        <w:rPr>
          <w:rFonts w:ascii="Arial" w:hAnsi="Arial" w:cs="Arial"/>
          <w:b/>
          <w:bCs/>
          <w:sz w:val="24"/>
          <w:szCs w:val="24"/>
        </w:rPr>
        <w:t>Bidco</w:t>
      </w:r>
      <w:r w:rsidRPr="00621EA2">
        <w:rPr>
          <w:rFonts w:ascii="Arial" w:hAnsi="Arial" w:cs="Arial"/>
          <w:sz w:val="24"/>
          <w:szCs w:val="24"/>
        </w:rPr>
        <w:t xml:space="preserve">’). The corporate structure is typically tax driven and can be complex - often involving more than two newcos in the chain and/or companies incorporated in jurisdictions outside of the UK. (See diagram on next slide) </w:t>
      </w:r>
    </w:p>
    <w:p w14:paraId="69F89FE0" w14:textId="77777777" w:rsidR="00DC74E4" w:rsidRDefault="00000000">
      <w:pPr>
        <w:rPr>
          <w:rFonts w:ascii="Arial" w:hAnsi="Arial" w:cs="Arial"/>
          <w:sz w:val="24"/>
          <w:szCs w:val="24"/>
        </w:rPr>
      </w:pPr>
      <w:r w:rsidRPr="00621EA2">
        <w:rPr>
          <w:rFonts w:ascii="Arial" w:hAnsi="Arial" w:cs="Arial"/>
          <w:sz w:val="24"/>
          <w:szCs w:val="24"/>
        </w:rPr>
        <w:t xml:space="preserve">In this knowledge stream, we will be mainly considering a </w:t>
      </w:r>
      <w:r w:rsidRPr="00DC74E4">
        <w:rPr>
          <w:rFonts w:ascii="Arial" w:hAnsi="Arial" w:cs="Arial"/>
          <w:b/>
          <w:bCs/>
          <w:sz w:val="24"/>
          <w:szCs w:val="24"/>
        </w:rPr>
        <w:t xml:space="preserve">two newco structure. </w:t>
      </w:r>
      <w:r w:rsidRPr="00621EA2">
        <w:rPr>
          <w:rFonts w:ascii="Arial" w:hAnsi="Arial" w:cs="Arial"/>
          <w:sz w:val="24"/>
          <w:szCs w:val="24"/>
        </w:rPr>
        <w:t>Following the buy-out, the management (whether existing or new management) (‘</w:t>
      </w:r>
      <w:r w:rsidRPr="00DC74E4">
        <w:rPr>
          <w:rFonts w:ascii="Arial" w:hAnsi="Arial" w:cs="Arial"/>
          <w:b/>
          <w:bCs/>
          <w:sz w:val="24"/>
          <w:szCs w:val="24"/>
        </w:rPr>
        <w:t>Management</w:t>
      </w:r>
      <w:r w:rsidRPr="00621EA2">
        <w:rPr>
          <w:rFonts w:ascii="Arial" w:hAnsi="Arial" w:cs="Arial"/>
          <w:sz w:val="24"/>
          <w:szCs w:val="24"/>
        </w:rPr>
        <w:t xml:space="preserve">’) will devote their time and efforts to make the bought-out business successful. Sometimes, the Management will be compensated for their time and effort by means of salary and bonuses alone but frequently the Management will also subscribe for equity shares in Topco so that if the venture proves successful, they can receive a proportionate part of the capital gain in value of the bought-out business. </w:t>
      </w:r>
    </w:p>
    <w:p w14:paraId="57FD8632" w14:textId="2ED9860E" w:rsidR="00A73E9C" w:rsidRPr="00621EA2" w:rsidRDefault="00000000">
      <w:pPr>
        <w:rPr>
          <w:rFonts w:ascii="Arial" w:hAnsi="Arial" w:cs="Arial"/>
          <w:sz w:val="24"/>
          <w:szCs w:val="24"/>
        </w:rPr>
      </w:pPr>
      <w:r w:rsidRPr="00621EA2">
        <w:rPr>
          <w:rFonts w:ascii="Arial" w:hAnsi="Arial" w:cs="Arial"/>
          <w:sz w:val="24"/>
          <w:szCs w:val="24"/>
        </w:rPr>
        <w:t>Virtually all buy-outs use a certain amount of ‘</w:t>
      </w:r>
      <w:r w:rsidRPr="00DC74E4">
        <w:rPr>
          <w:rFonts w:ascii="Arial" w:hAnsi="Arial" w:cs="Arial"/>
          <w:b/>
          <w:bCs/>
          <w:sz w:val="24"/>
          <w:szCs w:val="24"/>
        </w:rPr>
        <w:t>leverage’ or debt finance</w:t>
      </w:r>
      <w:r w:rsidRPr="00621EA2">
        <w:rPr>
          <w:rFonts w:ascii="Arial" w:hAnsi="Arial" w:cs="Arial"/>
          <w:sz w:val="24"/>
          <w:szCs w:val="24"/>
        </w:rPr>
        <w:t>, using the assets of Target as security. Sometimes you will hear of a buy-out being referred to as a leveraged buy-out (</w:t>
      </w:r>
      <w:r w:rsidRPr="00DC74E4">
        <w:rPr>
          <w:rFonts w:ascii="Arial" w:hAnsi="Arial" w:cs="Arial"/>
          <w:b/>
          <w:bCs/>
          <w:sz w:val="24"/>
          <w:szCs w:val="24"/>
        </w:rPr>
        <w:t>‘LBO’</w:t>
      </w:r>
      <w:r w:rsidRPr="00621EA2">
        <w:rPr>
          <w:rFonts w:ascii="Arial" w:hAnsi="Arial" w:cs="Arial"/>
          <w:sz w:val="24"/>
          <w:szCs w:val="24"/>
        </w:rPr>
        <w:t>).  This debt funding sits alongside the funding put into the structure by the Fund (so-called ‘</w:t>
      </w:r>
      <w:r w:rsidRPr="00DC74E4">
        <w:rPr>
          <w:rFonts w:ascii="Arial" w:hAnsi="Arial" w:cs="Arial"/>
          <w:b/>
          <w:bCs/>
          <w:sz w:val="24"/>
          <w:szCs w:val="24"/>
        </w:rPr>
        <w:t>equity funding’</w:t>
      </w:r>
      <w:r w:rsidRPr="00621EA2">
        <w:rPr>
          <w:rFonts w:ascii="Arial" w:hAnsi="Arial" w:cs="Arial"/>
          <w:sz w:val="24"/>
          <w:szCs w:val="24"/>
        </w:rPr>
        <w:t>)</w:t>
      </w:r>
    </w:p>
    <w:p w14:paraId="32A84419" w14:textId="449BF0B3" w:rsidR="00A73E9C" w:rsidRPr="00DC74E4" w:rsidRDefault="00000000">
      <w:pPr>
        <w:rPr>
          <w:rFonts w:ascii="Arial" w:hAnsi="Arial" w:cs="Arial"/>
          <w:b/>
          <w:bCs/>
          <w:sz w:val="24"/>
          <w:szCs w:val="24"/>
        </w:rPr>
      </w:pPr>
      <w:r w:rsidRPr="00DC74E4">
        <w:rPr>
          <w:rFonts w:ascii="Arial" w:hAnsi="Arial" w:cs="Arial"/>
          <w:b/>
          <w:bCs/>
          <w:sz w:val="24"/>
          <w:szCs w:val="24"/>
        </w:rPr>
        <w:t>Standard buy-out structure</w:t>
      </w:r>
      <w:r w:rsidR="00DC74E4">
        <w:rPr>
          <w:rFonts w:ascii="Arial" w:hAnsi="Arial" w:cs="Arial"/>
          <w:b/>
          <w:bCs/>
          <w:sz w:val="24"/>
          <w:szCs w:val="24"/>
        </w:rPr>
        <w:t xml:space="preserve">: </w:t>
      </w:r>
      <w:r w:rsidRPr="00DC74E4">
        <w:rPr>
          <w:rFonts w:ascii="Arial" w:hAnsi="Arial" w:cs="Arial"/>
          <w:b/>
          <w:bCs/>
          <w:sz w:val="24"/>
          <w:szCs w:val="24"/>
        </w:rPr>
        <w:t>Before completion</w:t>
      </w:r>
    </w:p>
    <w:p w14:paraId="1C635B07" w14:textId="77777777" w:rsidR="00DC74E4" w:rsidRDefault="00000000">
      <w:pPr>
        <w:rPr>
          <w:rFonts w:ascii="Arial" w:hAnsi="Arial" w:cs="Arial"/>
          <w:sz w:val="24"/>
          <w:szCs w:val="24"/>
        </w:rPr>
      </w:pPr>
      <w:r w:rsidRPr="00621EA2">
        <w:rPr>
          <w:rFonts w:ascii="Arial" w:hAnsi="Arial" w:cs="Arial"/>
          <w:sz w:val="24"/>
          <w:szCs w:val="24"/>
        </w:rPr>
        <w:t>Prior to completion, lawyers acting for the Fund (where the transaction is initiated and driven by the Fund) will arrange for the transfer of two shelf companies (‘</w:t>
      </w:r>
      <w:r w:rsidRPr="00DC74E4">
        <w:rPr>
          <w:rFonts w:ascii="Arial" w:hAnsi="Arial" w:cs="Arial"/>
          <w:b/>
          <w:bCs/>
          <w:sz w:val="24"/>
          <w:szCs w:val="24"/>
        </w:rPr>
        <w:t>Topco’ and ‘Bidco’</w:t>
      </w:r>
      <w:r w:rsidRPr="00621EA2">
        <w:rPr>
          <w:rFonts w:ascii="Arial" w:hAnsi="Arial" w:cs="Arial"/>
          <w:sz w:val="24"/>
          <w:szCs w:val="24"/>
        </w:rPr>
        <w:t>) into the ownership of the Fund by transferring the subscriber shares in Topco to the Fund and by transferring the subscriber shares in Bidco to Topco (so that Bidco becomes a wholly-owned subsidiary of Topco). </w:t>
      </w:r>
    </w:p>
    <w:p w14:paraId="7C493504" w14:textId="36EC2565" w:rsidR="00A73E9C" w:rsidRPr="00621EA2" w:rsidRDefault="00000000">
      <w:pPr>
        <w:rPr>
          <w:rFonts w:ascii="Arial" w:hAnsi="Arial" w:cs="Arial"/>
          <w:sz w:val="24"/>
          <w:szCs w:val="24"/>
        </w:rPr>
      </w:pPr>
      <w:r w:rsidRPr="00621EA2">
        <w:rPr>
          <w:rFonts w:ascii="Arial" w:hAnsi="Arial" w:cs="Arial"/>
          <w:sz w:val="24"/>
          <w:szCs w:val="24"/>
        </w:rPr>
        <w:t>If the transaction is being driven by Management their lawyers will set up Topco and Bidco with Management holding the subscriber shares.</w:t>
      </w:r>
    </w:p>
    <w:p w14:paraId="1F83D4AA" w14:textId="77777777" w:rsidR="00A73E9C" w:rsidRPr="00621EA2" w:rsidRDefault="00000000">
      <w:pPr>
        <w:rPr>
          <w:rFonts w:ascii="Arial" w:hAnsi="Arial" w:cs="Arial"/>
          <w:sz w:val="24"/>
          <w:szCs w:val="24"/>
        </w:rPr>
      </w:pPr>
      <w:r w:rsidRPr="00621EA2">
        <w:rPr>
          <w:rFonts w:ascii="Arial" w:hAnsi="Arial" w:cs="Arial"/>
          <w:sz w:val="24"/>
          <w:szCs w:val="24"/>
        </w:rPr>
        <w:lastRenderedPageBreak/>
        <w:t xml:space="preserve">The bulk of the investment in Topco by Management and the Fund and in Bidco by the bank will not occur until completion. Bidco will be the company which </w:t>
      </w:r>
      <w:proofErr w:type="gramStart"/>
      <w:r w:rsidRPr="00621EA2">
        <w:rPr>
          <w:rFonts w:ascii="Arial" w:hAnsi="Arial" w:cs="Arial"/>
          <w:sz w:val="24"/>
          <w:szCs w:val="24"/>
        </w:rPr>
        <w:t>actually purchases</w:t>
      </w:r>
      <w:proofErr w:type="gramEnd"/>
      <w:r w:rsidRPr="00621EA2">
        <w:rPr>
          <w:rFonts w:ascii="Arial" w:hAnsi="Arial" w:cs="Arial"/>
          <w:sz w:val="24"/>
          <w:szCs w:val="24"/>
        </w:rPr>
        <w:t xml:space="preserve"> the Target. Until completion, the Target is still owned by the existing owners </w:t>
      </w:r>
      <w:r w:rsidRPr="00DC74E4">
        <w:rPr>
          <w:rFonts w:ascii="Arial" w:hAnsi="Arial" w:cs="Arial"/>
          <w:b/>
          <w:bCs/>
          <w:sz w:val="24"/>
          <w:szCs w:val="24"/>
        </w:rPr>
        <w:t>(‘Seller(s)’).</w:t>
      </w:r>
    </w:p>
    <w:p w14:paraId="62230B65" w14:textId="0A273D2D" w:rsidR="00A73E9C" w:rsidRPr="00DC74E4" w:rsidRDefault="00000000">
      <w:pPr>
        <w:rPr>
          <w:rFonts w:ascii="Arial" w:hAnsi="Arial" w:cs="Arial"/>
          <w:b/>
          <w:bCs/>
          <w:sz w:val="24"/>
          <w:szCs w:val="24"/>
        </w:rPr>
      </w:pPr>
      <w:r w:rsidRPr="00DC74E4">
        <w:rPr>
          <w:rFonts w:ascii="Arial" w:hAnsi="Arial" w:cs="Arial"/>
          <w:b/>
          <w:bCs/>
          <w:sz w:val="24"/>
          <w:szCs w:val="24"/>
        </w:rPr>
        <w:t>Standard buy-out structure</w:t>
      </w:r>
      <w:r w:rsidR="00DC74E4">
        <w:rPr>
          <w:rFonts w:ascii="Arial" w:hAnsi="Arial" w:cs="Arial"/>
          <w:b/>
          <w:bCs/>
          <w:sz w:val="24"/>
          <w:szCs w:val="24"/>
        </w:rPr>
        <w:t xml:space="preserve">: </w:t>
      </w:r>
      <w:r w:rsidRPr="00DC74E4">
        <w:rPr>
          <w:rFonts w:ascii="Arial" w:hAnsi="Arial" w:cs="Arial"/>
          <w:b/>
          <w:bCs/>
          <w:sz w:val="24"/>
          <w:szCs w:val="24"/>
        </w:rPr>
        <w:t>After completion</w:t>
      </w:r>
    </w:p>
    <w:p w14:paraId="48CDC719" w14:textId="77777777" w:rsidR="00DC74E4" w:rsidRDefault="00000000">
      <w:pPr>
        <w:rPr>
          <w:rFonts w:ascii="Arial" w:hAnsi="Arial" w:cs="Arial"/>
          <w:sz w:val="24"/>
          <w:szCs w:val="24"/>
        </w:rPr>
      </w:pPr>
      <w:r w:rsidRPr="00621EA2">
        <w:rPr>
          <w:rFonts w:ascii="Arial" w:hAnsi="Arial" w:cs="Arial"/>
          <w:sz w:val="24"/>
          <w:szCs w:val="24"/>
        </w:rPr>
        <w:t>At completion, the funding of Topco and Bidco, the acquisition of shares/assets in the Target by Bidco and the granting of security by Bidco (and Target, where the shares of Target have been acquired) to the bank will happen simultaneously.</w:t>
      </w:r>
    </w:p>
    <w:p w14:paraId="02720CE0" w14:textId="77777777" w:rsidR="00DC74E4" w:rsidRDefault="00000000">
      <w:pPr>
        <w:rPr>
          <w:rFonts w:ascii="Arial" w:hAnsi="Arial" w:cs="Arial"/>
          <w:sz w:val="24"/>
          <w:szCs w:val="24"/>
        </w:rPr>
      </w:pPr>
      <w:r w:rsidRPr="00621EA2">
        <w:rPr>
          <w:rFonts w:ascii="Arial" w:hAnsi="Arial" w:cs="Arial"/>
          <w:sz w:val="24"/>
          <w:szCs w:val="24"/>
        </w:rPr>
        <w:t>The investment from Management and from the Fund will go into Topco. This money will be passed from Topco to Bidco, either by way of an intragroup loan or by Topco investing in further shares in Bidco.</w:t>
      </w:r>
    </w:p>
    <w:p w14:paraId="72EDA4AA" w14:textId="77777777" w:rsidR="00DC74E4" w:rsidRDefault="00000000">
      <w:pPr>
        <w:rPr>
          <w:rFonts w:ascii="Arial" w:hAnsi="Arial" w:cs="Arial"/>
          <w:sz w:val="24"/>
          <w:szCs w:val="24"/>
        </w:rPr>
      </w:pPr>
      <w:r w:rsidRPr="00621EA2">
        <w:rPr>
          <w:rFonts w:ascii="Arial" w:hAnsi="Arial" w:cs="Arial"/>
          <w:sz w:val="24"/>
          <w:szCs w:val="24"/>
        </w:rPr>
        <w:t>The bank will lend money to Bidco. In return for the loan to Bidco, the bank will expect to be given security over the assets of Bidco and the Target (where the shares of Target have been acquired). Once the monies are in place, the acquisition of Target by Bidco can be completed. The bank will usually expect Bidco’s borrowing to be guaranteed by Target (where the shares of Target have been acquired). </w:t>
      </w:r>
    </w:p>
    <w:p w14:paraId="75791A8C" w14:textId="68A73D75" w:rsidR="00A73E9C" w:rsidRPr="00621EA2" w:rsidRDefault="00000000">
      <w:pPr>
        <w:rPr>
          <w:rFonts w:ascii="Arial" w:hAnsi="Arial" w:cs="Arial"/>
          <w:sz w:val="24"/>
          <w:szCs w:val="24"/>
        </w:rPr>
      </w:pPr>
      <w:r w:rsidRPr="00621EA2">
        <w:rPr>
          <w:rFonts w:ascii="Arial" w:hAnsi="Arial" w:cs="Arial"/>
          <w:sz w:val="24"/>
          <w:szCs w:val="24"/>
        </w:rPr>
        <w:t>An illustration of the structure is on the next slide.</w:t>
      </w:r>
    </w:p>
    <w:p w14:paraId="41FC6C8A" w14:textId="77777777" w:rsidR="00A73E9C" w:rsidRDefault="00000000">
      <w:pPr>
        <w:rPr>
          <w:rFonts w:ascii="Arial" w:hAnsi="Arial" w:cs="Arial"/>
          <w:sz w:val="24"/>
          <w:szCs w:val="24"/>
        </w:rPr>
      </w:pPr>
      <w:r w:rsidRPr="00621EA2">
        <w:rPr>
          <w:rFonts w:ascii="Arial" w:hAnsi="Arial" w:cs="Arial"/>
          <w:sz w:val="24"/>
          <w:szCs w:val="24"/>
        </w:rPr>
        <w:t>This structure illustrates a share sale. On an asset sale Bidco would purchase the assets of the Target and the seller would be the Target.</w:t>
      </w:r>
    </w:p>
    <w:p w14:paraId="06E7E201" w14:textId="77777777" w:rsidR="00DC74E4" w:rsidRPr="00DC74E4" w:rsidRDefault="00DC74E4" w:rsidP="00DC74E4">
      <w:pPr>
        <w:rPr>
          <w:rFonts w:ascii="Arial" w:hAnsi="Arial" w:cs="Arial"/>
          <w:i/>
          <w:iCs/>
          <w:lang w:val="en-GB"/>
        </w:rPr>
      </w:pPr>
      <w:r>
        <w:rPr>
          <w:rFonts w:ascii="Arial" w:hAnsi="Arial" w:cs="Arial"/>
          <w:i/>
          <w:iCs/>
          <w:sz w:val="24"/>
          <w:szCs w:val="24"/>
        </w:rPr>
        <w:t xml:space="preserve">Alt text: </w:t>
      </w:r>
      <w:r w:rsidRPr="00DC74E4">
        <w:rPr>
          <w:rFonts w:ascii="Arial" w:hAnsi="Arial" w:cs="Arial"/>
          <w:i/>
          <w:iCs/>
          <w:lang w:val="en-GB"/>
        </w:rPr>
        <w:t>The slide illustrates the </w:t>
      </w:r>
      <w:r w:rsidRPr="00DC74E4">
        <w:rPr>
          <w:rFonts w:ascii="Arial" w:hAnsi="Arial" w:cs="Arial"/>
          <w:b/>
          <w:bCs/>
          <w:i/>
          <w:iCs/>
          <w:lang w:val="en-GB"/>
        </w:rPr>
        <w:t>flow of funds and ownership structure</w:t>
      </w:r>
      <w:r w:rsidRPr="00DC74E4">
        <w:rPr>
          <w:rFonts w:ascii="Arial" w:hAnsi="Arial" w:cs="Arial"/>
          <w:i/>
          <w:iCs/>
          <w:lang w:val="en-GB"/>
        </w:rPr>
        <w:t> in a private equity-backed buy-out after the transaction has been completed. It includes a </w:t>
      </w:r>
      <w:r w:rsidRPr="00DC74E4">
        <w:rPr>
          <w:rFonts w:ascii="Arial" w:hAnsi="Arial" w:cs="Arial"/>
          <w:b/>
          <w:bCs/>
          <w:i/>
          <w:iCs/>
          <w:lang w:val="en-GB"/>
        </w:rPr>
        <w:t>diagram</w:t>
      </w:r>
      <w:r w:rsidRPr="00DC74E4">
        <w:rPr>
          <w:rFonts w:ascii="Arial" w:hAnsi="Arial" w:cs="Arial"/>
          <w:i/>
          <w:iCs/>
          <w:lang w:val="en-GB"/>
        </w:rPr>
        <w:t> showing the relationships and financial flows between the entities involved:</w:t>
      </w:r>
    </w:p>
    <w:p w14:paraId="08D60321" w14:textId="77777777" w:rsidR="00DC74E4" w:rsidRPr="00DC74E4" w:rsidRDefault="00DC74E4" w:rsidP="00DC74E4">
      <w:pPr>
        <w:rPr>
          <w:rFonts w:ascii="Arial" w:hAnsi="Arial" w:cs="Arial"/>
          <w:b/>
          <w:bCs/>
          <w:i/>
          <w:iCs/>
          <w:sz w:val="24"/>
          <w:szCs w:val="24"/>
          <w:lang w:val="en-GB"/>
        </w:rPr>
      </w:pPr>
      <w:r w:rsidRPr="00DC74E4">
        <w:rPr>
          <w:rFonts w:ascii="Arial" w:hAnsi="Arial" w:cs="Arial"/>
          <w:b/>
          <w:bCs/>
          <w:i/>
          <w:iCs/>
          <w:sz w:val="24"/>
          <w:szCs w:val="24"/>
          <w:lang w:val="en-GB"/>
        </w:rPr>
        <w:t>Entities in the Diagram:</w:t>
      </w:r>
    </w:p>
    <w:p w14:paraId="1542B666" w14:textId="77777777" w:rsidR="00DC74E4" w:rsidRPr="00DC74E4" w:rsidRDefault="00DC74E4" w:rsidP="00DC74E4">
      <w:pPr>
        <w:numPr>
          <w:ilvl w:val="0"/>
          <w:numId w:val="15"/>
        </w:numPr>
        <w:spacing w:after="0"/>
        <w:rPr>
          <w:rFonts w:ascii="Arial" w:hAnsi="Arial" w:cs="Arial"/>
          <w:i/>
          <w:iCs/>
          <w:sz w:val="24"/>
          <w:szCs w:val="24"/>
          <w:lang w:val="en-GB"/>
        </w:rPr>
      </w:pPr>
      <w:r w:rsidRPr="00DC74E4">
        <w:rPr>
          <w:rFonts w:ascii="Arial" w:hAnsi="Arial" w:cs="Arial"/>
          <w:b/>
          <w:bCs/>
          <w:i/>
          <w:iCs/>
          <w:sz w:val="24"/>
          <w:szCs w:val="24"/>
          <w:lang w:val="en-GB"/>
        </w:rPr>
        <w:t>Private Equity Fund</w:t>
      </w:r>
    </w:p>
    <w:p w14:paraId="3B5C1D61" w14:textId="77777777" w:rsidR="00DC74E4" w:rsidRPr="00DC74E4" w:rsidRDefault="00DC74E4" w:rsidP="00DC74E4">
      <w:pPr>
        <w:numPr>
          <w:ilvl w:val="0"/>
          <w:numId w:val="15"/>
        </w:numPr>
        <w:spacing w:after="0"/>
        <w:rPr>
          <w:rFonts w:ascii="Arial" w:hAnsi="Arial" w:cs="Arial"/>
          <w:i/>
          <w:iCs/>
          <w:sz w:val="24"/>
          <w:szCs w:val="24"/>
          <w:lang w:val="en-GB"/>
        </w:rPr>
      </w:pPr>
      <w:r w:rsidRPr="00DC74E4">
        <w:rPr>
          <w:rFonts w:ascii="Arial" w:hAnsi="Arial" w:cs="Arial"/>
          <w:b/>
          <w:bCs/>
          <w:i/>
          <w:iCs/>
          <w:sz w:val="24"/>
          <w:szCs w:val="24"/>
          <w:lang w:val="en-GB"/>
        </w:rPr>
        <w:t>Management</w:t>
      </w:r>
    </w:p>
    <w:p w14:paraId="57DFE02A" w14:textId="77777777" w:rsidR="00DC74E4" w:rsidRPr="00DC74E4" w:rsidRDefault="00DC74E4" w:rsidP="00DC74E4">
      <w:pPr>
        <w:numPr>
          <w:ilvl w:val="0"/>
          <w:numId w:val="15"/>
        </w:numPr>
        <w:spacing w:after="0"/>
        <w:rPr>
          <w:rFonts w:ascii="Arial" w:hAnsi="Arial" w:cs="Arial"/>
          <w:i/>
          <w:iCs/>
          <w:sz w:val="24"/>
          <w:szCs w:val="24"/>
          <w:lang w:val="en-GB"/>
        </w:rPr>
      </w:pPr>
      <w:r w:rsidRPr="00DC74E4">
        <w:rPr>
          <w:rFonts w:ascii="Arial" w:hAnsi="Arial" w:cs="Arial"/>
          <w:b/>
          <w:bCs/>
          <w:i/>
          <w:iCs/>
          <w:sz w:val="24"/>
          <w:szCs w:val="24"/>
          <w:lang w:val="en-GB"/>
        </w:rPr>
        <w:t>Topco</w:t>
      </w:r>
      <w:r w:rsidRPr="00DC74E4">
        <w:rPr>
          <w:rFonts w:ascii="Arial" w:hAnsi="Arial" w:cs="Arial"/>
          <w:i/>
          <w:iCs/>
          <w:sz w:val="24"/>
          <w:szCs w:val="24"/>
          <w:lang w:val="en-GB"/>
        </w:rPr>
        <w:t> (holding company)</w:t>
      </w:r>
    </w:p>
    <w:p w14:paraId="42A78180" w14:textId="77777777" w:rsidR="00DC74E4" w:rsidRPr="00DC74E4" w:rsidRDefault="00DC74E4" w:rsidP="00DC74E4">
      <w:pPr>
        <w:numPr>
          <w:ilvl w:val="0"/>
          <w:numId w:val="15"/>
        </w:numPr>
        <w:spacing w:after="0"/>
        <w:rPr>
          <w:rFonts w:ascii="Arial" w:hAnsi="Arial" w:cs="Arial"/>
          <w:i/>
          <w:iCs/>
          <w:sz w:val="24"/>
          <w:szCs w:val="24"/>
          <w:lang w:val="en-GB"/>
        </w:rPr>
      </w:pPr>
      <w:r w:rsidRPr="00DC74E4">
        <w:rPr>
          <w:rFonts w:ascii="Arial" w:hAnsi="Arial" w:cs="Arial"/>
          <w:b/>
          <w:bCs/>
          <w:i/>
          <w:iCs/>
          <w:sz w:val="24"/>
          <w:szCs w:val="24"/>
          <w:lang w:val="en-GB"/>
        </w:rPr>
        <w:t>Bidco</w:t>
      </w:r>
      <w:r w:rsidRPr="00DC74E4">
        <w:rPr>
          <w:rFonts w:ascii="Arial" w:hAnsi="Arial" w:cs="Arial"/>
          <w:i/>
          <w:iCs/>
          <w:sz w:val="24"/>
          <w:szCs w:val="24"/>
          <w:lang w:val="en-GB"/>
        </w:rPr>
        <w:t> (acquisition vehicle)</w:t>
      </w:r>
    </w:p>
    <w:p w14:paraId="2F1FE7F6" w14:textId="77777777" w:rsidR="00DC74E4" w:rsidRPr="00DC74E4" w:rsidRDefault="00DC74E4" w:rsidP="00DC74E4">
      <w:pPr>
        <w:numPr>
          <w:ilvl w:val="0"/>
          <w:numId w:val="15"/>
        </w:numPr>
        <w:spacing w:after="0"/>
        <w:rPr>
          <w:rFonts w:ascii="Arial" w:hAnsi="Arial" w:cs="Arial"/>
          <w:i/>
          <w:iCs/>
          <w:sz w:val="24"/>
          <w:szCs w:val="24"/>
          <w:lang w:val="en-GB"/>
        </w:rPr>
      </w:pPr>
      <w:r w:rsidRPr="00DC74E4">
        <w:rPr>
          <w:rFonts w:ascii="Arial" w:hAnsi="Arial" w:cs="Arial"/>
          <w:b/>
          <w:bCs/>
          <w:i/>
          <w:iCs/>
          <w:sz w:val="24"/>
          <w:szCs w:val="24"/>
          <w:lang w:val="en-GB"/>
        </w:rPr>
        <w:t>Target</w:t>
      </w:r>
      <w:r w:rsidRPr="00DC74E4">
        <w:rPr>
          <w:rFonts w:ascii="Arial" w:hAnsi="Arial" w:cs="Arial"/>
          <w:i/>
          <w:iCs/>
          <w:sz w:val="24"/>
          <w:szCs w:val="24"/>
          <w:lang w:val="en-GB"/>
        </w:rPr>
        <w:t> (the company being acquired)</w:t>
      </w:r>
    </w:p>
    <w:p w14:paraId="7612A7BF" w14:textId="77777777" w:rsidR="00DC74E4" w:rsidRPr="00DC74E4" w:rsidRDefault="00DC74E4" w:rsidP="00DC74E4">
      <w:pPr>
        <w:numPr>
          <w:ilvl w:val="0"/>
          <w:numId w:val="15"/>
        </w:numPr>
        <w:spacing w:after="0"/>
        <w:rPr>
          <w:rFonts w:ascii="Arial" w:hAnsi="Arial" w:cs="Arial"/>
          <w:i/>
          <w:iCs/>
          <w:sz w:val="24"/>
          <w:szCs w:val="24"/>
          <w:lang w:val="en-GB"/>
        </w:rPr>
      </w:pPr>
      <w:r w:rsidRPr="00DC74E4">
        <w:rPr>
          <w:rFonts w:ascii="Arial" w:hAnsi="Arial" w:cs="Arial"/>
          <w:b/>
          <w:bCs/>
          <w:i/>
          <w:iCs/>
          <w:sz w:val="24"/>
          <w:szCs w:val="24"/>
          <w:lang w:val="en-GB"/>
        </w:rPr>
        <w:t>Seller</w:t>
      </w:r>
    </w:p>
    <w:p w14:paraId="44BA535B" w14:textId="77777777" w:rsidR="00DC74E4" w:rsidRPr="00DC74E4" w:rsidRDefault="00DC74E4" w:rsidP="00DC74E4">
      <w:pPr>
        <w:numPr>
          <w:ilvl w:val="0"/>
          <w:numId w:val="15"/>
        </w:numPr>
        <w:spacing w:after="0"/>
        <w:rPr>
          <w:rFonts w:ascii="Arial" w:hAnsi="Arial" w:cs="Arial"/>
          <w:i/>
          <w:iCs/>
          <w:sz w:val="24"/>
          <w:szCs w:val="24"/>
          <w:lang w:val="en-GB"/>
        </w:rPr>
      </w:pPr>
      <w:r w:rsidRPr="00DC74E4">
        <w:rPr>
          <w:rFonts w:ascii="Arial" w:hAnsi="Arial" w:cs="Arial"/>
          <w:b/>
          <w:bCs/>
          <w:i/>
          <w:iCs/>
          <w:sz w:val="24"/>
          <w:szCs w:val="24"/>
          <w:lang w:val="en-GB"/>
        </w:rPr>
        <w:t>Bank</w:t>
      </w:r>
    </w:p>
    <w:p w14:paraId="3B1CA566" w14:textId="77777777" w:rsidR="00DC74E4" w:rsidRPr="00DC74E4" w:rsidRDefault="00DC74E4" w:rsidP="00DC74E4">
      <w:pPr>
        <w:spacing w:after="0"/>
        <w:rPr>
          <w:rFonts w:ascii="Arial" w:hAnsi="Arial" w:cs="Arial"/>
          <w:b/>
          <w:bCs/>
          <w:i/>
          <w:iCs/>
          <w:sz w:val="24"/>
          <w:szCs w:val="24"/>
          <w:lang w:val="en-GB"/>
        </w:rPr>
      </w:pPr>
      <w:r w:rsidRPr="00DC74E4">
        <w:rPr>
          <w:rFonts w:ascii="Arial" w:hAnsi="Arial" w:cs="Arial"/>
          <w:b/>
          <w:bCs/>
          <w:i/>
          <w:iCs/>
          <w:sz w:val="24"/>
          <w:szCs w:val="24"/>
          <w:lang w:val="en-GB"/>
        </w:rPr>
        <w:t>Key Relationships and Flows:</w:t>
      </w:r>
    </w:p>
    <w:p w14:paraId="5501FDA4" w14:textId="77777777" w:rsidR="00DC74E4" w:rsidRPr="00DC74E4" w:rsidRDefault="00DC74E4" w:rsidP="00DC74E4">
      <w:pPr>
        <w:numPr>
          <w:ilvl w:val="0"/>
          <w:numId w:val="16"/>
        </w:numPr>
        <w:spacing w:after="0"/>
        <w:rPr>
          <w:rFonts w:ascii="Arial" w:hAnsi="Arial" w:cs="Arial"/>
          <w:i/>
          <w:iCs/>
          <w:sz w:val="24"/>
          <w:szCs w:val="24"/>
          <w:lang w:val="en-GB"/>
        </w:rPr>
      </w:pPr>
      <w:r w:rsidRPr="00DC74E4">
        <w:rPr>
          <w:rFonts w:ascii="Arial" w:hAnsi="Arial" w:cs="Arial"/>
          <w:b/>
          <w:bCs/>
          <w:i/>
          <w:iCs/>
          <w:sz w:val="24"/>
          <w:szCs w:val="24"/>
          <w:lang w:val="en-GB"/>
        </w:rPr>
        <w:t>Private Equity Fund and Management</w:t>
      </w:r>
      <w:r w:rsidRPr="00DC74E4">
        <w:rPr>
          <w:rFonts w:ascii="Arial" w:hAnsi="Arial" w:cs="Arial"/>
          <w:i/>
          <w:iCs/>
          <w:sz w:val="24"/>
          <w:szCs w:val="24"/>
          <w:lang w:val="en-GB"/>
        </w:rPr>
        <w:t> invest money into </w:t>
      </w:r>
      <w:r w:rsidRPr="00DC74E4">
        <w:rPr>
          <w:rFonts w:ascii="Arial" w:hAnsi="Arial" w:cs="Arial"/>
          <w:b/>
          <w:bCs/>
          <w:i/>
          <w:iCs/>
          <w:sz w:val="24"/>
          <w:szCs w:val="24"/>
          <w:lang w:val="en-GB"/>
        </w:rPr>
        <w:t>Topco</w:t>
      </w:r>
      <w:r w:rsidRPr="00DC74E4">
        <w:rPr>
          <w:rFonts w:ascii="Arial" w:hAnsi="Arial" w:cs="Arial"/>
          <w:i/>
          <w:iCs/>
          <w:sz w:val="24"/>
          <w:szCs w:val="24"/>
          <w:lang w:val="en-GB"/>
        </w:rPr>
        <w:t>.</w:t>
      </w:r>
    </w:p>
    <w:p w14:paraId="486C5046" w14:textId="77777777" w:rsidR="00DC74E4" w:rsidRPr="00DC74E4" w:rsidRDefault="00DC74E4" w:rsidP="00DC74E4">
      <w:pPr>
        <w:numPr>
          <w:ilvl w:val="0"/>
          <w:numId w:val="16"/>
        </w:numPr>
        <w:spacing w:after="0"/>
        <w:rPr>
          <w:rFonts w:ascii="Arial" w:hAnsi="Arial" w:cs="Arial"/>
          <w:i/>
          <w:iCs/>
          <w:sz w:val="24"/>
          <w:szCs w:val="24"/>
          <w:lang w:val="en-GB"/>
        </w:rPr>
      </w:pPr>
      <w:r w:rsidRPr="00DC74E4">
        <w:rPr>
          <w:rFonts w:ascii="Arial" w:hAnsi="Arial" w:cs="Arial"/>
          <w:b/>
          <w:bCs/>
          <w:i/>
          <w:iCs/>
          <w:sz w:val="24"/>
          <w:szCs w:val="24"/>
          <w:lang w:val="en-GB"/>
        </w:rPr>
        <w:t>Topco</w:t>
      </w:r>
      <w:r w:rsidRPr="00DC74E4">
        <w:rPr>
          <w:rFonts w:ascii="Arial" w:hAnsi="Arial" w:cs="Arial"/>
          <w:i/>
          <w:iCs/>
          <w:sz w:val="24"/>
          <w:szCs w:val="24"/>
          <w:lang w:val="en-GB"/>
        </w:rPr>
        <w:t> passes funds to </w:t>
      </w:r>
      <w:r w:rsidRPr="00DC74E4">
        <w:rPr>
          <w:rFonts w:ascii="Arial" w:hAnsi="Arial" w:cs="Arial"/>
          <w:b/>
          <w:bCs/>
          <w:i/>
          <w:iCs/>
          <w:sz w:val="24"/>
          <w:szCs w:val="24"/>
          <w:lang w:val="en-GB"/>
        </w:rPr>
        <w:t>Bidco</w:t>
      </w:r>
      <w:r w:rsidRPr="00DC74E4">
        <w:rPr>
          <w:rFonts w:ascii="Arial" w:hAnsi="Arial" w:cs="Arial"/>
          <w:i/>
          <w:iCs/>
          <w:sz w:val="24"/>
          <w:szCs w:val="24"/>
          <w:lang w:val="en-GB"/>
        </w:rPr>
        <w:t> either through:</w:t>
      </w:r>
    </w:p>
    <w:p w14:paraId="7E506325" w14:textId="77777777" w:rsidR="00DC74E4" w:rsidRPr="00DC74E4" w:rsidRDefault="00DC74E4" w:rsidP="00DC74E4">
      <w:pPr>
        <w:numPr>
          <w:ilvl w:val="1"/>
          <w:numId w:val="16"/>
        </w:numPr>
        <w:spacing w:after="0"/>
        <w:rPr>
          <w:rFonts w:ascii="Arial" w:hAnsi="Arial" w:cs="Arial"/>
          <w:i/>
          <w:iCs/>
          <w:sz w:val="24"/>
          <w:szCs w:val="24"/>
          <w:lang w:val="en-GB"/>
        </w:rPr>
      </w:pPr>
      <w:r w:rsidRPr="00DC74E4">
        <w:rPr>
          <w:rFonts w:ascii="Arial" w:hAnsi="Arial" w:cs="Arial"/>
          <w:i/>
          <w:iCs/>
          <w:sz w:val="24"/>
          <w:szCs w:val="24"/>
          <w:lang w:val="en-GB"/>
        </w:rPr>
        <w:lastRenderedPageBreak/>
        <w:t>An </w:t>
      </w:r>
      <w:r w:rsidRPr="00DC74E4">
        <w:rPr>
          <w:rFonts w:ascii="Arial" w:hAnsi="Arial" w:cs="Arial"/>
          <w:b/>
          <w:bCs/>
          <w:i/>
          <w:iCs/>
          <w:sz w:val="24"/>
          <w:szCs w:val="24"/>
          <w:lang w:val="en-GB"/>
        </w:rPr>
        <w:t>intragroup loan</w:t>
      </w:r>
      <w:r w:rsidRPr="00DC74E4">
        <w:rPr>
          <w:rFonts w:ascii="Arial" w:hAnsi="Arial" w:cs="Arial"/>
          <w:i/>
          <w:iCs/>
          <w:sz w:val="24"/>
          <w:szCs w:val="24"/>
          <w:lang w:val="en-GB"/>
        </w:rPr>
        <w:t>, or</w:t>
      </w:r>
    </w:p>
    <w:p w14:paraId="6CF87AD9" w14:textId="77777777" w:rsidR="00DC74E4" w:rsidRPr="00DC74E4" w:rsidRDefault="00DC74E4" w:rsidP="00DC74E4">
      <w:pPr>
        <w:numPr>
          <w:ilvl w:val="1"/>
          <w:numId w:val="16"/>
        </w:numPr>
        <w:spacing w:after="0"/>
        <w:rPr>
          <w:rFonts w:ascii="Arial" w:hAnsi="Arial" w:cs="Arial"/>
          <w:i/>
          <w:iCs/>
          <w:sz w:val="24"/>
          <w:szCs w:val="24"/>
          <w:lang w:val="en-GB"/>
        </w:rPr>
      </w:pPr>
      <w:r w:rsidRPr="00DC74E4">
        <w:rPr>
          <w:rFonts w:ascii="Arial" w:hAnsi="Arial" w:cs="Arial"/>
          <w:b/>
          <w:bCs/>
          <w:i/>
          <w:iCs/>
          <w:sz w:val="24"/>
          <w:szCs w:val="24"/>
          <w:lang w:val="en-GB"/>
        </w:rPr>
        <w:t>Equity investment</w:t>
      </w:r>
      <w:r w:rsidRPr="00DC74E4">
        <w:rPr>
          <w:rFonts w:ascii="Arial" w:hAnsi="Arial" w:cs="Arial"/>
          <w:i/>
          <w:iCs/>
          <w:sz w:val="24"/>
          <w:szCs w:val="24"/>
          <w:lang w:val="en-GB"/>
        </w:rPr>
        <w:t> (shares in Bidco).</w:t>
      </w:r>
    </w:p>
    <w:p w14:paraId="138DD324" w14:textId="77777777" w:rsidR="00DC74E4" w:rsidRPr="00DC74E4" w:rsidRDefault="00DC74E4" w:rsidP="00DC74E4">
      <w:pPr>
        <w:numPr>
          <w:ilvl w:val="0"/>
          <w:numId w:val="16"/>
        </w:numPr>
        <w:spacing w:after="0"/>
        <w:rPr>
          <w:rFonts w:ascii="Arial" w:hAnsi="Arial" w:cs="Arial"/>
          <w:i/>
          <w:iCs/>
          <w:sz w:val="24"/>
          <w:szCs w:val="24"/>
          <w:lang w:val="en-GB"/>
        </w:rPr>
      </w:pPr>
      <w:r w:rsidRPr="00DC74E4">
        <w:rPr>
          <w:rFonts w:ascii="Arial" w:hAnsi="Arial" w:cs="Arial"/>
          <w:b/>
          <w:bCs/>
          <w:i/>
          <w:iCs/>
          <w:sz w:val="24"/>
          <w:szCs w:val="24"/>
          <w:lang w:val="en-GB"/>
        </w:rPr>
        <w:t>Bank</w:t>
      </w:r>
      <w:r w:rsidRPr="00DC74E4">
        <w:rPr>
          <w:rFonts w:ascii="Arial" w:hAnsi="Arial" w:cs="Arial"/>
          <w:i/>
          <w:iCs/>
          <w:sz w:val="24"/>
          <w:szCs w:val="24"/>
          <w:lang w:val="en-GB"/>
        </w:rPr>
        <w:t> lends money directly to </w:t>
      </w:r>
      <w:r w:rsidRPr="00DC74E4">
        <w:rPr>
          <w:rFonts w:ascii="Arial" w:hAnsi="Arial" w:cs="Arial"/>
          <w:b/>
          <w:bCs/>
          <w:i/>
          <w:iCs/>
          <w:sz w:val="24"/>
          <w:szCs w:val="24"/>
          <w:lang w:val="en-GB"/>
        </w:rPr>
        <w:t>Bidco</w:t>
      </w:r>
      <w:r w:rsidRPr="00DC74E4">
        <w:rPr>
          <w:rFonts w:ascii="Arial" w:hAnsi="Arial" w:cs="Arial"/>
          <w:i/>
          <w:iCs/>
          <w:sz w:val="24"/>
          <w:szCs w:val="24"/>
          <w:lang w:val="en-GB"/>
        </w:rPr>
        <w:t>.</w:t>
      </w:r>
    </w:p>
    <w:p w14:paraId="42E9CCBE" w14:textId="77777777" w:rsidR="00DC74E4" w:rsidRPr="00DC74E4" w:rsidRDefault="00DC74E4" w:rsidP="00DC74E4">
      <w:pPr>
        <w:numPr>
          <w:ilvl w:val="0"/>
          <w:numId w:val="16"/>
        </w:numPr>
        <w:spacing w:after="0"/>
        <w:rPr>
          <w:rFonts w:ascii="Arial" w:hAnsi="Arial" w:cs="Arial"/>
          <w:i/>
          <w:iCs/>
          <w:sz w:val="24"/>
          <w:szCs w:val="24"/>
          <w:lang w:val="en-GB"/>
        </w:rPr>
      </w:pPr>
      <w:r w:rsidRPr="00DC74E4">
        <w:rPr>
          <w:rFonts w:ascii="Arial" w:hAnsi="Arial" w:cs="Arial"/>
          <w:b/>
          <w:bCs/>
          <w:i/>
          <w:iCs/>
          <w:sz w:val="24"/>
          <w:szCs w:val="24"/>
          <w:lang w:val="en-GB"/>
        </w:rPr>
        <w:t>Bidco</w:t>
      </w:r>
      <w:r w:rsidRPr="00DC74E4">
        <w:rPr>
          <w:rFonts w:ascii="Arial" w:hAnsi="Arial" w:cs="Arial"/>
          <w:i/>
          <w:iCs/>
          <w:sz w:val="24"/>
          <w:szCs w:val="24"/>
          <w:lang w:val="en-GB"/>
        </w:rPr>
        <w:t> uses the combined funds to </w:t>
      </w:r>
      <w:r w:rsidRPr="00DC74E4">
        <w:rPr>
          <w:rFonts w:ascii="Arial" w:hAnsi="Arial" w:cs="Arial"/>
          <w:b/>
          <w:bCs/>
          <w:i/>
          <w:iCs/>
          <w:sz w:val="24"/>
          <w:szCs w:val="24"/>
          <w:lang w:val="en-GB"/>
        </w:rPr>
        <w:t>acquire the Target</w:t>
      </w:r>
      <w:r w:rsidRPr="00DC74E4">
        <w:rPr>
          <w:rFonts w:ascii="Arial" w:hAnsi="Arial" w:cs="Arial"/>
          <w:i/>
          <w:iCs/>
          <w:sz w:val="24"/>
          <w:szCs w:val="24"/>
          <w:lang w:val="en-GB"/>
        </w:rPr>
        <w:t> from the </w:t>
      </w:r>
      <w:r w:rsidRPr="00DC74E4">
        <w:rPr>
          <w:rFonts w:ascii="Arial" w:hAnsi="Arial" w:cs="Arial"/>
          <w:b/>
          <w:bCs/>
          <w:i/>
          <w:iCs/>
          <w:sz w:val="24"/>
          <w:szCs w:val="24"/>
          <w:lang w:val="en-GB"/>
        </w:rPr>
        <w:t>Seller</w:t>
      </w:r>
      <w:r w:rsidRPr="00DC74E4">
        <w:rPr>
          <w:rFonts w:ascii="Arial" w:hAnsi="Arial" w:cs="Arial"/>
          <w:i/>
          <w:iCs/>
          <w:sz w:val="24"/>
          <w:szCs w:val="24"/>
          <w:lang w:val="en-GB"/>
        </w:rPr>
        <w:t>.</w:t>
      </w:r>
    </w:p>
    <w:p w14:paraId="1E606580" w14:textId="77777777" w:rsidR="00DC74E4" w:rsidRPr="00DC74E4" w:rsidRDefault="00DC74E4" w:rsidP="00DC74E4">
      <w:pPr>
        <w:numPr>
          <w:ilvl w:val="0"/>
          <w:numId w:val="16"/>
        </w:numPr>
        <w:spacing w:after="0"/>
        <w:rPr>
          <w:rFonts w:ascii="Arial" w:hAnsi="Arial" w:cs="Arial"/>
          <w:i/>
          <w:iCs/>
          <w:sz w:val="24"/>
          <w:szCs w:val="24"/>
          <w:lang w:val="en-GB"/>
        </w:rPr>
      </w:pPr>
      <w:r w:rsidRPr="00DC74E4">
        <w:rPr>
          <w:rFonts w:ascii="Arial" w:hAnsi="Arial" w:cs="Arial"/>
          <w:b/>
          <w:bCs/>
          <w:i/>
          <w:iCs/>
          <w:sz w:val="24"/>
          <w:szCs w:val="24"/>
          <w:lang w:val="en-GB"/>
        </w:rPr>
        <w:t>Security</w:t>
      </w:r>
      <w:r w:rsidRPr="00DC74E4">
        <w:rPr>
          <w:rFonts w:ascii="Arial" w:hAnsi="Arial" w:cs="Arial"/>
          <w:i/>
          <w:iCs/>
          <w:sz w:val="24"/>
          <w:szCs w:val="24"/>
          <w:lang w:val="en-GB"/>
        </w:rPr>
        <w:t> is granted by </w:t>
      </w:r>
      <w:r w:rsidRPr="00DC74E4">
        <w:rPr>
          <w:rFonts w:ascii="Arial" w:hAnsi="Arial" w:cs="Arial"/>
          <w:b/>
          <w:bCs/>
          <w:i/>
          <w:iCs/>
          <w:sz w:val="24"/>
          <w:szCs w:val="24"/>
          <w:lang w:val="en-GB"/>
        </w:rPr>
        <w:t>Bidco</w:t>
      </w:r>
      <w:r w:rsidRPr="00DC74E4">
        <w:rPr>
          <w:rFonts w:ascii="Arial" w:hAnsi="Arial" w:cs="Arial"/>
          <w:i/>
          <w:iCs/>
          <w:sz w:val="24"/>
          <w:szCs w:val="24"/>
          <w:lang w:val="en-GB"/>
        </w:rPr>
        <w:t> and </w:t>
      </w:r>
      <w:r w:rsidRPr="00DC74E4">
        <w:rPr>
          <w:rFonts w:ascii="Arial" w:hAnsi="Arial" w:cs="Arial"/>
          <w:b/>
          <w:bCs/>
          <w:i/>
          <w:iCs/>
          <w:sz w:val="24"/>
          <w:szCs w:val="24"/>
          <w:lang w:val="en-GB"/>
        </w:rPr>
        <w:t>Target</w:t>
      </w:r>
      <w:r w:rsidRPr="00DC74E4">
        <w:rPr>
          <w:rFonts w:ascii="Arial" w:hAnsi="Arial" w:cs="Arial"/>
          <w:i/>
          <w:iCs/>
          <w:sz w:val="24"/>
          <w:szCs w:val="24"/>
          <w:lang w:val="en-GB"/>
        </w:rPr>
        <w:t> (if shares are acquired) to the </w:t>
      </w:r>
      <w:r w:rsidRPr="00DC74E4">
        <w:rPr>
          <w:rFonts w:ascii="Arial" w:hAnsi="Arial" w:cs="Arial"/>
          <w:b/>
          <w:bCs/>
          <w:i/>
          <w:iCs/>
          <w:sz w:val="24"/>
          <w:szCs w:val="24"/>
          <w:lang w:val="en-GB"/>
        </w:rPr>
        <w:t>Bank</w:t>
      </w:r>
      <w:r w:rsidRPr="00DC74E4">
        <w:rPr>
          <w:rFonts w:ascii="Arial" w:hAnsi="Arial" w:cs="Arial"/>
          <w:i/>
          <w:iCs/>
          <w:sz w:val="24"/>
          <w:szCs w:val="24"/>
          <w:lang w:val="en-GB"/>
        </w:rPr>
        <w:t>.</w:t>
      </w:r>
    </w:p>
    <w:p w14:paraId="7322961F" w14:textId="77777777" w:rsidR="00DC74E4" w:rsidRPr="00DC74E4" w:rsidRDefault="00DC74E4" w:rsidP="00DC74E4">
      <w:pPr>
        <w:numPr>
          <w:ilvl w:val="0"/>
          <w:numId w:val="16"/>
        </w:numPr>
        <w:spacing w:after="0"/>
        <w:rPr>
          <w:rFonts w:ascii="Arial" w:hAnsi="Arial" w:cs="Arial"/>
          <w:i/>
          <w:iCs/>
          <w:sz w:val="24"/>
          <w:szCs w:val="24"/>
          <w:lang w:val="en-GB"/>
        </w:rPr>
      </w:pPr>
      <w:r w:rsidRPr="00DC74E4">
        <w:rPr>
          <w:rFonts w:ascii="Arial" w:hAnsi="Arial" w:cs="Arial"/>
          <w:b/>
          <w:bCs/>
          <w:i/>
          <w:iCs/>
          <w:sz w:val="24"/>
          <w:szCs w:val="24"/>
          <w:lang w:val="en-GB"/>
        </w:rPr>
        <w:t>Guarantees</w:t>
      </w:r>
      <w:r w:rsidRPr="00DC74E4">
        <w:rPr>
          <w:rFonts w:ascii="Arial" w:hAnsi="Arial" w:cs="Arial"/>
          <w:i/>
          <w:iCs/>
          <w:sz w:val="24"/>
          <w:szCs w:val="24"/>
          <w:lang w:val="en-GB"/>
        </w:rPr>
        <w:t> may also be provided by </w:t>
      </w:r>
      <w:r w:rsidRPr="00DC74E4">
        <w:rPr>
          <w:rFonts w:ascii="Arial" w:hAnsi="Arial" w:cs="Arial"/>
          <w:b/>
          <w:bCs/>
          <w:i/>
          <w:iCs/>
          <w:sz w:val="24"/>
          <w:szCs w:val="24"/>
          <w:lang w:val="en-GB"/>
        </w:rPr>
        <w:t>Target</w:t>
      </w:r>
      <w:r w:rsidRPr="00DC74E4">
        <w:rPr>
          <w:rFonts w:ascii="Arial" w:hAnsi="Arial" w:cs="Arial"/>
          <w:i/>
          <w:iCs/>
          <w:sz w:val="24"/>
          <w:szCs w:val="24"/>
          <w:lang w:val="en-GB"/>
        </w:rPr>
        <w:t> for Bidco’s borrowing.</w:t>
      </w:r>
    </w:p>
    <w:p w14:paraId="39D6BC03" w14:textId="10E60D10" w:rsidR="00DC74E4" w:rsidRPr="00DC74E4" w:rsidRDefault="00DC74E4">
      <w:pPr>
        <w:rPr>
          <w:rFonts w:ascii="Arial" w:hAnsi="Arial" w:cs="Arial"/>
          <w:i/>
          <w:iCs/>
          <w:sz w:val="24"/>
          <w:szCs w:val="24"/>
        </w:rPr>
      </w:pPr>
    </w:p>
    <w:p w14:paraId="49B348EF" w14:textId="77777777" w:rsidR="00DC74E4" w:rsidRPr="00DC74E4" w:rsidRDefault="00DC74E4" w:rsidP="00DC74E4">
      <w:pPr>
        <w:rPr>
          <w:rFonts w:ascii="Arial" w:hAnsi="Arial" w:cs="Arial"/>
          <w:b/>
          <w:bCs/>
          <w:sz w:val="24"/>
          <w:szCs w:val="24"/>
        </w:rPr>
      </w:pPr>
      <w:r w:rsidRPr="00DC74E4">
        <w:rPr>
          <w:rFonts w:ascii="Arial" w:hAnsi="Arial" w:cs="Arial"/>
          <w:b/>
          <w:bCs/>
          <w:sz w:val="24"/>
          <w:szCs w:val="24"/>
        </w:rPr>
        <w:t>Return on investment</w:t>
      </w:r>
    </w:p>
    <w:p w14:paraId="2BF6B40B" w14:textId="77777777" w:rsidR="00DC74E4" w:rsidRDefault="00000000">
      <w:pPr>
        <w:rPr>
          <w:rFonts w:ascii="Arial" w:hAnsi="Arial" w:cs="Arial"/>
          <w:sz w:val="24"/>
          <w:szCs w:val="24"/>
        </w:rPr>
      </w:pPr>
      <w:r w:rsidRPr="00621EA2">
        <w:rPr>
          <w:rFonts w:ascii="Arial" w:hAnsi="Arial" w:cs="Arial"/>
          <w:sz w:val="24"/>
          <w:szCs w:val="24"/>
        </w:rPr>
        <w:t>Whilst the Fund may well achieve an income return in the form of dividends or interest from Topco, the major return on the investment by the Fund will be the capital return achieved upon ‘Exit’. A successful Exit occurs upon one of the following occurring:</w:t>
      </w:r>
    </w:p>
    <w:p w14:paraId="49AD6CBA" w14:textId="77777777" w:rsidR="00DC74E4" w:rsidRPr="00DC74E4" w:rsidRDefault="00000000" w:rsidP="00DC74E4">
      <w:pPr>
        <w:pStyle w:val="ListParagraph"/>
        <w:numPr>
          <w:ilvl w:val="0"/>
          <w:numId w:val="18"/>
        </w:numPr>
        <w:rPr>
          <w:rFonts w:ascii="Arial" w:hAnsi="Arial" w:cs="Arial"/>
          <w:sz w:val="24"/>
          <w:szCs w:val="24"/>
        </w:rPr>
      </w:pPr>
      <w:r w:rsidRPr="00DC74E4">
        <w:rPr>
          <w:rFonts w:ascii="Arial" w:hAnsi="Arial" w:cs="Arial"/>
          <w:sz w:val="24"/>
          <w:szCs w:val="24"/>
        </w:rPr>
        <w:t xml:space="preserve">the </w:t>
      </w:r>
      <w:r w:rsidRPr="00DC74E4">
        <w:rPr>
          <w:rFonts w:ascii="Arial" w:hAnsi="Arial" w:cs="Arial"/>
          <w:b/>
          <w:bCs/>
          <w:sz w:val="24"/>
          <w:szCs w:val="24"/>
        </w:rPr>
        <w:t>IPO</w:t>
      </w:r>
      <w:r w:rsidRPr="00DC74E4">
        <w:rPr>
          <w:rFonts w:ascii="Arial" w:hAnsi="Arial" w:cs="Arial"/>
          <w:sz w:val="24"/>
          <w:szCs w:val="24"/>
        </w:rPr>
        <w:t xml:space="preserve"> of Topco on a </w:t>
      </w:r>
      <w:proofErr w:type="spellStart"/>
      <w:r w:rsidRPr="00DC74E4">
        <w:rPr>
          <w:rFonts w:ascii="Arial" w:hAnsi="Arial" w:cs="Arial"/>
          <w:sz w:val="24"/>
          <w:szCs w:val="24"/>
        </w:rPr>
        <w:t>recognised</w:t>
      </w:r>
      <w:proofErr w:type="spellEnd"/>
      <w:r w:rsidRPr="00DC74E4">
        <w:rPr>
          <w:rFonts w:ascii="Arial" w:hAnsi="Arial" w:cs="Arial"/>
          <w:sz w:val="24"/>
          <w:szCs w:val="24"/>
        </w:rPr>
        <w:t xml:space="preserve"> exchange; or</w:t>
      </w:r>
    </w:p>
    <w:p w14:paraId="3E0A9E69" w14:textId="77777777" w:rsidR="00DC74E4" w:rsidRPr="00DC74E4" w:rsidRDefault="00000000" w:rsidP="00DC74E4">
      <w:pPr>
        <w:pStyle w:val="ListParagraph"/>
        <w:numPr>
          <w:ilvl w:val="0"/>
          <w:numId w:val="18"/>
        </w:numPr>
        <w:rPr>
          <w:rFonts w:ascii="Arial" w:hAnsi="Arial" w:cs="Arial"/>
          <w:sz w:val="24"/>
          <w:szCs w:val="24"/>
        </w:rPr>
      </w:pPr>
      <w:r w:rsidRPr="00DC74E4">
        <w:rPr>
          <w:rFonts w:ascii="Arial" w:hAnsi="Arial" w:cs="Arial"/>
          <w:sz w:val="24"/>
          <w:szCs w:val="24"/>
        </w:rPr>
        <w:t xml:space="preserve">the </w:t>
      </w:r>
      <w:r w:rsidRPr="00DC74E4">
        <w:rPr>
          <w:rFonts w:ascii="Arial" w:hAnsi="Arial" w:cs="Arial"/>
          <w:b/>
          <w:bCs/>
          <w:sz w:val="24"/>
          <w:szCs w:val="24"/>
        </w:rPr>
        <w:t xml:space="preserve">sale </w:t>
      </w:r>
      <w:r w:rsidRPr="00DC74E4">
        <w:rPr>
          <w:rFonts w:ascii="Arial" w:hAnsi="Arial" w:cs="Arial"/>
          <w:sz w:val="24"/>
          <w:szCs w:val="24"/>
        </w:rPr>
        <w:t>of Topco to a trade buyer; or</w:t>
      </w:r>
    </w:p>
    <w:p w14:paraId="688E1009" w14:textId="77777777" w:rsidR="00DC74E4" w:rsidRPr="00DC74E4" w:rsidRDefault="00000000" w:rsidP="00DC74E4">
      <w:pPr>
        <w:pStyle w:val="ListParagraph"/>
        <w:numPr>
          <w:ilvl w:val="0"/>
          <w:numId w:val="18"/>
        </w:numPr>
        <w:rPr>
          <w:rFonts w:ascii="Arial" w:hAnsi="Arial" w:cs="Arial"/>
          <w:sz w:val="24"/>
          <w:szCs w:val="24"/>
        </w:rPr>
      </w:pPr>
      <w:r w:rsidRPr="00DC74E4">
        <w:rPr>
          <w:rFonts w:ascii="Arial" w:hAnsi="Arial" w:cs="Arial"/>
          <w:sz w:val="24"/>
          <w:szCs w:val="24"/>
        </w:rPr>
        <w:t xml:space="preserve">a </w:t>
      </w:r>
      <w:r w:rsidRPr="00DC74E4">
        <w:rPr>
          <w:rFonts w:ascii="Arial" w:hAnsi="Arial" w:cs="Arial"/>
          <w:b/>
          <w:bCs/>
          <w:sz w:val="24"/>
          <w:szCs w:val="24"/>
        </w:rPr>
        <w:t>secondary buy-out</w:t>
      </w:r>
      <w:r w:rsidRPr="00DC74E4">
        <w:rPr>
          <w:rFonts w:ascii="Arial" w:hAnsi="Arial" w:cs="Arial"/>
          <w:sz w:val="24"/>
          <w:szCs w:val="24"/>
        </w:rPr>
        <w:t xml:space="preserve"> (where one Fund buys from another) or further buy-out.</w:t>
      </w:r>
    </w:p>
    <w:p w14:paraId="6C765A2E" w14:textId="77777777" w:rsidR="00DC74E4" w:rsidRDefault="00000000">
      <w:pPr>
        <w:rPr>
          <w:rFonts w:ascii="Arial" w:hAnsi="Arial" w:cs="Arial"/>
          <w:sz w:val="24"/>
          <w:szCs w:val="24"/>
        </w:rPr>
      </w:pPr>
      <w:r w:rsidRPr="00621EA2">
        <w:rPr>
          <w:rFonts w:ascii="Arial" w:hAnsi="Arial" w:cs="Arial"/>
          <w:sz w:val="24"/>
          <w:szCs w:val="24"/>
        </w:rPr>
        <w:t xml:space="preserve">Most successful Exits occur between three and seven years after the acquisition of the target by Bidco. Where the venture proves to be </w:t>
      </w:r>
      <w:r w:rsidRPr="00DC74E4">
        <w:rPr>
          <w:rFonts w:ascii="Arial" w:hAnsi="Arial" w:cs="Arial"/>
          <w:b/>
          <w:bCs/>
          <w:sz w:val="24"/>
          <w:szCs w:val="24"/>
        </w:rPr>
        <w:t>unsuccessful</w:t>
      </w:r>
      <w:r w:rsidRPr="00621EA2">
        <w:rPr>
          <w:rFonts w:ascii="Arial" w:hAnsi="Arial" w:cs="Arial"/>
          <w:sz w:val="24"/>
          <w:szCs w:val="24"/>
        </w:rPr>
        <w:t>, the Exit will probably be by way of either:</w:t>
      </w:r>
    </w:p>
    <w:p w14:paraId="234BA981" w14:textId="77777777" w:rsidR="00DC74E4" w:rsidRPr="00DC74E4" w:rsidRDefault="00000000" w:rsidP="00DC74E4">
      <w:pPr>
        <w:pStyle w:val="ListParagraph"/>
        <w:numPr>
          <w:ilvl w:val="0"/>
          <w:numId w:val="19"/>
        </w:numPr>
        <w:rPr>
          <w:rFonts w:ascii="Arial" w:hAnsi="Arial" w:cs="Arial"/>
          <w:sz w:val="24"/>
          <w:szCs w:val="24"/>
        </w:rPr>
      </w:pPr>
      <w:r w:rsidRPr="00DC74E4">
        <w:rPr>
          <w:rFonts w:ascii="Arial" w:hAnsi="Arial" w:cs="Arial"/>
          <w:sz w:val="24"/>
          <w:szCs w:val="24"/>
        </w:rPr>
        <w:t>a sale of the Fund’s equity in Topco to Management; or</w:t>
      </w:r>
    </w:p>
    <w:p w14:paraId="0206B60B" w14:textId="77777777" w:rsidR="00DC74E4" w:rsidRPr="00DC74E4" w:rsidRDefault="00000000" w:rsidP="00DC74E4">
      <w:pPr>
        <w:pStyle w:val="ListParagraph"/>
        <w:numPr>
          <w:ilvl w:val="0"/>
          <w:numId w:val="19"/>
        </w:numPr>
        <w:rPr>
          <w:rFonts w:ascii="Arial" w:hAnsi="Arial" w:cs="Arial"/>
          <w:sz w:val="24"/>
          <w:szCs w:val="24"/>
        </w:rPr>
      </w:pPr>
      <w:r w:rsidRPr="00DC74E4">
        <w:rPr>
          <w:rFonts w:ascii="Arial" w:hAnsi="Arial" w:cs="Arial"/>
          <w:sz w:val="24"/>
          <w:szCs w:val="24"/>
        </w:rPr>
        <w:t>an administration or insolvent liquidation of Topco.</w:t>
      </w:r>
    </w:p>
    <w:p w14:paraId="0BDCB165" w14:textId="641E85FA" w:rsidR="00A73E9C" w:rsidRPr="00621EA2" w:rsidRDefault="00000000">
      <w:pPr>
        <w:rPr>
          <w:rFonts w:ascii="Arial" w:hAnsi="Arial" w:cs="Arial"/>
          <w:sz w:val="24"/>
          <w:szCs w:val="24"/>
        </w:rPr>
      </w:pPr>
      <w:r w:rsidRPr="00621EA2">
        <w:rPr>
          <w:rFonts w:ascii="Arial" w:hAnsi="Arial" w:cs="Arial"/>
          <w:sz w:val="24"/>
          <w:szCs w:val="24"/>
        </w:rPr>
        <w:t>Continuation funds are growing in popularity. The structure of a continuation fund involves the formation of a new fund for the purpose of acquiring one or more assets from the original fund (which is nearing the end of its lifespan). This gives generally the LP the option to stay invested in the portfolio and recommit to a new fund.</w:t>
      </w:r>
    </w:p>
    <w:p w14:paraId="67578749" w14:textId="77777777" w:rsidR="00DC74E4" w:rsidRDefault="00DC74E4">
      <w:pPr>
        <w:rPr>
          <w:rFonts w:ascii="Arial" w:hAnsi="Arial" w:cs="Arial"/>
          <w:b/>
          <w:bCs/>
          <w:sz w:val="24"/>
          <w:szCs w:val="24"/>
        </w:rPr>
      </w:pPr>
      <w:r>
        <w:rPr>
          <w:rFonts w:ascii="Arial" w:hAnsi="Arial" w:cs="Arial"/>
          <w:b/>
          <w:bCs/>
          <w:sz w:val="24"/>
          <w:szCs w:val="24"/>
        </w:rPr>
        <w:t>Summary</w:t>
      </w:r>
    </w:p>
    <w:p w14:paraId="4C8562EA" w14:textId="77777777" w:rsidR="00DC74E4" w:rsidRPr="00DC74E4" w:rsidRDefault="00000000" w:rsidP="00DC74E4">
      <w:pPr>
        <w:pStyle w:val="ListParagraph"/>
        <w:numPr>
          <w:ilvl w:val="0"/>
          <w:numId w:val="20"/>
        </w:numPr>
        <w:rPr>
          <w:rFonts w:ascii="Arial" w:hAnsi="Arial" w:cs="Arial"/>
          <w:sz w:val="24"/>
          <w:szCs w:val="24"/>
        </w:rPr>
      </w:pPr>
      <w:r w:rsidRPr="00DC74E4">
        <w:rPr>
          <w:rFonts w:ascii="Arial" w:hAnsi="Arial" w:cs="Arial"/>
          <w:sz w:val="24"/>
          <w:szCs w:val="24"/>
        </w:rPr>
        <w:t>A private equity fund takes money from investors such as high net worth individuals, banks and pension funds and invests that money in companies to make a return.</w:t>
      </w:r>
    </w:p>
    <w:p w14:paraId="0B47F501" w14:textId="77777777" w:rsidR="00DC74E4" w:rsidRPr="00DC74E4" w:rsidRDefault="00000000" w:rsidP="00DC74E4">
      <w:pPr>
        <w:pStyle w:val="ListParagraph"/>
        <w:numPr>
          <w:ilvl w:val="0"/>
          <w:numId w:val="20"/>
        </w:numPr>
        <w:rPr>
          <w:rFonts w:ascii="Arial" w:hAnsi="Arial" w:cs="Arial"/>
          <w:sz w:val="24"/>
          <w:szCs w:val="24"/>
        </w:rPr>
      </w:pPr>
      <w:r w:rsidRPr="00DC74E4">
        <w:rPr>
          <w:rFonts w:ascii="Arial" w:hAnsi="Arial" w:cs="Arial"/>
          <w:sz w:val="24"/>
          <w:szCs w:val="24"/>
        </w:rPr>
        <w:t>A management buy-out is where the current management of the target, with the help of external funding from a private equity fund and banks, buy the company or business from the current owner.</w:t>
      </w:r>
    </w:p>
    <w:p w14:paraId="512479CC" w14:textId="77777777" w:rsidR="00DC74E4" w:rsidRPr="00DC74E4" w:rsidRDefault="00000000" w:rsidP="00DC74E4">
      <w:pPr>
        <w:pStyle w:val="ListParagraph"/>
        <w:numPr>
          <w:ilvl w:val="0"/>
          <w:numId w:val="20"/>
        </w:numPr>
        <w:rPr>
          <w:rFonts w:ascii="Arial" w:hAnsi="Arial" w:cs="Arial"/>
          <w:sz w:val="24"/>
          <w:szCs w:val="24"/>
        </w:rPr>
      </w:pPr>
      <w:r w:rsidRPr="00DC74E4">
        <w:rPr>
          <w:rFonts w:ascii="Arial" w:hAnsi="Arial" w:cs="Arial"/>
          <w:sz w:val="24"/>
          <w:szCs w:val="24"/>
        </w:rPr>
        <w:lastRenderedPageBreak/>
        <w:t>A management buy-in is where a new management team is put together to run the target following the acquisition.</w:t>
      </w:r>
    </w:p>
    <w:p w14:paraId="63481764" w14:textId="77777777" w:rsidR="00DC74E4" w:rsidRPr="00DC74E4" w:rsidRDefault="00000000" w:rsidP="00DC74E4">
      <w:pPr>
        <w:pStyle w:val="ListParagraph"/>
        <w:numPr>
          <w:ilvl w:val="0"/>
          <w:numId w:val="20"/>
        </w:numPr>
        <w:rPr>
          <w:rFonts w:ascii="Arial" w:hAnsi="Arial" w:cs="Arial"/>
          <w:sz w:val="24"/>
          <w:szCs w:val="24"/>
        </w:rPr>
      </w:pPr>
      <w:r w:rsidRPr="00DC74E4">
        <w:rPr>
          <w:rFonts w:ascii="Arial" w:hAnsi="Arial" w:cs="Arial"/>
          <w:sz w:val="24"/>
          <w:szCs w:val="24"/>
        </w:rPr>
        <w:t>An IBO involves the acquisition of a controlling interest in a company by an institutional investor (a private equity fund) and may include new or existing management.</w:t>
      </w:r>
    </w:p>
    <w:p w14:paraId="0AE4E52E" w14:textId="5974720C" w:rsidR="00A73E9C" w:rsidRPr="00DC74E4" w:rsidRDefault="00000000" w:rsidP="00DC74E4">
      <w:pPr>
        <w:pStyle w:val="ListParagraph"/>
        <w:numPr>
          <w:ilvl w:val="0"/>
          <w:numId w:val="20"/>
        </w:numPr>
        <w:rPr>
          <w:rFonts w:ascii="Arial" w:hAnsi="Arial" w:cs="Arial"/>
          <w:sz w:val="24"/>
          <w:szCs w:val="24"/>
        </w:rPr>
      </w:pPr>
      <w:r w:rsidRPr="00DC74E4">
        <w:rPr>
          <w:rFonts w:ascii="Arial" w:hAnsi="Arial" w:cs="Arial"/>
          <w:sz w:val="24"/>
          <w:szCs w:val="24"/>
        </w:rPr>
        <w:t>A buy-out will typically be structured using one or two shelf companies, ‘Topco’ and ‘Bidco’, or even more.</w:t>
      </w:r>
    </w:p>
    <w:sectPr w:rsidR="00A73E9C" w:rsidRPr="00DC74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143393"/>
    <w:multiLevelType w:val="hybridMultilevel"/>
    <w:tmpl w:val="A3662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8FB27E6"/>
    <w:multiLevelType w:val="multilevel"/>
    <w:tmpl w:val="D368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9B020F"/>
    <w:multiLevelType w:val="hybridMultilevel"/>
    <w:tmpl w:val="5AC82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A12D69"/>
    <w:multiLevelType w:val="hybridMultilevel"/>
    <w:tmpl w:val="8ACAC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984303"/>
    <w:multiLevelType w:val="hybridMultilevel"/>
    <w:tmpl w:val="2C229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2A5844"/>
    <w:multiLevelType w:val="hybridMultilevel"/>
    <w:tmpl w:val="D108C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515536"/>
    <w:multiLevelType w:val="hybridMultilevel"/>
    <w:tmpl w:val="A0C4F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D069A4"/>
    <w:multiLevelType w:val="multilevel"/>
    <w:tmpl w:val="31448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CB460C"/>
    <w:multiLevelType w:val="hybridMultilevel"/>
    <w:tmpl w:val="FE64E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A06988"/>
    <w:multiLevelType w:val="hybridMultilevel"/>
    <w:tmpl w:val="AD5AF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EC4906"/>
    <w:multiLevelType w:val="hybridMultilevel"/>
    <w:tmpl w:val="957AFDD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018634">
    <w:abstractNumId w:val="8"/>
  </w:num>
  <w:num w:numId="2" w16cid:durableId="752432504">
    <w:abstractNumId w:val="6"/>
  </w:num>
  <w:num w:numId="3" w16cid:durableId="202013948">
    <w:abstractNumId w:val="5"/>
  </w:num>
  <w:num w:numId="4" w16cid:durableId="71201487">
    <w:abstractNumId w:val="4"/>
  </w:num>
  <w:num w:numId="5" w16cid:durableId="638807097">
    <w:abstractNumId w:val="7"/>
  </w:num>
  <w:num w:numId="6" w16cid:durableId="758988379">
    <w:abstractNumId w:val="3"/>
  </w:num>
  <w:num w:numId="7" w16cid:durableId="577401399">
    <w:abstractNumId w:val="2"/>
  </w:num>
  <w:num w:numId="8" w16cid:durableId="249776080">
    <w:abstractNumId w:val="1"/>
  </w:num>
  <w:num w:numId="9" w16cid:durableId="1167087049">
    <w:abstractNumId w:val="0"/>
  </w:num>
  <w:num w:numId="10" w16cid:durableId="874192495">
    <w:abstractNumId w:val="17"/>
  </w:num>
  <w:num w:numId="11" w16cid:durableId="1348023366">
    <w:abstractNumId w:val="12"/>
  </w:num>
  <w:num w:numId="12" w16cid:durableId="2136943700">
    <w:abstractNumId w:val="15"/>
  </w:num>
  <w:num w:numId="13" w16cid:durableId="1884949984">
    <w:abstractNumId w:val="11"/>
  </w:num>
  <w:num w:numId="14" w16cid:durableId="1121411932">
    <w:abstractNumId w:val="9"/>
  </w:num>
  <w:num w:numId="15" w16cid:durableId="1542399296">
    <w:abstractNumId w:val="10"/>
  </w:num>
  <w:num w:numId="16" w16cid:durableId="1719892139">
    <w:abstractNumId w:val="16"/>
  </w:num>
  <w:num w:numId="17" w16cid:durableId="1750690011">
    <w:abstractNumId w:val="18"/>
  </w:num>
  <w:num w:numId="18" w16cid:durableId="561866303">
    <w:abstractNumId w:val="19"/>
  </w:num>
  <w:num w:numId="19" w16cid:durableId="830366440">
    <w:abstractNumId w:val="13"/>
  </w:num>
  <w:num w:numId="20" w16cid:durableId="11874468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361A"/>
    <w:rsid w:val="0029639D"/>
    <w:rsid w:val="00326F90"/>
    <w:rsid w:val="004F3A47"/>
    <w:rsid w:val="00621EA2"/>
    <w:rsid w:val="00717A67"/>
    <w:rsid w:val="00A73E9C"/>
    <w:rsid w:val="00AA1D8D"/>
    <w:rsid w:val="00B47730"/>
    <w:rsid w:val="00C66201"/>
    <w:rsid w:val="00CB0664"/>
    <w:rsid w:val="00DC74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F5542"/>
  <w14:defaultImageDpi w14:val="300"/>
  <w15:docId w15:val="{43EAD1E7-A868-48BD-9901-465C6585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C74E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11797">
      <w:bodyDiv w:val="1"/>
      <w:marLeft w:val="0"/>
      <w:marRight w:val="0"/>
      <w:marTop w:val="0"/>
      <w:marBottom w:val="0"/>
      <w:divBdr>
        <w:top w:val="none" w:sz="0" w:space="0" w:color="auto"/>
        <w:left w:val="none" w:sz="0" w:space="0" w:color="auto"/>
        <w:bottom w:val="none" w:sz="0" w:space="0" w:color="auto"/>
        <w:right w:val="none" w:sz="0" w:space="0" w:color="auto"/>
      </w:divBdr>
    </w:div>
    <w:div w:id="166213483">
      <w:bodyDiv w:val="1"/>
      <w:marLeft w:val="0"/>
      <w:marRight w:val="0"/>
      <w:marTop w:val="0"/>
      <w:marBottom w:val="0"/>
      <w:divBdr>
        <w:top w:val="none" w:sz="0" w:space="0" w:color="auto"/>
        <w:left w:val="none" w:sz="0" w:space="0" w:color="auto"/>
        <w:bottom w:val="none" w:sz="0" w:space="0" w:color="auto"/>
        <w:right w:val="none" w:sz="0" w:space="0" w:color="auto"/>
      </w:divBdr>
    </w:div>
    <w:div w:id="629633795">
      <w:bodyDiv w:val="1"/>
      <w:marLeft w:val="0"/>
      <w:marRight w:val="0"/>
      <w:marTop w:val="0"/>
      <w:marBottom w:val="0"/>
      <w:divBdr>
        <w:top w:val="none" w:sz="0" w:space="0" w:color="auto"/>
        <w:left w:val="none" w:sz="0" w:space="0" w:color="auto"/>
        <w:bottom w:val="none" w:sz="0" w:space="0" w:color="auto"/>
        <w:right w:val="none" w:sz="0" w:space="0" w:color="auto"/>
      </w:divBdr>
    </w:div>
    <w:div w:id="991564889">
      <w:bodyDiv w:val="1"/>
      <w:marLeft w:val="0"/>
      <w:marRight w:val="0"/>
      <w:marTop w:val="0"/>
      <w:marBottom w:val="0"/>
      <w:divBdr>
        <w:top w:val="none" w:sz="0" w:space="0" w:color="auto"/>
        <w:left w:val="none" w:sz="0" w:space="0" w:color="auto"/>
        <w:bottom w:val="none" w:sz="0" w:space="0" w:color="auto"/>
        <w:right w:val="none" w:sz="0" w:space="0" w:color="auto"/>
      </w:divBdr>
    </w:div>
    <w:div w:id="1333099761">
      <w:bodyDiv w:val="1"/>
      <w:marLeft w:val="0"/>
      <w:marRight w:val="0"/>
      <w:marTop w:val="0"/>
      <w:marBottom w:val="0"/>
      <w:divBdr>
        <w:top w:val="none" w:sz="0" w:space="0" w:color="auto"/>
        <w:left w:val="none" w:sz="0" w:space="0" w:color="auto"/>
        <w:bottom w:val="none" w:sz="0" w:space="0" w:color="auto"/>
        <w:right w:val="none" w:sz="0" w:space="0" w:color="auto"/>
      </w:divBdr>
    </w:div>
    <w:div w:id="1545216735">
      <w:bodyDiv w:val="1"/>
      <w:marLeft w:val="0"/>
      <w:marRight w:val="0"/>
      <w:marTop w:val="0"/>
      <w:marBottom w:val="0"/>
      <w:divBdr>
        <w:top w:val="none" w:sz="0" w:space="0" w:color="auto"/>
        <w:left w:val="none" w:sz="0" w:space="0" w:color="auto"/>
        <w:bottom w:val="none" w:sz="0" w:space="0" w:color="auto"/>
        <w:right w:val="none" w:sz="0" w:space="0" w:color="auto"/>
      </w:divBdr>
    </w:div>
    <w:div w:id="1593195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D4B59E-E6E2-451F-A159-54636F7F0D04}">
  <ds:schemaRefs>
    <ds:schemaRef ds:uri="http://schemas.microsoft.com/sharepoint/v3/contenttype/forms"/>
  </ds:schemaRefs>
</ds:datastoreItem>
</file>

<file path=customXml/itemProps2.xml><?xml version="1.0" encoding="utf-8"?>
<ds:datastoreItem xmlns:ds="http://schemas.openxmlformats.org/officeDocument/2006/customXml" ds:itemID="{06330675-B256-47CF-9248-EDE56ACCBF2E}">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B196C9EA-2925-4CB7-8AD5-730E7A241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6</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3</cp:revision>
  <dcterms:created xsi:type="dcterms:W3CDTF">2013-12-23T23:15:00Z</dcterms:created>
  <dcterms:modified xsi:type="dcterms:W3CDTF">2025-05-29T11:57:00Z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