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 xml:space="preserve">England and Wales </w:t>
      </w:r>
      <w:proofErr w:type="gramStart"/>
      <w:r w:rsidRPr="008E0393">
        <w:rPr>
          <w:rFonts w:ascii="Montserrat" w:eastAsia="Times New Roman" w:hAnsi="Montserrat" w:cs="Times New Roman"/>
          <w:color w:val="000000"/>
          <w:kern w:val="0"/>
          <w:sz w:val="27"/>
          <w:szCs w:val="27"/>
          <w:lang w:eastAsia="en-GB"/>
          <w14:ligatures w14:val="none"/>
        </w:rPr>
        <w:t>is</w:t>
      </w:r>
      <w:proofErr w:type="gramEnd"/>
      <w:r w:rsidRPr="008E0393">
        <w:rPr>
          <w:rFonts w:ascii="Montserrat" w:eastAsia="Times New Roman" w:hAnsi="Montserrat" w:cs="Times New Roman"/>
          <w:color w:val="000000"/>
          <w:kern w:val="0"/>
          <w:sz w:val="27"/>
          <w:szCs w:val="27"/>
          <w:lang w:eastAsia="en-GB"/>
          <w14:ligatures w14:val="none"/>
        </w:rPr>
        <w:t xml:space="preserve"> the second largest market for legal services in the world, recognised and respected the world over – thanks to the stability and quality of our courts, our laws and legal professionals.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According to recent data, legal services:</w:t>
      </w:r>
    </w:p>
    <w:p w:rsidR="008E0393" w:rsidRPr="008E0393" w:rsidRDefault="008E0393" w:rsidP="008E0393">
      <w:pPr>
        <w:numPr>
          <w:ilvl w:val="0"/>
          <w:numId w:val="1"/>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 contribute approximately </w:t>
      </w:r>
      <w:hyperlink r:id="rId5" w:tgtFrame="_self" w:tooltip="Contribution of the UK legal services sector to the UK economy report 2020" w:history="1">
        <w:r w:rsidRPr="008E0393">
          <w:rPr>
            <w:rFonts w:ascii="Montserrat" w:eastAsia="Times New Roman" w:hAnsi="Montserrat" w:cs="Times New Roman"/>
            <w:color w:val="574840"/>
            <w:kern w:val="0"/>
            <w:sz w:val="27"/>
            <w:szCs w:val="27"/>
            <w:u w:val="single"/>
            <w:lang w:eastAsia="en-GB"/>
            <w14:ligatures w14:val="none"/>
          </w:rPr>
          <w:t>£60 billion</w:t>
        </w:r>
      </w:hyperlink>
      <w:r w:rsidRPr="008E0393">
        <w:rPr>
          <w:rFonts w:ascii="Montserrat" w:eastAsia="Times New Roman" w:hAnsi="Montserrat" w:cs="Times New Roman"/>
          <w:color w:val="000000"/>
          <w:kern w:val="0"/>
          <w:sz w:val="27"/>
          <w:szCs w:val="27"/>
          <w:lang w:eastAsia="en-GB"/>
          <w14:ligatures w14:val="none"/>
        </w:rPr>
        <w:t> (gross added valued) to the UK economy per year (including around £34 billion from law firms/sole practitioners and around £26 billion from in-house legal teams)</w:t>
      </w:r>
    </w:p>
    <w:p w:rsidR="008E0393" w:rsidRPr="008E0393" w:rsidRDefault="008E0393" w:rsidP="008E0393">
      <w:pPr>
        <w:numPr>
          <w:ilvl w:val="0"/>
          <w:numId w:val="1"/>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 generate approximately </w:t>
      </w:r>
      <w:hyperlink r:id="rId6" w:tgtFrame="_blank" w:tooltip="Trade in services, The Pink Book | Office for National Statistics" w:history="1">
        <w:r w:rsidRPr="008E0393">
          <w:rPr>
            <w:rFonts w:ascii="Montserrat" w:eastAsia="Times New Roman" w:hAnsi="Montserrat" w:cs="Times New Roman"/>
            <w:color w:val="574840"/>
            <w:kern w:val="0"/>
            <w:sz w:val="27"/>
            <w:szCs w:val="27"/>
            <w:u w:val="single"/>
            <w:lang w:eastAsia="en-GB"/>
            <w14:ligatures w14:val="none"/>
          </w:rPr>
          <w:t>£7.25 billion in exports</w:t>
        </w:r>
      </w:hyperlink>
      <w:r w:rsidRPr="008E0393">
        <w:rPr>
          <w:rFonts w:ascii="Montserrat" w:eastAsia="Times New Roman" w:hAnsi="Montserrat" w:cs="Times New Roman"/>
          <w:color w:val="000000"/>
          <w:kern w:val="0"/>
          <w:sz w:val="27"/>
          <w:szCs w:val="27"/>
          <w:lang w:eastAsia="en-GB"/>
          <w14:ligatures w14:val="none"/>
        </w:rPr>
        <w:t> per year</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English law is used around the world by clients seeking a neutral law to govern their international commercial contracts.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It’s considered the </w:t>
      </w:r>
      <w:hyperlink r:id="rId7" w:tgtFrame="_blank" w:tooltip="Economic value of English law 2021 | Oxera report for LegalUK" w:history="1">
        <w:r w:rsidRPr="008E0393">
          <w:rPr>
            <w:rFonts w:ascii="Montserrat" w:eastAsia="Times New Roman" w:hAnsi="Montserrat" w:cs="Times New Roman"/>
            <w:color w:val="574840"/>
            <w:kern w:val="0"/>
            <w:sz w:val="27"/>
            <w:szCs w:val="27"/>
            <w:u w:val="single"/>
            <w:lang w:eastAsia="en-GB"/>
            <w14:ligatures w14:val="none"/>
          </w:rPr>
          <w:t>industry standard</w:t>
        </w:r>
      </w:hyperlink>
      <w:r w:rsidRPr="008E0393">
        <w:rPr>
          <w:rFonts w:ascii="Montserrat" w:eastAsia="Times New Roman" w:hAnsi="Montserrat" w:cs="Times New Roman"/>
          <w:color w:val="000000"/>
          <w:kern w:val="0"/>
          <w:sz w:val="27"/>
          <w:szCs w:val="27"/>
          <w:lang w:eastAsia="en-GB"/>
          <w14:ligatures w14:val="none"/>
        </w:rPr>
        <w:t> in many sectors, including maritime, insurance and financial services.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hyperlink r:id="rId8" w:tgtFrame="_blank" w:tooltip="Legal excellence, internationally renowned UK legal services 2022 | TheCityUK" w:history="1">
        <w:r w:rsidRPr="008E0393">
          <w:rPr>
            <w:rFonts w:ascii="Montserrat" w:eastAsia="Times New Roman" w:hAnsi="Montserrat" w:cs="Times New Roman"/>
            <w:color w:val="574840"/>
            <w:kern w:val="0"/>
            <w:sz w:val="27"/>
            <w:szCs w:val="27"/>
            <w:u w:val="single"/>
            <w:lang w:eastAsia="en-GB"/>
            <w14:ligatures w14:val="none"/>
          </w:rPr>
          <w:t>Many of the world’s largest law firms</w:t>
        </w:r>
      </w:hyperlink>
      <w:r w:rsidRPr="008E0393">
        <w:rPr>
          <w:rFonts w:ascii="Montserrat" w:eastAsia="Times New Roman" w:hAnsi="Montserrat" w:cs="Times New Roman"/>
          <w:color w:val="000000"/>
          <w:kern w:val="0"/>
          <w:sz w:val="27"/>
          <w:szCs w:val="27"/>
          <w:lang w:eastAsia="en-GB"/>
          <w14:ligatures w14:val="none"/>
        </w:rPr>
        <w:t> are based in England and Wales, and London boasts world-class facilities for commercial litigation and arbitration.</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hyperlink r:id="rId9" w:tgtFrame="_self" w:tooltip="Global position of English law: International Data Insights 2024" w:history="1">
        <w:r w:rsidRPr="008E0393">
          <w:rPr>
            <w:rFonts w:ascii="Montserrat" w:eastAsia="Times New Roman" w:hAnsi="Montserrat" w:cs="Times New Roman"/>
            <w:color w:val="574840"/>
            <w:kern w:val="0"/>
            <w:sz w:val="27"/>
            <w:szCs w:val="27"/>
            <w:u w:val="single"/>
            <w:lang w:eastAsia="en-GB"/>
            <w14:ligatures w14:val="none"/>
          </w:rPr>
          <w:t>Read our International Data Insights report 2024</w:t>
        </w:r>
      </w:hyperlink>
      <w:r w:rsidRPr="008E0393">
        <w:rPr>
          <w:rFonts w:ascii="Montserrat" w:eastAsia="Times New Roman" w:hAnsi="Montserrat" w:cs="Times New Roman"/>
          <w:color w:val="000000"/>
          <w:kern w:val="0"/>
          <w:sz w:val="27"/>
          <w:szCs w:val="27"/>
          <w:lang w:eastAsia="en-GB"/>
          <w14:ligatures w14:val="none"/>
        </w:rPr>
        <w:t> for more information on the widespread use of English law.</w:t>
      </w:r>
    </w:p>
    <w:p w:rsidR="008E0393" w:rsidRPr="008E0393" w:rsidRDefault="008E0393" w:rsidP="008E0393">
      <w:pPr>
        <w:shd w:val="clear" w:color="auto" w:fill="FFFFFF"/>
        <w:spacing w:after="100" w:afterAutospacing="1" w:line="360" w:lineRule="atLeast"/>
        <w:outlineLvl w:val="2"/>
        <w:rPr>
          <w:rFonts w:ascii="Times New Roman" w:eastAsia="Times New Roman" w:hAnsi="Times New Roman" w:cs="Times New Roman"/>
          <w:b/>
          <w:bCs/>
          <w:color w:val="000000"/>
          <w:kern w:val="0"/>
          <w:sz w:val="27"/>
          <w:szCs w:val="27"/>
          <w:lang w:eastAsia="en-GB"/>
          <w14:ligatures w14:val="none"/>
        </w:rPr>
      </w:pPr>
      <w:r w:rsidRPr="008E0393">
        <w:rPr>
          <w:rFonts w:ascii="Times New Roman" w:eastAsia="Times New Roman" w:hAnsi="Times New Roman" w:cs="Times New Roman"/>
          <w:b/>
          <w:bCs/>
          <w:color w:val="000000"/>
          <w:kern w:val="0"/>
          <w:sz w:val="27"/>
          <w:szCs w:val="27"/>
          <w:lang w:eastAsia="en-GB"/>
          <w14:ligatures w14:val="none"/>
        </w:rPr>
        <w:t>Strengths of English law</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Predictable outcomes and a robustly independent judiciary give clients the confidence to resolve their disputes in England and Wales.</w:t>
      </w:r>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Tested and proven to work</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English law facilitates a huge amount of commercial activity across many sectors as the governing law of choice for international transactions. It has been tested and proven to work.</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 xml:space="preserve">According to </w:t>
      </w:r>
      <w:proofErr w:type="spellStart"/>
      <w:r w:rsidRPr="008E0393">
        <w:rPr>
          <w:rFonts w:ascii="Montserrat" w:eastAsia="Times New Roman" w:hAnsi="Montserrat" w:cs="Times New Roman"/>
          <w:color w:val="000000"/>
          <w:kern w:val="0"/>
          <w:sz w:val="27"/>
          <w:szCs w:val="27"/>
          <w:lang w:eastAsia="en-GB"/>
          <w14:ligatures w14:val="none"/>
        </w:rPr>
        <w:t>groundbreaking</w:t>
      </w:r>
      <w:proofErr w:type="spellEnd"/>
      <w:r w:rsidRPr="008E0393">
        <w:rPr>
          <w:rFonts w:ascii="Montserrat" w:eastAsia="Times New Roman" w:hAnsi="Montserrat" w:cs="Times New Roman"/>
          <w:color w:val="000000"/>
          <w:kern w:val="0"/>
          <w:sz w:val="27"/>
          <w:szCs w:val="27"/>
          <w:lang w:eastAsia="en-GB"/>
          <w14:ligatures w14:val="none"/>
        </w:rPr>
        <w:t> </w:t>
      </w:r>
      <w:hyperlink r:id="rId10" w:tgtFrame="_blank" w:tooltip="Economic value of English law - Oxera report 2021 | LegalUK" w:history="1">
        <w:r w:rsidRPr="008E0393">
          <w:rPr>
            <w:rFonts w:ascii="Montserrat" w:eastAsia="Times New Roman" w:hAnsi="Montserrat" w:cs="Times New Roman"/>
            <w:color w:val="574840"/>
            <w:kern w:val="0"/>
            <w:sz w:val="27"/>
            <w:szCs w:val="27"/>
            <w:u w:val="single"/>
            <w:lang w:eastAsia="en-GB"/>
            <w14:ligatures w14:val="none"/>
          </w:rPr>
          <w:t xml:space="preserve">research by </w:t>
        </w:r>
        <w:proofErr w:type="spellStart"/>
        <w:r w:rsidRPr="008E0393">
          <w:rPr>
            <w:rFonts w:ascii="Montserrat" w:eastAsia="Times New Roman" w:hAnsi="Montserrat" w:cs="Times New Roman"/>
            <w:color w:val="574840"/>
            <w:kern w:val="0"/>
            <w:sz w:val="27"/>
            <w:szCs w:val="27"/>
            <w:u w:val="single"/>
            <w:lang w:eastAsia="en-GB"/>
            <w14:ligatures w14:val="none"/>
          </w:rPr>
          <w:t>Oxera</w:t>
        </w:r>
        <w:proofErr w:type="spellEnd"/>
        <w:r w:rsidRPr="008E0393">
          <w:rPr>
            <w:rFonts w:ascii="Montserrat" w:eastAsia="Times New Roman" w:hAnsi="Montserrat" w:cs="Times New Roman"/>
            <w:color w:val="574840"/>
            <w:kern w:val="0"/>
            <w:sz w:val="27"/>
            <w:szCs w:val="27"/>
            <w:u w:val="single"/>
            <w:lang w:eastAsia="en-GB"/>
            <w14:ligatures w14:val="none"/>
          </w:rPr>
          <w:t xml:space="preserve"> for </w:t>
        </w:r>
        <w:proofErr w:type="spellStart"/>
        <w:r w:rsidRPr="008E0393">
          <w:rPr>
            <w:rFonts w:ascii="Montserrat" w:eastAsia="Times New Roman" w:hAnsi="Montserrat" w:cs="Times New Roman"/>
            <w:color w:val="574840"/>
            <w:kern w:val="0"/>
            <w:sz w:val="27"/>
            <w:szCs w:val="27"/>
            <w:u w:val="single"/>
            <w:lang w:eastAsia="en-GB"/>
            <w14:ligatures w14:val="none"/>
          </w:rPr>
          <w:t>LegalUK</w:t>
        </w:r>
        <w:proofErr w:type="spellEnd"/>
      </w:hyperlink>
      <w:r w:rsidRPr="008E0393">
        <w:rPr>
          <w:rFonts w:ascii="Montserrat" w:eastAsia="Times New Roman" w:hAnsi="Montserrat" w:cs="Times New Roman"/>
          <w:color w:val="000000"/>
          <w:kern w:val="0"/>
          <w:sz w:val="27"/>
          <w:szCs w:val="27"/>
          <w:lang w:eastAsia="en-GB"/>
          <w14:ligatures w14:val="none"/>
        </w:rPr>
        <w:t>, English law likely governs at least:</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 xml:space="preserve">£250 </w:t>
      </w:r>
      <w:proofErr w:type="spellStart"/>
      <w:r w:rsidRPr="008E0393">
        <w:rPr>
          <w:rFonts w:ascii="Montserrat" w:eastAsia="Times New Roman" w:hAnsi="Montserrat" w:cs="Times New Roman"/>
          <w:color w:val="000000"/>
          <w:kern w:val="0"/>
          <w:sz w:val="27"/>
          <w:szCs w:val="27"/>
          <w:lang w:eastAsia="en-GB"/>
          <w14:ligatures w14:val="none"/>
        </w:rPr>
        <w:t>billion</w:t>
      </w:r>
      <w:proofErr w:type="spellEnd"/>
      <w:r w:rsidRPr="008E0393">
        <w:rPr>
          <w:rFonts w:ascii="Montserrat" w:eastAsia="Times New Roman" w:hAnsi="Montserrat" w:cs="Times New Roman"/>
          <w:color w:val="000000"/>
          <w:kern w:val="0"/>
          <w:sz w:val="27"/>
          <w:szCs w:val="27"/>
          <w:lang w:eastAsia="en-GB"/>
          <w14:ligatures w14:val="none"/>
        </w:rPr>
        <w:t xml:space="preserve"> of global mergers and acquisitions per year</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 xml:space="preserve">£80 </w:t>
      </w:r>
      <w:proofErr w:type="spellStart"/>
      <w:r w:rsidRPr="008E0393">
        <w:rPr>
          <w:rFonts w:ascii="Montserrat" w:eastAsia="Times New Roman" w:hAnsi="Montserrat" w:cs="Times New Roman"/>
          <w:color w:val="000000"/>
          <w:kern w:val="0"/>
          <w:sz w:val="27"/>
          <w:szCs w:val="27"/>
          <w:lang w:eastAsia="en-GB"/>
          <w14:ligatures w14:val="none"/>
        </w:rPr>
        <w:t>billion</w:t>
      </w:r>
      <w:proofErr w:type="spellEnd"/>
      <w:r w:rsidRPr="008E0393">
        <w:rPr>
          <w:rFonts w:ascii="Montserrat" w:eastAsia="Times New Roman" w:hAnsi="Montserrat" w:cs="Times New Roman"/>
          <w:color w:val="000000"/>
          <w:kern w:val="0"/>
          <w:sz w:val="27"/>
          <w:szCs w:val="27"/>
          <w:lang w:eastAsia="en-GB"/>
          <w14:ligatures w14:val="none"/>
        </w:rPr>
        <w:t xml:space="preserve"> of annual premiums on the London insurance market – the world’s largest insurance/reinsurance hub</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lastRenderedPageBreak/>
        <w:t>80% of global maritime deals from ship construction and leasing to shipping contracts</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40% of global corporate arbitrations</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$11.6 trillion of global metals trading in 2020</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$92.4 billion of global oils and fats trading – 85% of the global market</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$98.2 billion of global grain trade – 80% of the global market</w:t>
      </w:r>
    </w:p>
    <w:p w:rsidR="008E0393" w:rsidRPr="008E0393" w:rsidRDefault="008E0393" w:rsidP="008E0393">
      <w:pPr>
        <w:numPr>
          <w:ilvl w:val="0"/>
          <w:numId w:val="2"/>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€661.5 trillion of global over-the-counter derivatives trading in 2018</w:t>
      </w:r>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Predictable</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English law is predictable due to past precedent and our judiciary's non-interventionist approach.</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Parties can freely choose their contractual rights and obligations, as English law respects the principle of freedom of contract and party autonomy.</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Commercially oriented judges assess disputes based on the terms of the written contract between the parties and </w:t>
      </w:r>
      <w:hyperlink r:id="rId11" w:tgtFrame="_blank" w:tooltip="Meaning of “Good Faith” under English Law: latest clarification | Latham &amp; Watkins a" w:history="1">
        <w:r w:rsidRPr="008E0393">
          <w:rPr>
            <w:rFonts w:ascii="Montserrat" w:eastAsia="Times New Roman" w:hAnsi="Montserrat" w:cs="Times New Roman"/>
            <w:color w:val="574840"/>
            <w:kern w:val="0"/>
            <w:sz w:val="27"/>
            <w:szCs w:val="27"/>
            <w:u w:val="single"/>
            <w:lang w:eastAsia="en-GB"/>
            <w14:ligatures w14:val="none"/>
          </w:rPr>
          <w:t>do not enforce a general duty of good faith</w:t>
        </w:r>
      </w:hyperlink>
      <w:r w:rsidRPr="008E0393">
        <w:rPr>
          <w:rFonts w:ascii="Montserrat" w:eastAsia="Times New Roman" w:hAnsi="Montserrat" w:cs="Times New Roman"/>
          <w:color w:val="000000"/>
          <w:kern w:val="0"/>
          <w:sz w:val="27"/>
          <w:szCs w:val="27"/>
          <w:lang w:eastAsia="en-GB"/>
          <w14:ligatures w14:val="none"/>
        </w:rPr>
        <w:t> unlike judges in many other jurisdictions.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Clients can rely on established case law to forecast the most likely outcome of their dispute in many sectors, such as oil and gas, and financial services.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For example, between 2008 and 2018 there have been over 100 decisions in English courts on the interpretation of International Swaps and Derivatives Association (ISDA) master agreements, allowing clients to confidently predict how courts will apply the terms of their ISDA agreements.</w:t>
      </w:r>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Flexible</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Our system of precedent means that English law naturally evolves to support new areas of commercial activity, while other jurisdictions need legislation for any change in the law.</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An example is the rapid evolution of English law on digital assets, outlined in a </w:t>
      </w:r>
      <w:hyperlink r:id="rId12" w:tgtFrame="_blank" w:tooltip="Digital assets | The Law Commission" w:history="1">
        <w:r w:rsidRPr="008E0393">
          <w:rPr>
            <w:rFonts w:ascii="Montserrat" w:eastAsia="Times New Roman" w:hAnsi="Montserrat" w:cs="Times New Roman"/>
            <w:color w:val="574840"/>
            <w:kern w:val="0"/>
            <w:sz w:val="27"/>
            <w:szCs w:val="27"/>
            <w:u w:val="single"/>
            <w:lang w:eastAsia="en-GB"/>
            <w14:ligatures w14:val="none"/>
          </w:rPr>
          <w:t>recent report by the Law Commission</w:t>
        </w:r>
      </w:hyperlink>
      <w:r w:rsidRPr="008E0393">
        <w:rPr>
          <w:rFonts w:ascii="Montserrat" w:eastAsia="Times New Roman" w:hAnsi="Montserrat" w:cs="Times New Roman"/>
          <w:color w:val="000000"/>
          <w:kern w:val="0"/>
          <w:sz w:val="27"/>
          <w:szCs w:val="27"/>
          <w:lang w:eastAsia="en-GB"/>
          <w14:ligatures w14:val="none"/>
        </w:rPr>
        <w:t>.</w:t>
      </w:r>
    </w:p>
    <w:p w:rsidR="008E0393" w:rsidRPr="008E0393" w:rsidRDefault="008E0393" w:rsidP="008E0393">
      <w:pPr>
        <w:shd w:val="clear" w:color="auto" w:fill="FFFFFF"/>
        <w:spacing w:after="100" w:afterAutospacing="1" w:line="360" w:lineRule="atLeast"/>
        <w:outlineLvl w:val="2"/>
        <w:rPr>
          <w:rFonts w:ascii="Times New Roman" w:eastAsia="Times New Roman" w:hAnsi="Times New Roman" w:cs="Times New Roman"/>
          <w:b/>
          <w:bCs/>
          <w:color w:val="000000"/>
          <w:kern w:val="0"/>
          <w:sz w:val="27"/>
          <w:szCs w:val="27"/>
          <w:lang w:eastAsia="en-GB"/>
          <w14:ligatures w14:val="none"/>
        </w:rPr>
      </w:pPr>
      <w:r w:rsidRPr="008E0393">
        <w:rPr>
          <w:rFonts w:ascii="Times New Roman" w:eastAsia="Times New Roman" w:hAnsi="Times New Roman" w:cs="Times New Roman"/>
          <w:b/>
          <w:bCs/>
          <w:color w:val="000000"/>
          <w:kern w:val="0"/>
          <w:sz w:val="27"/>
          <w:szCs w:val="27"/>
          <w:lang w:eastAsia="en-GB"/>
          <w14:ligatures w14:val="none"/>
        </w:rPr>
        <w:lastRenderedPageBreak/>
        <w:t>Quality of litigation in England and Wales</w:t>
      </w:r>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Our judges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English High Court judges have an international reputation for their quality, independence and professionalism.</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Judges are robustly </w:t>
      </w:r>
      <w:hyperlink r:id="rId13" w:tgtFrame="_blank" w:tooltip="Three Is: Independence, Impartiality and Integrity | UK Courts and Tribunals Judiciary" w:history="1">
        <w:r w:rsidRPr="008E0393">
          <w:rPr>
            <w:rFonts w:ascii="Montserrat" w:eastAsia="Times New Roman" w:hAnsi="Montserrat" w:cs="Times New Roman"/>
            <w:color w:val="574840"/>
            <w:kern w:val="0"/>
            <w:sz w:val="27"/>
            <w:szCs w:val="27"/>
            <w:u w:val="single"/>
            <w:lang w:eastAsia="en-GB"/>
            <w14:ligatures w14:val="none"/>
          </w:rPr>
          <w:t>independent, impartial and committed to upholding the rule of law</w:t>
        </w:r>
      </w:hyperlink>
      <w:r w:rsidRPr="008E0393">
        <w:rPr>
          <w:rFonts w:ascii="Montserrat" w:eastAsia="Times New Roman" w:hAnsi="Montserrat" w:cs="Times New Roman"/>
          <w:color w:val="000000"/>
          <w:kern w:val="0"/>
          <w:sz w:val="27"/>
          <w:szCs w:val="27"/>
          <w:lang w:eastAsia="en-GB"/>
          <w14:ligatures w14:val="none"/>
        </w:rPr>
        <w:t>.</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In England and Wales, judges are highly qualified and skilled specialists with a strong commercial understanding of the law, developed over years, if not decades, working in the legal profession as a solicitor or barrister.</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You need at least five years of post-qualification experience to become a judge, and the </w:t>
      </w:r>
      <w:hyperlink r:id="rId14" w:tgtFrame="_blank" w:tooltip="Eligibility for legally qualified candidates | Judicial Appointments Commission" w:history="1">
        <w:r w:rsidRPr="008E0393">
          <w:rPr>
            <w:rFonts w:ascii="Montserrat" w:eastAsia="Times New Roman" w:hAnsi="Montserrat" w:cs="Times New Roman"/>
            <w:color w:val="574840"/>
            <w:kern w:val="0"/>
            <w:sz w:val="27"/>
            <w:szCs w:val="27"/>
            <w:u w:val="single"/>
            <w:lang w:eastAsia="en-GB"/>
            <w14:ligatures w14:val="none"/>
          </w:rPr>
          <w:t>Judicial Appointments Commission</w:t>
        </w:r>
      </w:hyperlink>
      <w:r w:rsidRPr="008E0393">
        <w:rPr>
          <w:rFonts w:ascii="Montserrat" w:eastAsia="Times New Roman" w:hAnsi="Montserrat" w:cs="Times New Roman"/>
          <w:color w:val="000000"/>
          <w:kern w:val="0"/>
          <w:sz w:val="27"/>
          <w:szCs w:val="27"/>
          <w:lang w:eastAsia="en-GB"/>
          <w14:ligatures w14:val="none"/>
        </w:rPr>
        <w:t> carries out a rigorous selection process.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Commercial court judges are well-versed in disputes involving international clients, given the high volume of cases involving parties from other jurisdictions; </w:t>
      </w:r>
      <w:hyperlink r:id="rId15" w:tgtFrame="_blank" w:tooltip="Legal excellence, internationally renowned UK legal services 2022 | TheCityUK" w:history="1">
        <w:r w:rsidRPr="008E0393">
          <w:rPr>
            <w:rFonts w:ascii="Montserrat" w:eastAsia="Times New Roman" w:hAnsi="Montserrat" w:cs="Times New Roman"/>
            <w:color w:val="574840"/>
            <w:kern w:val="0"/>
            <w:sz w:val="27"/>
            <w:szCs w:val="27"/>
            <w:u w:val="single"/>
            <w:lang w:eastAsia="en-GB"/>
            <w14:ligatures w14:val="none"/>
          </w:rPr>
          <w:t>in the first half of 2022</w:t>
        </w:r>
      </w:hyperlink>
      <w:r w:rsidRPr="008E0393">
        <w:rPr>
          <w:rFonts w:ascii="Montserrat" w:eastAsia="Times New Roman" w:hAnsi="Montserrat" w:cs="Times New Roman"/>
          <w:color w:val="000000"/>
          <w:kern w:val="0"/>
          <w:sz w:val="27"/>
          <w:szCs w:val="27"/>
          <w:lang w:eastAsia="en-GB"/>
          <w14:ligatures w14:val="none"/>
        </w:rPr>
        <w:t>, more than 70% of cases in the Commercial Court were international in nature.</w:t>
      </w:r>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Our commercial court</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fldChar w:fldCharType="begin"/>
      </w:r>
      <w:r w:rsidRPr="008E0393">
        <w:rPr>
          <w:rFonts w:ascii="Montserrat" w:eastAsia="Times New Roman" w:hAnsi="Montserrat" w:cs="Times New Roman"/>
          <w:color w:val="000000"/>
          <w:kern w:val="0"/>
          <w:sz w:val="27"/>
          <w:szCs w:val="27"/>
          <w:lang w:eastAsia="en-GB"/>
          <w14:ligatures w14:val="none"/>
        </w:rPr>
        <w:instrText xml:space="preserve"> INCLUDEPICTURE "https://prdsitecore93.azureedge.net/-/media/images/places-and-buildings/rolls-building-business-property-courts-1120x628.jpg?h=200&amp;w=357&amp;rev=07d979f3c5504dbe88566b41d8809ebf&amp;hash=15112E86767D83C5D711CDA719B310C1" \* MERGEFORMATINET </w:instrText>
      </w:r>
      <w:r w:rsidRPr="008E0393">
        <w:rPr>
          <w:rFonts w:ascii="Montserrat" w:eastAsia="Times New Roman" w:hAnsi="Montserrat" w:cs="Times New Roman"/>
          <w:color w:val="000000"/>
          <w:kern w:val="0"/>
          <w:sz w:val="27"/>
          <w:szCs w:val="27"/>
          <w:lang w:eastAsia="en-GB"/>
          <w14:ligatures w14:val="none"/>
        </w:rPr>
        <w:fldChar w:fldCharType="separate"/>
      </w:r>
      <w:r w:rsidRPr="008E0393">
        <w:rPr>
          <w:rFonts w:ascii="Montserrat" w:eastAsia="Times New Roman" w:hAnsi="Montserrat" w:cs="Times New Roman"/>
          <w:noProof/>
          <w:color w:val="000000"/>
          <w:kern w:val="0"/>
          <w:sz w:val="27"/>
          <w:szCs w:val="27"/>
          <w:lang w:eastAsia="en-GB"/>
          <w14:ligatures w14:val="none"/>
        </w:rPr>
        <mc:AlternateContent>
          <mc:Choice Requires="wps">
            <w:drawing>
              <wp:inline distT="0" distB="0" distL="0" distR="0">
                <wp:extent cx="306705" cy="306705"/>
                <wp:effectExtent l="0" t="0" r="0" b="0"/>
                <wp:docPr id="1380373554" name="Rectangle 1" descr="Exterior of building, sign reads: 'The Rolls Building, Royal Courts of Justice, The Business and Property Courts of England and Wa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5CA42" id="Rectangle 1" o:spid="_x0000_s1026" alt="Exterior of building, sign reads: 'The Rolls Building, Royal Courts of Justice, The Business and Property Courts of England and Wale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" filled="f" stroked="f">
                <o:lock v:ext="edit" aspectratio="t"/>
                <w10:anchorlock/>
              </v:rect>
            </w:pict>
          </mc:Fallback>
        </mc:AlternateContent>
      </w:r>
      <w:r w:rsidRPr="008E0393">
        <w:rPr>
          <w:rFonts w:ascii="Montserrat" w:eastAsia="Times New Roman" w:hAnsi="Montserrat" w:cs="Times New Roman"/>
          <w:color w:val="000000"/>
          <w:kern w:val="0"/>
          <w:sz w:val="27"/>
          <w:szCs w:val="27"/>
          <w:lang w:eastAsia="en-GB"/>
          <w14:ligatures w14:val="none"/>
        </w:rPr>
        <w:fldChar w:fldCharType="end"/>
      </w:r>
      <w:r w:rsidRPr="008E0393">
        <w:rPr>
          <w:rFonts w:ascii="Montserrat" w:eastAsia="Times New Roman" w:hAnsi="Montserrat" w:cs="Times New Roman"/>
          <w:color w:val="000000"/>
          <w:kern w:val="0"/>
          <w:sz w:val="27"/>
          <w:szCs w:val="27"/>
          <w:lang w:eastAsia="en-GB"/>
          <w14:ligatures w14:val="none"/>
        </w:rPr>
        <w:t>The London Commercial Court (LCC) is the leading centre for international parties seeking a trustworthy and reliable forum to resolve their disputes.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LCC has a strong track record of resolving disputes quickly and efficiently.</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Almost half (46%) of contested trials across the LCC were concluded within just four working days between October 2022 and September 2023, according to the </w:t>
      </w:r>
      <w:hyperlink r:id="rId16" w:tgtFrame="_blank" w:tooltip="Commercial Court annual report | Courts and Tribunals Judiciary" w:history="1">
        <w:r w:rsidRPr="008E0393">
          <w:rPr>
            <w:rFonts w:ascii="Montserrat" w:eastAsia="Times New Roman" w:hAnsi="Montserrat" w:cs="Times New Roman"/>
            <w:color w:val="574840"/>
            <w:kern w:val="0"/>
            <w:sz w:val="27"/>
            <w:szCs w:val="27"/>
            <w:u w:val="single"/>
            <w:lang w:eastAsia="en-GB"/>
            <w14:ligatures w14:val="none"/>
          </w:rPr>
          <w:t>2024 Commercial Court report</w:t>
        </w:r>
      </w:hyperlink>
      <w:r w:rsidRPr="008E0393">
        <w:rPr>
          <w:rFonts w:ascii="Montserrat" w:eastAsia="Times New Roman" w:hAnsi="Montserrat" w:cs="Times New Roman"/>
          <w:color w:val="000000"/>
          <w:kern w:val="0"/>
          <w:sz w:val="27"/>
          <w:szCs w:val="27"/>
          <w:lang w:eastAsia="en-GB"/>
          <w14:ligatures w14:val="none"/>
        </w:rPr>
        <w:t>.</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64% of parties in LCC cases between April 2023 and March 2024 came from jurisdictions outside of the UK, according to </w:t>
      </w:r>
      <w:hyperlink r:id="rId17" w:tgtFrame="_blank" w:tooltip="Commercial Courts Report 2024 | Portland" w:history="1">
        <w:r w:rsidRPr="008E0393">
          <w:rPr>
            <w:rFonts w:ascii="Montserrat" w:eastAsia="Times New Roman" w:hAnsi="Montserrat" w:cs="Times New Roman"/>
            <w:color w:val="574840"/>
            <w:kern w:val="0"/>
            <w:sz w:val="27"/>
            <w:szCs w:val="27"/>
            <w:u w:val="single"/>
            <w:lang w:eastAsia="en-GB"/>
            <w14:ligatures w14:val="none"/>
          </w:rPr>
          <w:t>Portland’s 2024 report</w:t>
        </w:r>
      </w:hyperlink>
      <w:r w:rsidRPr="008E0393">
        <w:rPr>
          <w:rFonts w:ascii="Montserrat" w:eastAsia="Times New Roman" w:hAnsi="Montserrat" w:cs="Times New Roman"/>
          <w:color w:val="000000"/>
          <w:kern w:val="0"/>
          <w:sz w:val="27"/>
          <w:szCs w:val="27"/>
          <w:lang w:eastAsia="en-GB"/>
          <w14:ligatures w14:val="none"/>
        </w:rPr>
        <w:t>.</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lastRenderedPageBreak/>
        <w:t>Under the Hague Choice of Court Convention (2005), UK judgments can be recognised and enforced in the EU (plus Denmark, Mexico and Singapore), as long as parties have an exclusive jurisdiction clause stating that they want their disputes to be resolved in the UK.</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hyperlink r:id="rId18" w:tooltip="Choice of court agreements post Brexit" w:history="1">
        <w:r w:rsidRPr="008E0393">
          <w:rPr>
            <w:rFonts w:ascii="Montserrat" w:eastAsia="Times New Roman" w:hAnsi="Montserrat" w:cs="Times New Roman"/>
            <w:color w:val="574840"/>
            <w:kern w:val="0"/>
            <w:sz w:val="27"/>
            <w:szCs w:val="27"/>
            <w:u w:val="single"/>
            <w:lang w:eastAsia="en-GB"/>
            <w14:ligatures w14:val="none"/>
          </w:rPr>
          <w:t>Read more on choice of court agreements</w:t>
        </w:r>
      </w:hyperlink>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Other features that make the LCC an attractive centre for dispute resolution include:</w:t>
      </w:r>
    </w:p>
    <w:p w:rsidR="008E0393" w:rsidRPr="008E0393" w:rsidRDefault="008E0393" w:rsidP="008E0393">
      <w:pPr>
        <w:numPr>
          <w:ilvl w:val="0"/>
          <w:numId w:val="3"/>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winning parties can recover their legal costs, which is not an option in other jurisdictions</w:t>
      </w:r>
    </w:p>
    <w:p w:rsidR="008E0393" w:rsidRPr="008E0393" w:rsidRDefault="008E0393" w:rsidP="008E0393">
      <w:pPr>
        <w:numPr>
          <w:ilvl w:val="0"/>
          <w:numId w:val="3"/>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quick interim relief</w:t>
      </w:r>
    </w:p>
    <w:p w:rsidR="008E0393" w:rsidRPr="008E0393" w:rsidRDefault="008E0393" w:rsidP="008E0393">
      <w:pPr>
        <w:numPr>
          <w:ilvl w:val="0"/>
          <w:numId w:val="3"/>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no unpredictable jury trials</w:t>
      </w:r>
    </w:p>
    <w:p w:rsidR="008E0393" w:rsidRPr="008E0393" w:rsidRDefault="008E0393" w:rsidP="008E0393">
      <w:pPr>
        <w:numPr>
          <w:ilvl w:val="0"/>
          <w:numId w:val="3"/>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no punitive damages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hyperlink r:id="rId19" w:tgtFrame="_blank" w:tooltip="Commercial Court | Courts and Tribunals Judiciary" w:history="1">
        <w:r w:rsidRPr="008E0393">
          <w:rPr>
            <w:rFonts w:ascii="Montserrat" w:eastAsia="Times New Roman" w:hAnsi="Montserrat" w:cs="Times New Roman"/>
            <w:color w:val="574840"/>
            <w:kern w:val="0"/>
            <w:sz w:val="27"/>
            <w:szCs w:val="27"/>
            <w:u w:val="single"/>
            <w:lang w:eastAsia="en-GB"/>
            <w14:ligatures w14:val="none"/>
          </w:rPr>
          <w:t>Find out more about the Commercial Court</w:t>
        </w:r>
      </w:hyperlink>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Our lawyers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open regulatory framework in England and Wales means London is home to more than 200 foreign law firms from around 40 jurisdictions, including all 40 of the world’s largest law firms.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Find solicitors who specialise in not just every area of law (however small or niche it may seem) but all legal aspects of transactions, such as mergers and acquisitions, securities and financing.</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Besides lawyers, London also attracts technical experts and consultants in every field, from construction to art forgery.</w:t>
      </w:r>
    </w:p>
    <w:p w:rsidR="008E0393" w:rsidRPr="008E0393" w:rsidRDefault="008E0393" w:rsidP="008E0393">
      <w:pPr>
        <w:shd w:val="clear" w:color="auto" w:fill="FFFFFF"/>
        <w:spacing w:after="100" w:afterAutospacing="1" w:line="360" w:lineRule="atLeast"/>
        <w:outlineLvl w:val="2"/>
        <w:rPr>
          <w:rFonts w:ascii="Times New Roman" w:eastAsia="Times New Roman" w:hAnsi="Times New Roman" w:cs="Times New Roman"/>
          <w:b/>
          <w:bCs/>
          <w:color w:val="000000"/>
          <w:kern w:val="0"/>
          <w:sz w:val="27"/>
          <w:szCs w:val="27"/>
          <w:lang w:eastAsia="en-GB"/>
          <w14:ligatures w14:val="none"/>
        </w:rPr>
      </w:pPr>
      <w:r w:rsidRPr="008E0393">
        <w:rPr>
          <w:rFonts w:ascii="Times New Roman" w:eastAsia="Times New Roman" w:hAnsi="Times New Roman" w:cs="Times New Roman"/>
          <w:b/>
          <w:bCs/>
          <w:color w:val="000000"/>
          <w:kern w:val="0"/>
          <w:sz w:val="27"/>
          <w:szCs w:val="27"/>
          <w:lang w:eastAsia="en-GB"/>
          <w14:ligatures w14:val="none"/>
        </w:rPr>
        <w:t>Strengths of arbitration in England and Wales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London is the world’s leading centre for international commercial arbitration.</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w:t>
      </w:r>
      <w:hyperlink r:id="rId20" w:anchor="LCIA" w:tooltip="Commercial arbitration at LCIA" w:history="1">
        <w:r w:rsidRPr="008E0393">
          <w:rPr>
            <w:rFonts w:ascii="Montserrat" w:eastAsia="Times New Roman" w:hAnsi="Montserrat" w:cs="Times New Roman"/>
            <w:color w:val="574840"/>
            <w:kern w:val="0"/>
            <w:sz w:val="27"/>
            <w:szCs w:val="27"/>
            <w:u w:val="single"/>
            <w:lang w:eastAsia="en-GB"/>
            <w14:ligatures w14:val="none"/>
          </w:rPr>
          <w:t>London Court of International Arbitration</w:t>
        </w:r>
      </w:hyperlink>
      <w:r w:rsidRPr="008E0393">
        <w:rPr>
          <w:rFonts w:ascii="Montserrat" w:eastAsia="Times New Roman" w:hAnsi="Montserrat" w:cs="Times New Roman"/>
          <w:color w:val="000000"/>
          <w:kern w:val="0"/>
          <w:sz w:val="27"/>
          <w:szCs w:val="27"/>
          <w:lang w:eastAsia="en-GB"/>
          <w14:ligatures w14:val="none"/>
        </w:rPr>
        <w:t>, the London seat of the </w:t>
      </w:r>
      <w:hyperlink r:id="rId21" w:anchor="ICC" w:history="1">
        <w:r w:rsidRPr="008E0393">
          <w:rPr>
            <w:rFonts w:ascii="Montserrat" w:eastAsia="Times New Roman" w:hAnsi="Montserrat" w:cs="Times New Roman"/>
            <w:color w:val="574840"/>
            <w:kern w:val="0"/>
            <w:sz w:val="27"/>
            <w:szCs w:val="27"/>
            <w:u w:val="single"/>
            <w:lang w:eastAsia="en-GB"/>
            <w14:ligatures w14:val="none"/>
          </w:rPr>
          <w:t>International Chamber of Commerce</w:t>
        </w:r>
      </w:hyperlink>
      <w:r w:rsidRPr="008E0393">
        <w:rPr>
          <w:rFonts w:ascii="Montserrat" w:eastAsia="Times New Roman" w:hAnsi="Montserrat" w:cs="Times New Roman"/>
          <w:color w:val="000000"/>
          <w:kern w:val="0"/>
          <w:sz w:val="27"/>
          <w:szCs w:val="27"/>
          <w:lang w:eastAsia="en-GB"/>
          <w14:ligatures w14:val="none"/>
        </w:rPr>
        <w:t> and the </w:t>
      </w:r>
      <w:hyperlink r:id="rId22" w:anchor="LMAA" w:history="1">
        <w:r w:rsidRPr="008E0393">
          <w:rPr>
            <w:rFonts w:ascii="Montserrat" w:eastAsia="Times New Roman" w:hAnsi="Montserrat" w:cs="Times New Roman"/>
            <w:color w:val="574840"/>
            <w:kern w:val="0"/>
            <w:sz w:val="27"/>
            <w:szCs w:val="27"/>
            <w:u w:val="single"/>
            <w:lang w:eastAsia="en-GB"/>
            <w14:ligatures w14:val="none"/>
          </w:rPr>
          <w:t>London Maritime Arbitrators Association</w:t>
        </w:r>
      </w:hyperlink>
      <w:r w:rsidRPr="008E0393">
        <w:rPr>
          <w:rFonts w:ascii="Montserrat" w:eastAsia="Times New Roman" w:hAnsi="Montserrat" w:cs="Times New Roman"/>
          <w:color w:val="000000"/>
          <w:kern w:val="0"/>
          <w:sz w:val="27"/>
          <w:szCs w:val="27"/>
          <w:lang w:eastAsia="en-GB"/>
          <w14:ligatures w14:val="none"/>
        </w:rPr>
        <w:t> consistently handle more cases than their counterparts in other jurisdictions, the majority of which are governed by English law.</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lastRenderedPageBreak/>
        <w:t>Of 28,000 commercial and civil disputes resolved through arbitration, meditation and adjudication in the UK in 2021, more than 4,000 were mostly international.</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London has consistently ranked as a top arbitration seat in Queen Mary University’s international arbitration survey, the most comprehensive global survey on arbitration since it began in 2010.</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Over half of respondents (54%) listed London as their preferred arbitration seat in the </w:t>
      </w:r>
      <w:hyperlink r:id="rId23" w:tgtFrame="_blank" w:tooltip="Secondary navigation Research home 2022 Energy Arbitration Survey 2021 International Arbitration Survey: Adapting Arbitration to a Changing World 2020 International Arbitration Survey: Investor-State Dispute Settlement (ISDS) 2019 Investment Arbitration Survey 2019 International Arbitration Survey: International Construction Disputes 2018 International Arbitration Survey: The Evolution of International Arbitration 2016 An insight into resolving Technology, Media and Telecoms Disputes 2015 Improvements and Innovations in International Arbitration 2013 Corporate Choices in International Arbitration: Industry Perspectives 2012 Current and Preferred Practices in the Arbitral Process 2010 Choices in International Arbitration 2008 Corporate Attitudes: Recognition and Enforcement of Foreign Awards 2006 Corporate Attitudes and Practices 2021 International Arbitration Survey: Adapting Arbitration to a Changing World | Queen Mary University of London" w:history="1">
        <w:r w:rsidRPr="008E0393">
          <w:rPr>
            <w:rFonts w:ascii="Montserrat" w:eastAsia="Times New Roman" w:hAnsi="Montserrat" w:cs="Times New Roman"/>
            <w:color w:val="574840"/>
            <w:kern w:val="0"/>
            <w:sz w:val="27"/>
            <w:szCs w:val="27"/>
            <w:u w:val="single"/>
            <w:lang w:eastAsia="en-GB"/>
            <w14:ligatures w14:val="none"/>
          </w:rPr>
          <w:t>2021 survey</w:t>
        </w:r>
      </w:hyperlink>
      <w:r w:rsidRPr="008E0393">
        <w:rPr>
          <w:rFonts w:ascii="Montserrat" w:eastAsia="Times New Roman" w:hAnsi="Montserrat" w:cs="Times New Roman"/>
          <w:color w:val="000000"/>
          <w:kern w:val="0"/>
          <w:sz w:val="27"/>
          <w:szCs w:val="27"/>
          <w:lang w:eastAsia="en-GB"/>
          <w14:ligatures w14:val="none"/>
        </w:rPr>
        <w:t>. Overall, London ranked in first place with Singapore, and was the top choice for respondents in Europe, Africa, the Middle East and North America.</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London arbitration performs highly on key factors that international parties look for in a seat and venue to settle their commercial disputes, including:</w:t>
      </w:r>
    </w:p>
    <w:p w:rsidR="008E0393" w:rsidRPr="008E0393" w:rsidRDefault="008E0393" w:rsidP="008E0393">
      <w:pPr>
        <w:numPr>
          <w:ilvl w:val="0"/>
          <w:numId w:val="4"/>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b/>
          <w:bCs/>
          <w:color w:val="000000"/>
          <w:kern w:val="0"/>
          <w:sz w:val="27"/>
          <w:szCs w:val="27"/>
          <w:lang w:eastAsia="en-GB"/>
          <w14:ligatures w14:val="none"/>
        </w:rPr>
        <w:t>support for arbitration by local courts and the judiciary</w:t>
      </w:r>
      <w:r w:rsidRPr="008E0393">
        <w:rPr>
          <w:rFonts w:ascii="Montserrat" w:eastAsia="Times New Roman" w:hAnsi="Montserrat" w:cs="Times New Roman"/>
          <w:color w:val="000000"/>
          <w:kern w:val="0"/>
          <w:sz w:val="27"/>
          <w:szCs w:val="27"/>
          <w:lang w:eastAsia="en-GB"/>
          <w14:ligatures w14:val="none"/>
        </w:rPr>
        <w:t>: the </w:t>
      </w:r>
      <w:hyperlink r:id="rId24" w:tgtFrame="_blank" w:tooltip="The Business and Property Courts | GOV.UK" w:history="1">
        <w:r w:rsidRPr="008E0393">
          <w:rPr>
            <w:rFonts w:ascii="Montserrat" w:eastAsia="Times New Roman" w:hAnsi="Montserrat" w:cs="Times New Roman"/>
            <w:color w:val="574840"/>
            <w:kern w:val="0"/>
            <w:sz w:val="27"/>
            <w:szCs w:val="27"/>
            <w:u w:val="single"/>
            <w:lang w:eastAsia="en-GB"/>
            <w14:ligatures w14:val="none"/>
          </w:rPr>
          <w:t>Business and Property Courts</w:t>
        </w:r>
      </w:hyperlink>
      <w:r w:rsidRPr="008E0393">
        <w:rPr>
          <w:rFonts w:ascii="Montserrat" w:eastAsia="Times New Roman" w:hAnsi="Montserrat" w:cs="Times New Roman"/>
          <w:color w:val="000000"/>
          <w:kern w:val="0"/>
          <w:sz w:val="27"/>
          <w:szCs w:val="27"/>
          <w:lang w:eastAsia="en-GB"/>
          <w14:ligatures w14:val="none"/>
        </w:rPr>
        <w:t> in London and the </w:t>
      </w:r>
      <w:hyperlink r:id="rId25" w:tooltip="Arbitration Act 2025 explained" w:history="1">
        <w:r w:rsidRPr="008E0393">
          <w:rPr>
            <w:rFonts w:ascii="Montserrat" w:eastAsia="Times New Roman" w:hAnsi="Montserrat" w:cs="Times New Roman"/>
            <w:color w:val="574840"/>
            <w:kern w:val="0"/>
            <w:sz w:val="27"/>
            <w:szCs w:val="27"/>
            <w:u w:val="single"/>
            <w:lang w:eastAsia="en-GB"/>
            <w14:ligatures w14:val="none"/>
          </w:rPr>
          <w:t>Arbitration Act 2025</w:t>
        </w:r>
      </w:hyperlink>
      <w:r w:rsidRPr="008E0393">
        <w:rPr>
          <w:rFonts w:ascii="Montserrat" w:eastAsia="Times New Roman" w:hAnsi="Montserrat" w:cs="Times New Roman"/>
          <w:color w:val="000000"/>
          <w:kern w:val="0"/>
          <w:sz w:val="27"/>
          <w:szCs w:val="27"/>
          <w:lang w:eastAsia="en-GB"/>
          <w14:ligatures w14:val="none"/>
        </w:rPr>
        <w:t> are friendly to commercial parties that decide to arbitrate in London and ensure that a modern framework is provided to arbitration in England and Wales</w:t>
      </w:r>
    </w:p>
    <w:p w:rsidR="008E0393" w:rsidRPr="008E0393" w:rsidRDefault="008E0393" w:rsidP="008E0393">
      <w:pPr>
        <w:numPr>
          <w:ilvl w:val="0"/>
          <w:numId w:val="4"/>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b/>
          <w:bCs/>
          <w:color w:val="000000"/>
          <w:kern w:val="0"/>
          <w:sz w:val="27"/>
          <w:szCs w:val="27"/>
          <w:lang w:eastAsia="en-GB"/>
          <w14:ligatures w14:val="none"/>
        </w:rPr>
        <w:t>track record of enforcing judgments and awards</w:t>
      </w:r>
      <w:r w:rsidRPr="008E0393">
        <w:rPr>
          <w:rFonts w:ascii="Montserrat" w:eastAsia="Times New Roman" w:hAnsi="Montserrat" w:cs="Times New Roman"/>
          <w:color w:val="000000"/>
          <w:kern w:val="0"/>
          <w:sz w:val="27"/>
          <w:szCs w:val="27"/>
          <w:lang w:eastAsia="en-GB"/>
          <w14:ligatures w14:val="none"/>
        </w:rPr>
        <w:t>: UK arbitral awards can be enforced in 172 other countries (including across the EU), as the UK is a party to the </w:t>
      </w:r>
      <w:hyperlink r:id="rId26" w:tgtFrame="_blank" w:tooltip="Contracting states | The New York Arbitration Convention on the Recognition and Enforcement of Foreign Arbitral Awards" w:history="1">
        <w:r w:rsidRPr="008E0393">
          <w:rPr>
            <w:rFonts w:ascii="Montserrat" w:eastAsia="Times New Roman" w:hAnsi="Montserrat" w:cs="Times New Roman"/>
            <w:color w:val="574840"/>
            <w:kern w:val="0"/>
            <w:sz w:val="27"/>
            <w:szCs w:val="27"/>
            <w:u w:val="single"/>
            <w:lang w:eastAsia="en-GB"/>
            <w14:ligatures w14:val="none"/>
          </w:rPr>
          <w:t>New York Convention on the Recognition and Enforcement of Foreign Arbitral Awards (1958)</w:t>
        </w:r>
      </w:hyperlink>
    </w:p>
    <w:p w:rsidR="008E0393" w:rsidRPr="008E0393" w:rsidRDefault="008E0393" w:rsidP="008E0393">
      <w:pPr>
        <w:numPr>
          <w:ilvl w:val="0"/>
          <w:numId w:val="4"/>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b/>
          <w:bCs/>
          <w:color w:val="000000"/>
          <w:kern w:val="0"/>
          <w:sz w:val="27"/>
          <w:szCs w:val="27"/>
          <w:lang w:eastAsia="en-GB"/>
          <w14:ligatures w14:val="none"/>
        </w:rPr>
        <w:t>ability to enforce decisions of emergency arbitrators</w:t>
      </w:r>
      <w:r w:rsidRPr="008E0393">
        <w:rPr>
          <w:rFonts w:ascii="Montserrat" w:eastAsia="Times New Roman" w:hAnsi="Montserrat" w:cs="Times New Roman"/>
          <w:color w:val="000000"/>
          <w:kern w:val="0"/>
          <w:sz w:val="27"/>
          <w:szCs w:val="27"/>
          <w:lang w:eastAsia="en-GB"/>
          <w14:ligatures w14:val="none"/>
        </w:rPr>
        <w:t> or interim measures ordered by arbitral tribunals</w:t>
      </w:r>
    </w:p>
    <w:p w:rsidR="008E0393" w:rsidRPr="008E0393" w:rsidRDefault="008E0393" w:rsidP="008E0393">
      <w:pPr>
        <w:numPr>
          <w:ilvl w:val="0"/>
          <w:numId w:val="4"/>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b/>
          <w:bCs/>
          <w:color w:val="000000"/>
          <w:kern w:val="0"/>
          <w:sz w:val="27"/>
          <w:szCs w:val="27"/>
          <w:lang w:eastAsia="en-GB"/>
          <w14:ligatures w14:val="none"/>
        </w:rPr>
        <w:t>a neutral and impartial local legal system</w:t>
      </w:r>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Commercial arbitration</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w:t>
      </w:r>
      <w:hyperlink r:id="rId27" w:tgtFrame="_blank" w:tooltip="LCIA Arbitration | London Court of International Arbitration " w:history="1">
        <w:r w:rsidRPr="008E0393">
          <w:rPr>
            <w:rFonts w:ascii="Montserrat" w:eastAsia="Times New Roman" w:hAnsi="Montserrat" w:cs="Times New Roman"/>
            <w:color w:val="574840"/>
            <w:kern w:val="0"/>
            <w:sz w:val="27"/>
            <w:szCs w:val="27"/>
            <w:u w:val="single"/>
            <w:lang w:eastAsia="en-GB"/>
            <w14:ligatures w14:val="none"/>
          </w:rPr>
          <w:t>London Court of International Arbitration (LCIA)</w:t>
        </w:r>
      </w:hyperlink>
      <w:r w:rsidRPr="008E0393">
        <w:rPr>
          <w:rFonts w:ascii="Montserrat" w:eastAsia="Times New Roman" w:hAnsi="Montserrat" w:cs="Times New Roman"/>
          <w:color w:val="000000"/>
          <w:kern w:val="0"/>
          <w:sz w:val="27"/>
          <w:szCs w:val="27"/>
          <w:lang w:eastAsia="en-GB"/>
          <w14:ligatures w14:val="none"/>
        </w:rPr>
        <w:t> is one of the leading international centre for commercial arbitration.</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centre:</w:t>
      </w:r>
    </w:p>
    <w:p w:rsidR="008E0393" w:rsidRPr="008E0393" w:rsidRDefault="008E0393" w:rsidP="008E0393">
      <w:pPr>
        <w:numPr>
          <w:ilvl w:val="0"/>
          <w:numId w:val="5"/>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consistently administers more cases per year (based on the appointment of arbitrators) than comparable bodies in other jurisdictions, including Singapore and Hong Kong, the majority of which are governed by English law</w:t>
      </w:r>
    </w:p>
    <w:p w:rsidR="008E0393" w:rsidRPr="008E0393" w:rsidRDefault="008E0393" w:rsidP="008E0393">
      <w:pPr>
        <w:numPr>
          <w:ilvl w:val="0"/>
          <w:numId w:val="5"/>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lastRenderedPageBreak/>
        <w:t>has a well-developed body of case law to deal with cross-border disputes; in 2023, 96% of cases involved at least one international party (an increase from 88% in 2022)</w:t>
      </w:r>
    </w:p>
    <w:p w:rsidR="008E0393" w:rsidRPr="008E0393" w:rsidRDefault="008E0393" w:rsidP="008E0393">
      <w:pPr>
        <w:numPr>
          <w:ilvl w:val="0"/>
          <w:numId w:val="5"/>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made 445 new appointments of arbitrators in 2023, compared to 359 in Singapore and 284 in Hong Kong</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In addition, London received </w:t>
      </w:r>
      <w:hyperlink r:id="rId28" w:tgtFrame="_blank" w:tooltip="ICC Dispute Resolution Statistics: 2023 | International Chamber of Commerce" w:history="1">
        <w:r w:rsidRPr="008E0393">
          <w:rPr>
            <w:rFonts w:ascii="Montserrat" w:eastAsia="Times New Roman" w:hAnsi="Montserrat" w:cs="Times New Roman"/>
            <w:color w:val="574840"/>
            <w:kern w:val="0"/>
            <w:sz w:val="27"/>
            <w:szCs w:val="27"/>
            <w:u w:val="single"/>
            <w:lang w:eastAsia="en-GB"/>
            <w14:ligatures w14:val="none"/>
          </w:rPr>
          <w:t>85 of the 870 new cases</w:t>
        </w:r>
      </w:hyperlink>
      <w:r w:rsidRPr="008E0393">
        <w:rPr>
          <w:rFonts w:ascii="Montserrat" w:eastAsia="Times New Roman" w:hAnsi="Montserrat" w:cs="Times New Roman"/>
          <w:color w:val="000000"/>
          <w:kern w:val="0"/>
          <w:sz w:val="27"/>
          <w:szCs w:val="27"/>
          <w:lang w:eastAsia="en-GB"/>
          <w14:ligatures w14:val="none"/>
        </w:rPr>
        <w:t> filed in 2023 under the International Chamber of Commerce (ICC) </w:t>
      </w:r>
      <w:hyperlink r:id="rId29" w:tgtFrame="_blank" w:tooltip="Rules and Procedures | International Chamber of Commerce (ICC)" w:history="1">
        <w:r w:rsidRPr="008E0393">
          <w:rPr>
            <w:rFonts w:ascii="Montserrat" w:eastAsia="Times New Roman" w:hAnsi="Montserrat" w:cs="Times New Roman"/>
            <w:color w:val="574840"/>
            <w:kern w:val="0"/>
            <w:sz w:val="27"/>
            <w:szCs w:val="27"/>
            <w:u w:val="single"/>
            <w:lang w:eastAsia="en-GB"/>
            <w14:ligatures w14:val="none"/>
          </w:rPr>
          <w:t>Arbitration Rules</w:t>
        </w:r>
      </w:hyperlink>
      <w:r w:rsidRPr="008E0393">
        <w:rPr>
          <w:rFonts w:ascii="Montserrat" w:eastAsia="Times New Roman" w:hAnsi="Montserrat" w:cs="Times New Roman"/>
          <w:color w:val="000000"/>
          <w:kern w:val="0"/>
          <w:sz w:val="27"/>
          <w:szCs w:val="27"/>
          <w:lang w:eastAsia="en-GB"/>
          <w14:ligatures w14:val="none"/>
        </w:rPr>
        <w:t>.</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hyperlink r:id="rId30" w:tgtFrame="_blank" w:tooltip="About ICC Dispute Resolution | International Chamber of Commerce" w:history="1">
        <w:r w:rsidRPr="008E0393">
          <w:rPr>
            <w:rFonts w:ascii="Montserrat" w:eastAsia="Times New Roman" w:hAnsi="Montserrat" w:cs="Times New Roman"/>
            <w:color w:val="574840"/>
            <w:kern w:val="0"/>
            <w:sz w:val="27"/>
            <w:szCs w:val="27"/>
            <w:u w:val="single"/>
            <w:lang w:eastAsia="en-GB"/>
            <w14:ligatures w14:val="none"/>
          </w:rPr>
          <w:t>Find out more about the International Chamber of Commerce</w:t>
        </w:r>
      </w:hyperlink>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Maritime arbitration</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w:t>
      </w:r>
      <w:hyperlink r:id="rId31" w:tgtFrame="_blank" w:tooltip="About us | London Maritime Arbitrators Association (LMAA)" w:history="1">
        <w:r w:rsidRPr="008E0393">
          <w:rPr>
            <w:rFonts w:ascii="Montserrat" w:eastAsia="Times New Roman" w:hAnsi="Montserrat" w:cs="Times New Roman"/>
            <w:color w:val="574840"/>
            <w:kern w:val="0"/>
            <w:sz w:val="27"/>
            <w:szCs w:val="27"/>
            <w:u w:val="single"/>
            <w:lang w:eastAsia="en-GB"/>
            <w14:ligatures w14:val="none"/>
          </w:rPr>
          <w:t>London Maritime Arbitrators Association (LMAA)</w:t>
        </w:r>
      </w:hyperlink>
      <w:r w:rsidRPr="008E0393">
        <w:rPr>
          <w:rFonts w:ascii="Montserrat" w:eastAsia="Times New Roman" w:hAnsi="Montserrat" w:cs="Times New Roman"/>
          <w:color w:val="000000"/>
          <w:kern w:val="0"/>
          <w:sz w:val="27"/>
          <w:szCs w:val="27"/>
          <w:lang w:eastAsia="en-GB"/>
          <w14:ligatures w14:val="none"/>
        </w:rPr>
        <w:t> is the leading global forum for dispute resolution in the shipping sector, with a reach extending across the maritime spectrum, international trade and offshore energy.</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In 2023, the LMAA's members and affiliated arbitrators saw an estimated 1,845 new cases compared to 1,807 in 2022, consolidating London's position as the leading global centre for maritime arbitration.</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Also in 2023, parties made an estimated 3,268 appointments of arbitrators in LMAA cases, compared to 3,193 the year before.</w:t>
      </w:r>
    </w:p>
    <w:p w:rsidR="008E0393" w:rsidRPr="008E0393" w:rsidRDefault="008E0393" w:rsidP="008E0393">
      <w:pPr>
        <w:shd w:val="clear" w:color="auto" w:fill="FFFFFF"/>
        <w:spacing w:after="100" w:afterAutospacing="1" w:line="360" w:lineRule="atLeast"/>
        <w:outlineLvl w:val="3"/>
        <w:rPr>
          <w:rFonts w:ascii="Times New Roman" w:eastAsia="Times New Roman" w:hAnsi="Times New Roman" w:cs="Times New Roman"/>
          <w:b/>
          <w:bCs/>
          <w:color w:val="000000"/>
          <w:kern w:val="0"/>
          <w:lang w:eastAsia="en-GB"/>
          <w14:ligatures w14:val="none"/>
        </w:rPr>
      </w:pPr>
      <w:r w:rsidRPr="008E0393">
        <w:rPr>
          <w:rFonts w:ascii="Times New Roman" w:eastAsia="Times New Roman" w:hAnsi="Times New Roman" w:cs="Times New Roman"/>
          <w:b/>
          <w:bCs/>
          <w:color w:val="000000"/>
          <w:kern w:val="0"/>
          <w:lang w:eastAsia="en-GB"/>
          <w14:ligatures w14:val="none"/>
        </w:rPr>
        <w:t>Trade arbitration</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w:t>
      </w:r>
      <w:hyperlink r:id="rId32" w:tgtFrame="_blank" w:tooltip="Arbitration | Grain and Feed Trade Association (Gafta)" w:history="1">
        <w:r w:rsidRPr="008E0393">
          <w:rPr>
            <w:rFonts w:ascii="Montserrat" w:eastAsia="Times New Roman" w:hAnsi="Montserrat" w:cs="Times New Roman"/>
            <w:color w:val="574840"/>
            <w:kern w:val="0"/>
            <w:sz w:val="27"/>
            <w:szCs w:val="27"/>
            <w:u w:val="single"/>
            <w:lang w:eastAsia="en-GB"/>
            <w14:ligatures w14:val="none"/>
          </w:rPr>
          <w:t>Grain and Feed Trade Association (</w:t>
        </w:r>
        <w:proofErr w:type="spellStart"/>
        <w:r w:rsidRPr="008E0393">
          <w:rPr>
            <w:rFonts w:ascii="Montserrat" w:eastAsia="Times New Roman" w:hAnsi="Montserrat" w:cs="Times New Roman"/>
            <w:color w:val="574840"/>
            <w:kern w:val="0"/>
            <w:sz w:val="27"/>
            <w:szCs w:val="27"/>
            <w:u w:val="single"/>
            <w:lang w:eastAsia="en-GB"/>
            <w14:ligatures w14:val="none"/>
          </w:rPr>
          <w:t>Gafta</w:t>
        </w:r>
        <w:proofErr w:type="spellEnd"/>
        <w:r w:rsidRPr="008E0393">
          <w:rPr>
            <w:rFonts w:ascii="Montserrat" w:eastAsia="Times New Roman" w:hAnsi="Montserrat" w:cs="Times New Roman"/>
            <w:color w:val="574840"/>
            <w:kern w:val="0"/>
            <w:sz w:val="27"/>
            <w:szCs w:val="27"/>
            <w:u w:val="single"/>
            <w:lang w:eastAsia="en-GB"/>
            <w14:ligatures w14:val="none"/>
          </w:rPr>
          <w:t>)</w:t>
        </w:r>
      </w:hyperlink>
      <w:r w:rsidRPr="008E0393">
        <w:rPr>
          <w:rFonts w:ascii="Montserrat" w:eastAsia="Times New Roman" w:hAnsi="Montserrat" w:cs="Times New Roman"/>
          <w:color w:val="000000"/>
          <w:kern w:val="0"/>
          <w:sz w:val="27"/>
          <w:szCs w:val="27"/>
          <w:lang w:eastAsia="en-GB"/>
          <w14:ligatures w14:val="none"/>
        </w:rPr>
        <w:t> is a London-based trade association. Its contracts govern approximately 80% of global trade in grains – valued at $98.2 billion in 2020.</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In 2023, GAFTA's members received 337 referrals for their services, compared to 262 the previous year.</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Hundreds of trade arbitrations are held in London each year and governed by English law, administered by:</w:t>
      </w:r>
    </w:p>
    <w:p w:rsidR="008E0393" w:rsidRPr="008E0393" w:rsidRDefault="008E0393" w:rsidP="008E0393">
      <w:pPr>
        <w:numPr>
          <w:ilvl w:val="0"/>
          <w:numId w:val="6"/>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London Metal Exchange</w:t>
      </w:r>
    </w:p>
    <w:p w:rsidR="008E0393" w:rsidRPr="008E0393" w:rsidRDefault="008E0393" w:rsidP="008E0393">
      <w:pPr>
        <w:numPr>
          <w:ilvl w:val="0"/>
          <w:numId w:val="6"/>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Federation of Oil, Seeds and Fats Associations</w:t>
      </w:r>
    </w:p>
    <w:p w:rsidR="008E0393" w:rsidRPr="008E0393" w:rsidRDefault="008E0393" w:rsidP="008E0393">
      <w:pPr>
        <w:numPr>
          <w:ilvl w:val="0"/>
          <w:numId w:val="6"/>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International Cotton Association</w:t>
      </w:r>
    </w:p>
    <w:p w:rsidR="008E0393" w:rsidRPr="008E0393" w:rsidRDefault="008E0393" w:rsidP="008E0393">
      <w:pPr>
        <w:numPr>
          <w:ilvl w:val="0"/>
          <w:numId w:val="6"/>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British Coffee Association</w:t>
      </w:r>
    </w:p>
    <w:p w:rsidR="008E0393" w:rsidRPr="008E0393" w:rsidRDefault="008E0393" w:rsidP="008E0393">
      <w:pPr>
        <w:numPr>
          <w:ilvl w:val="0"/>
          <w:numId w:val="6"/>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lastRenderedPageBreak/>
        <w:t>the Refined Sugar Association</w:t>
      </w:r>
    </w:p>
    <w:p w:rsidR="008E0393" w:rsidRPr="008E0393" w:rsidRDefault="008E0393" w:rsidP="008E0393">
      <w:pPr>
        <w:shd w:val="clear" w:color="auto" w:fill="FFFFFF"/>
        <w:spacing w:after="100" w:afterAutospacing="1" w:line="360" w:lineRule="atLeast"/>
        <w:outlineLvl w:val="2"/>
        <w:rPr>
          <w:rFonts w:ascii="Times New Roman" w:eastAsia="Times New Roman" w:hAnsi="Times New Roman" w:cs="Times New Roman"/>
          <w:b/>
          <w:bCs/>
          <w:color w:val="000000"/>
          <w:kern w:val="0"/>
          <w:sz w:val="27"/>
          <w:szCs w:val="27"/>
          <w:lang w:eastAsia="en-GB"/>
          <w14:ligatures w14:val="none"/>
        </w:rPr>
      </w:pPr>
      <w:r w:rsidRPr="008E0393">
        <w:rPr>
          <w:rFonts w:ascii="Times New Roman" w:eastAsia="Times New Roman" w:hAnsi="Times New Roman" w:cs="Times New Roman"/>
          <w:b/>
          <w:bCs/>
          <w:color w:val="000000"/>
          <w:kern w:val="0"/>
          <w:sz w:val="27"/>
          <w:szCs w:val="27"/>
          <w:lang w:eastAsia="en-GB"/>
          <w14:ligatures w14:val="none"/>
        </w:rPr>
        <w:t>Qualifying as a solicitor in England and Wales</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There is a clear and proportionate route for anyone who wants to become a solicitor in England and Wales, regardless of their background, previous qualifications or experience.</w:t>
      </w:r>
    </w:p>
    <w:p w:rsidR="008E0393" w:rsidRPr="008E0393" w:rsidRDefault="008E0393" w:rsidP="008E0393">
      <w:pPr>
        <w:shd w:val="clear" w:color="auto" w:fill="FFFFFF"/>
        <w:spacing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The Solicitors Qualifying Examination (SQE) is a centralised test with several key benefits, including that:</w:t>
      </w:r>
    </w:p>
    <w:p w:rsidR="008E0393" w:rsidRPr="008E0393" w:rsidRDefault="008E0393" w:rsidP="008E0393">
      <w:pPr>
        <w:numPr>
          <w:ilvl w:val="0"/>
          <w:numId w:val="7"/>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it's open to law and non-law graduates from the UK and overseas</w:t>
      </w:r>
    </w:p>
    <w:p w:rsidR="008E0393" w:rsidRPr="008E0393" w:rsidRDefault="008E0393" w:rsidP="008E0393">
      <w:pPr>
        <w:numPr>
          <w:ilvl w:val="0"/>
          <w:numId w:val="7"/>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both exams can be taken before, during or after gaining qualifying work experience, meaning it's highly flexible</w:t>
      </w:r>
    </w:p>
    <w:p w:rsidR="008E0393" w:rsidRPr="008E0393" w:rsidRDefault="008E0393" w:rsidP="008E0393">
      <w:pPr>
        <w:numPr>
          <w:ilvl w:val="0"/>
          <w:numId w:val="7"/>
        </w:numPr>
        <w:shd w:val="clear" w:color="auto" w:fill="FFFFFF"/>
        <w:spacing w:before="100" w:beforeAutospacing="1" w:after="100" w:afterAutospacing="1"/>
        <w:rPr>
          <w:rFonts w:ascii="Montserrat" w:eastAsia="Times New Roman" w:hAnsi="Montserrat" w:cs="Times New Roman"/>
          <w:color w:val="000000"/>
          <w:kern w:val="0"/>
          <w:sz w:val="27"/>
          <w:szCs w:val="27"/>
          <w:lang w:eastAsia="en-GB"/>
          <w14:ligatures w14:val="none"/>
        </w:rPr>
      </w:pPr>
      <w:r w:rsidRPr="008E0393">
        <w:rPr>
          <w:rFonts w:ascii="Montserrat" w:eastAsia="Times New Roman" w:hAnsi="Montserrat" w:cs="Times New Roman"/>
          <w:color w:val="000000"/>
          <w:kern w:val="0"/>
          <w:sz w:val="27"/>
          <w:szCs w:val="27"/>
          <w:lang w:eastAsia="en-GB"/>
          <w14:ligatures w14:val="none"/>
        </w:rPr>
        <w:t>foreign qualified lawyers can apply for exemptions from parts of the SQE based on their qualifications or work experience – see the Solicitors Regulation Authority's </w:t>
      </w:r>
      <w:hyperlink r:id="rId33" w:tgtFrame="_self" w:tooltip="SQE exemptions | Solicitors Regulation Authority" w:history="1">
        <w:r w:rsidRPr="008E0393">
          <w:rPr>
            <w:rFonts w:ascii="Montserrat" w:eastAsia="Times New Roman" w:hAnsi="Montserrat" w:cs="Times New Roman"/>
            <w:color w:val="574840"/>
            <w:kern w:val="0"/>
            <w:sz w:val="27"/>
            <w:szCs w:val="27"/>
            <w:u w:val="single"/>
            <w:lang w:eastAsia="en-GB"/>
            <w14:ligatures w14:val="none"/>
          </w:rPr>
          <w:t>list of jurisdictions already eligible for exemptions</w:t>
        </w:r>
      </w:hyperlink>
    </w:p>
    <w:p w:rsidR="00DF6715" w:rsidRDefault="00DF6715"/>
    <w:sectPr w:rsidR="00D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9E3"/>
    <w:multiLevelType w:val="multilevel"/>
    <w:tmpl w:val="CF0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C266F"/>
    <w:multiLevelType w:val="multilevel"/>
    <w:tmpl w:val="4C2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3766E"/>
    <w:multiLevelType w:val="multilevel"/>
    <w:tmpl w:val="43E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2381"/>
    <w:multiLevelType w:val="multilevel"/>
    <w:tmpl w:val="946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D5D68"/>
    <w:multiLevelType w:val="multilevel"/>
    <w:tmpl w:val="50D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076DD"/>
    <w:multiLevelType w:val="multilevel"/>
    <w:tmpl w:val="B8BC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F039F"/>
    <w:multiLevelType w:val="multilevel"/>
    <w:tmpl w:val="4D1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551523">
    <w:abstractNumId w:val="3"/>
  </w:num>
  <w:num w:numId="2" w16cid:durableId="870998362">
    <w:abstractNumId w:val="1"/>
  </w:num>
  <w:num w:numId="3" w16cid:durableId="1007713035">
    <w:abstractNumId w:val="2"/>
  </w:num>
  <w:num w:numId="4" w16cid:durableId="121853722">
    <w:abstractNumId w:val="6"/>
  </w:num>
  <w:num w:numId="5" w16cid:durableId="1061975216">
    <w:abstractNumId w:val="4"/>
  </w:num>
  <w:num w:numId="6" w16cid:durableId="1342508605">
    <w:abstractNumId w:val="5"/>
  </w:num>
  <w:num w:numId="7" w16cid:durableId="125039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93"/>
    <w:rsid w:val="00572098"/>
    <w:rsid w:val="008E0393"/>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00E4A3-95DE-504E-9FCA-B3E55A35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039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E039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39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E039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8E039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E0393"/>
    <w:rPr>
      <w:color w:val="0000FF"/>
      <w:u w:val="single"/>
    </w:rPr>
  </w:style>
  <w:style w:type="character" w:styleId="Strong">
    <w:name w:val="Strong"/>
    <w:basedOn w:val="DefaultParagraphFont"/>
    <w:uiPriority w:val="22"/>
    <w:qFormat/>
    <w:rsid w:val="008E0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5102">
      <w:bodyDiv w:val="1"/>
      <w:marLeft w:val="0"/>
      <w:marRight w:val="0"/>
      <w:marTop w:val="0"/>
      <w:marBottom w:val="0"/>
      <w:divBdr>
        <w:top w:val="none" w:sz="0" w:space="0" w:color="auto"/>
        <w:left w:val="none" w:sz="0" w:space="0" w:color="auto"/>
        <w:bottom w:val="none" w:sz="0" w:space="0" w:color="auto"/>
        <w:right w:val="none" w:sz="0" w:space="0" w:color="auto"/>
      </w:divBdr>
      <w:divsChild>
        <w:div w:id="1377896519">
          <w:marLeft w:val="0"/>
          <w:marRight w:val="0"/>
          <w:marTop w:val="0"/>
          <w:marBottom w:val="0"/>
          <w:divBdr>
            <w:top w:val="none" w:sz="0" w:space="0" w:color="auto"/>
            <w:left w:val="none" w:sz="0" w:space="0" w:color="auto"/>
            <w:bottom w:val="none" w:sz="0" w:space="0" w:color="auto"/>
            <w:right w:val="none" w:sz="0" w:space="0" w:color="auto"/>
          </w:divBdr>
          <w:divsChild>
            <w:div w:id="126900552">
              <w:marLeft w:val="0"/>
              <w:marRight w:val="0"/>
              <w:marTop w:val="0"/>
              <w:marBottom w:val="0"/>
              <w:divBdr>
                <w:top w:val="none" w:sz="0" w:space="0" w:color="auto"/>
                <w:left w:val="none" w:sz="0" w:space="0" w:color="auto"/>
                <w:bottom w:val="none" w:sz="0" w:space="0" w:color="auto"/>
                <w:right w:val="none" w:sz="0" w:space="0" w:color="auto"/>
              </w:divBdr>
            </w:div>
          </w:divsChild>
        </w:div>
        <w:div w:id="1420977751">
          <w:marLeft w:val="0"/>
          <w:marRight w:val="0"/>
          <w:marTop w:val="0"/>
          <w:marBottom w:val="0"/>
          <w:divBdr>
            <w:top w:val="none" w:sz="0" w:space="0" w:color="auto"/>
            <w:left w:val="none" w:sz="0" w:space="0" w:color="auto"/>
            <w:bottom w:val="none" w:sz="0" w:space="0" w:color="auto"/>
            <w:right w:val="none" w:sz="0" w:space="0" w:color="auto"/>
          </w:divBdr>
          <w:divsChild>
            <w:div w:id="885485615">
              <w:marLeft w:val="0"/>
              <w:marRight w:val="0"/>
              <w:marTop w:val="0"/>
              <w:marBottom w:val="0"/>
              <w:divBdr>
                <w:top w:val="none" w:sz="0" w:space="0" w:color="auto"/>
                <w:left w:val="none" w:sz="0" w:space="0" w:color="auto"/>
                <w:bottom w:val="none" w:sz="0" w:space="0" w:color="auto"/>
                <w:right w:val="none" w:sz="0" w:space="0" w:color="auto"/>
              </w:divBdr>
            </w:div>
          </w:divsChild>
        </w:div>
        <w:div w:id="1956478398">
          <w:marLeft w:val="0"/>
          <w:marRight w:val="0"/>
          <w:marTop w:val="0"/>
          <w:marBottom w:val="0"/>
          <w:divBdr>
            <w:top w:val="none" w:sz="0" w:space="0" w:color="auto"/>
            <w:left w:val="none" w:sz="0" w:space="0" w:color="auto"/>
            <w:bottom w:val="none" w:sz="0" w:space="0" w:color="auto"/>
            <w:right w:val="none" w:sz="0" w:space="0" w:color="auto"/>
          </w:divBdr>
          <w:divsChild>
            <w:div w:id="2035374306">
              <w:marLeft w:val="0"/>
              <w:marRight w:val="0"/>
              <w:marTop w:val="0"/>
              <w:marBottom w:val="0"/>
              <w:divBdr>
                <w:top w:val="none" w:sz="0" w:space="0" w:color="auto"/>
                <w:left w:val="none" w:sz="0" w:space="0" w:color="auto"/>
                <w:bottom w:val="none" w:sz="0" w:space="0" w:color="auto"/>
                <w:right w:val="none" w:sz="0" w:space="0" w:color="auto"/>
              </w:divBdr>
              <w:divsChild>
                <w:div w:id="1694111343">
                  <w:marLeft w:val="0"/>
                  <w:marRight w:val="0"/>
                  <w:marTop w:val="0"/>
                  <w:marBottom w:val="0"/>
                  <w:divBdr>
                    <w:top w:val="none" w:sz="0" w:space="0" w:color="auto"/>
                    <w:left w:val="none" w:sz="0" w:space="0" w:color="auto"/>
                    <w:bottom w:val="none" w:sz="0" w:space="0" w:color="auto"/>
                    <w:right w:val="none" w:sz="0" w:space="0" w:color="auto"/>
                  </w:divBdr>
                </w:div>
                <w:div w:id="20223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udiciary.uk/about-the-judiciary/our-justice-system/three-is/" TargetMode="External"/><Relationship Id="rId18" Type="http://schemas.openxmlformats.org/officeDocument/2006/relationships/hyperlink" Target="https://www.lawsociety.org.uk/topics/brexit/choice-of-court-agreements-after-brexit" TargetMode="External"/><Relationship Id="rId26" Type="http://schemas.openxmlformats.org/officeDocument/2006/relationships/hyperlink" Target="https://www.newyorkconvention.org/countries" TargetMode="External"/><Relationship Id="rId3" Type="http://schemas.openxmlformats.org/officeDocument/2006/relationships/settings" Target="settings.xml"/><Relationship Id="rId21" Type="http://schemas.openxmlformats.org/officeDocument/2006/relationships/hyperlink" Target="https://www.lawsociety.org.uk/campaigns/england-and-wales-global-legal-centre" TargetMode="External"/><Relationship Id="rId34" Type="http://schemas.openxmlformats.org/officeDocument/2006/relationships/fontTable" Target="fontTable.xml"/><Relationship Id="rId7" Type="http://schemas.openxmlformats.org/officeDocument/2006/relationships/hyperlink" Target="https://legaluk.org/wp-content/uploads/2021/09/The-value-of-English-law-to-the-UK-economy.pdf" TargetMode="External"/><Relationship Id="rId12" Type="http://schemas.openxmlformats.org/officeDocument/2006/relationships/hyperlink" Target="https://www.lawcom.gov.uk/project/digital-assets/" TargetMode="External"/><Relationship Id="rId17" Type="http://schemas.openxmlformats.org/officeDocument/2006/relationships/hyperlink" Target="https://portland-communications.com/wp-content/uploads/2024/05/Portland-Commercial-Courts-Report-2024-.pdf" TargetMode="External"/><Relationship Id="rId25" Type="http://schemas.openxmlformats.org/officeDocument/2006/relationships/hyperlink" Target="https://www.lawsociety.org.uk/topics/civil-litigation/arbitration-act-2025-explained" TargetMode="External"/><Relationship Id="rId33" Type="http://schemas.openxmlformats.org/officeDocument/2006/relationships/hyperlink" Target="https://www.sra.org.uk/become-solicitor/qualified-lawyers/sqe-exemptions/" TargetMode="External"/><Relationship Id="rId2" Type="http://schemas.openxmlformats.org/officeDocument/2006/relationships/styles" Target="styles.xml"/><Relationship Id="rId16" Type="http://schemas.openxmlformats.org/officeDocument/2006/relationships/hyperlink" Target="https://www.judiciary.uk/guidance-and-resources/commercial-court-annual-report-2022-2023-published/" TargetMode="External"/><Relationship Id="rId20" Type="http://schemas.openxmlformats.org/officeDocument/2006/relationships/hyperlink" Target="https://www.lawsociety.org.uk/campaigns/england-and-wales-global-legal-centre" TargetMode="External"/><Relationship Id="rId29" Type="http://schemas.openxmlformats.org/officeDocument/2006/relationships/hyperlink" Target="https://iccwbo.org/dispute-resolution/dispute-resolution-services/arbitration/rules-procedure/" TargetMode="External"/><Relationship Id="rId1" Type="http://schemas.openxmlformats.org/officeDocument/2006/relationships/numbering" Target="numbering.xml"/><Relationship Id="rId6" Type="http://schemas.openxmlformats.org/officeDocument/2006/relationships/hyperlink" Target="https://www.ons.gov.uk/economy/nationalaccounts/balanceofpayments/datasets/3tradeinservicesthepinkbook2016" TargetMode="External"/><Relationship Id="rId11" Type="http://schemas.openxmlformats.org/officeDocument/2006/relationships/hyperlink" Target="https://www.latham.london/2022/11/meaning-of-good-faith-under-english-law-latest-clarification/" TargetMode="External"/><Relationship Id="rId24" Type="http://schemas.openxmlformats.org/officeDocument/2006/relationships/hyperlink" Target="https://www.gov.uk/courts-tribunals/the-business-and-property-courts" TargetMode="External"/><Relationship Id="rId32" Type="http://schemas.openxmlformats.org/officeDocument/2006/relationships/hyperlink" Target="https://www.gafta.com/Arbitration" TargetMode="External"/><Relationship Id="rId5" Type="http://schemas.openxmlformats.org/officeDocument/2006/relationships/hyperlink" Target="https://www.lawsociety.org.uk/topics/research/contribution-of-the-uk-legal-services-sector-to-the-uk-economy-report" TargetMode="External"/><Relationship Id="rId15" Type="http://schemas.openxmlformats.org/officeDocument/2006/relationships/hyperlink" Target="https://www.thecityuk.com/media/5url4ni1/legal-excellence-internationally-renowned-uk-legal-services-2022.pdf" TargetMode="External"/><Relationship Id="rId23" Type="http://schemas.openxmlformats.org/officeDocument/2006/relationships/hyperlink" Target="https://arbitration.qmul.ac.uk/research/2021-international-arbitration-survey/" TargetMode="External"/><Relationship Id="rId28" Type="http://schemas.openxmlformats.org/officeDocument/2006/relationships/hyperlink" Target="https://iccwbo.org/news-publications/news/icc-dispute-resolution-statistics-2023/" TargetMode="External"/><Relationship Id="rId10" Type="http://schemas.openxmlformats.org/officeDocument/2006/relationships/hyperlink" Target="https://legaluk.org/wp-content/uploads/2021/09/The-value-of-English-law-to-the-UK-economy.pdf" TargetMode="External"/><Relationship Id="rId19" Type="http://schemas.openxmlformats.org/officeDocument/2006/relationships/hyperlink" Target="https://www.judiciary.uk/courts-and-tribunals/business-and-property-courts/commercial-court/" TargetMode="External"/><Relationship Id="rId31" Type="http://schemas.openxmlformats.org/officeDocument/2006/relationships/hyperlink" Target="https://lmaa.london/about-lmaa/" TargetMode="External"/><Relationship Id="rId4" Type="http://schemas.openxmlformats.org/officeDocument/2006/relationships/webSettings" Target="webSettings.xml"/><Relationship Id="rId9" Type="http://schemas.openxmlformats.org/officeDocument/2006/relationships/hyperlink" Target="https://www.lawsociety.org.uk/topics/research/international-data-insights-2024" TargetMode="External"/><Relationship Id="rId14" Type="http://schemas.openxmlformats.org/officeDocument/2006/relationships/hyperlink" Target="https://judicialappointments.gov.uk/eligibility-for-llegally-qualified-candidates/" TargetMode="External"/><Relationship Id="rId22" Type="http://schemas.openxmlformats.org/officeDocument/2006/relationships/hyperlink" Target="https://www.lawsociety.org.uk/campaigns/england-and-wales-global-legal-centre" TargetMode="External"/><Relationship Id="rId27" Type="http://schemas.openxmlformats.org/officeDocument/2006/relationships/hyperlink" Target="https://www.lcia.org/Dispute_Resolution_Services/LCIA_Arbitration.aspx" TargetMode="External"/><Relationship Id="rId30" Type="http://schemas.openxmlformats.org/officeDocument/2006/relationships/hyperlink" Target="https://iccwbo.org/dispute-resolution/about-icc-dispute-resolution-services/" TargetMode="External"/><Relationship Id="rId35" Type="http://schemas.openxmlformats.org/officeDocument/2006/relationships/theme" Target="theme/theme1.xml"/><Relationship Id="rId8" Type="http://schemas.openxmlformats.org/officeDocument/2006/relationships/hyperlink" Target="https://www.thecityuk.com/media/5url4ni1/legal-excellence-internationally-renowned-uk-legal-services-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2457</Words>
  <Characters>14009</Characters>
  <Application>Microsoft Office Word</Application>
  <DocSecurity>0</DocSecurity>
  <Lines>116</Lines>
  <Paragraphs>32</Paragraphs>
  <ScaleCrop>false</ScaleCrop>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2025-06-03T07:49:00Z</dcterms:created>
  <dcterms:modified xsi:type="dcterms:W3CDTF">2025-06-03T07:50:00Z</dcterms:modified>
</cp:coreProperties>
</file>