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193B" w14:textId="5C3EA99A" w:rsidR="002025B6" w:rsidRPr="002025B6" w:rsidRDefault="002025B6" w:rsidP="002025B6">
      <w:pPr>
        <w:rPr>
          <w:lang w:val="en-GB"/>
        </w:rPr>
      </w:pPr>
      <w:r w:rsidRPr="002025B6">
        <w:rPr>
          <w:b/>
          <w:bCs/>
          <w:lang w:val="en-GB"/>
        </w:rPr>
        <w:t xml:space="preserve">Takeover offers: timetable </w:t>
      </w:r>
      <w:r w:rsidR="00C01E54">
        <w:rPr>
          <w:b/>
          <w:bCs/>
          <w:lang w:val="en-GB"/>
        </w:rPr>
        <w:t xml:space="preserve">overview </w:t>
      </w:r>
      <w:r w:rsidRPr="002025B6">
        <w:rPr>
          <w:b/>
          <w:bCs/>
          <w:lang w:val="en-GB"/>
        </w:rPr>
        <w:t>and the offer document</w:t>
      </w:r>
    </w:p>
    <w:p w14:paraId="2F34F670" w14:textId="59803F33" w:rsidR="00C92167" w:rsidRPr="00C92167" w:rsidRDefault="00C92167" w:rsidP="00C92167">
      <w:pPr>
        <w:rPr>
          <w:lang w:val="en-GB"/>
        </w:rPr>
      </w:pPr>
      <w:r w:rsidRPr="00C92167">
        <w:rPr>
          <w:lang w:val="en-GB"/>
        </w:rPr>
        <w:t xml:space="preserve">This element looks at </w:t>
      </w:r>
      <w:r w:rsidR="006B59D7">
        <w:rPr>
          <w:lang w:val="en-GB"/>
        </w:rPr>
        <w:t xml:space="preserve">some </w:t>
      </w:r>
      <w:r w:rsidRPr="00C92167">
        <w:rPr>
          <w:lang w:val="en-GB"/>
        </w:rPr>
        <w:t>key stages in the timetable for a contractual offer, as well as the content considerations which apply only to offer documents.</w:t>
      </w:r>
    </w:p>
    <w:p w14:paraId="1DEE1F72" w14:textId="77777777" w:rsidR="00A41F0E" w:rsidRPr="00A41F0E" w:rsidRDefault="00A41F0E" w:rsidP="00A41F0E">
      <w:pPr>
        <w:rPr>
          <w:lang w:val="en-GB"/>
        </w:rPr>
      </w:pPr>
      <w:r w:rsidRPr="00A41F0E">
        <w:rPr>
          <w:b/>
          <w:bCs/>
          <w:lang w:val="en-GB"/>
        </w:rPr>
        <w:t>Overview of an offer timetable</w:t>
      </w:r>
    </w:p>
    <w:p w14:paraId="77865D45" w14:textId="77777777" w:rsidR="00D978F1" w:rsidRDefault="00D978F1" w:rsidP="00D978F1">
      <w:pPr>
        <w:pStyle w:val="ListParagraph"/>
        <w:numPr>
          <w:ilvl w:val="0"/>
          <w:numId w:val="1"/>
        </w:numPr>
        <w:rPr>
          <w:lang w:val="en-GB"/>
        </w:rPr>
      </w:pPr>
      <w:r w:rsidRPr="00D978F1">
        <w:rPr>
          <w:lang w:val="en-GB"/>
        </w:rPr>
        <w:t>Announcement of possible offer in which potential bidder is first identified (Rules 2.2, 2.4, 2.6(a))</w:t>
      </w:r>
    </w:p>
    <w:p w14:paraId="108EEE58" w14:textId="59F9AE89" w:rsidR="00B20A62" w:rsidRDefault="00B20A62" w:rsidP="00B20A62">
      <w:pPr>
        <w:pStyle w:val="ListParagraph"/>
        <w:numPr>
          <w:ilvl w:val="0"/>
          <w:numId w:val="1"/>
        </w:numPr>
        <w:rPr>
          <w:lang w:val="en-GB"/>
        </w:rPr>
      </w:pPr>
      <w:r w:rsidRPr="00B20A62">
        <w:rPr>
          <w:lang w:val="en-GB"/>
        </w:rPr>
        <w:t>Announcement of firm intention to make an offer (Rules 2.2(a) and 2.7)</w:t>
      </w:r>
      <w:r w:rsidR="0055252C">
        <w:rPr>
          <w:lang w:val="en-GB"/>
        </w:rPr>
        <w:t>)</w:t>
      </w:r>
    </w:p>
    <w:p w14:paraId="6D379B29" w14:textId="462CF994" w:rsidR="003B7F2D" w:rsidRPr="0054030A" w:rsidRDefault="003B7F2D" w:rsidP="00B20A62">
      <w:pPr>
        <w:pStyle w:val="ListParagraph"/>
        <w:numPr>
          <w:ilvl w:val="0"/>
          <w:numId w:val="1"/>
        </w:numPr>
        <w:rPr>
          <w:lang w:val="en-GB"/>
        </w:rPr>
      </w:pPr>
      <w:r w:rsidRPr="0054030A">
        <w:rPr>
          <w:lang w:val="en-GB"/>
        </w:rPr>
        <w:t xml:space="preserve">There is a maximum of 28 days </w:t>
      </w:r>
      <w:r w:rsidR="00433A09" w:rsidRPr="0054030A">
        <w:rPr>
          <w:lang w:val="en-GB"/>
        </w:rPr>
        <w:t xml:space="preserve">between </w:t>
      </w:r>
      <w:r w:rsidR="0026339E" w:rsidRPr="0054030A">
        <w:rPr>
          <w:lang w:val="en-GB"/>
        </w:rPr>
        <w:t xml:space="preserve">the </w:t>
      </w:r>
      <w:r w:rsidR="001C72A2">
        <w:rPr>
          <w:lang w:val="en-GB"/>
        </w:rPr>
        <w:t>announcement of a possible offer and the announcement of a firm intention to make an offer (unless a PUSU extension is granted)</w:t>
      </w:r>
      <w:r w:rsidR="0026339E" w:rsidRPr="0054030A">
        <w:rPr>
          <w:lang w:val="en-GB"/>
        </w:rPr>
        <w:t xml:space="preserve">. </w:t>
      </w:r>
    </w:p>
    <w:p w14:paraId="2AFB3FA7" w14:textId="0DBEF10E" w:rsidR="00B20A62" w:rsidRPr="00B20A62" w:rsidRDefault="00B20A62" w:rsidP="00B20A62">
      <w:pPr>
        <w:pStyle w:val="ListParagraph"/>
        <w:numPr>
          <w:ilvl w:val="0"/>
          <w:numId w:val="1"/>
        </w:numPr>
        <w:rPr>
          <w:lang w:val="en-GB"/>
        </w:rPr>
      </w:pPr>
      <w:r w:rsidRPr="00B20A62">
        <w:rPr>
          <w:b/>
          <w:bCs/>
          <w:lang w:val="en-GB"/>
        </w:rPr>
        <w:t>DAY 0</w:t>
      </w:r>
      <w:r>
        <w:rPr>
          <w:b/>
          <w:bCs/>
          <w:lang w:val="en-GB"/>
        </w:rPr>
        <w:t xml:space="preserve">: </w:t>
      </w:r>
      <w:r w:rsidRPr="00B20A62">
        <w:rPr>
          <w:lang w:val="en-GB"/>
        </w:rPr>
        <w:t>Offer document sent to target shareholders and published on website (Rule 24.1(a))</w:t>
      </w:r>
    </w:p>
    <w:p w14:paraId="2B4F9937" w14:textId="253C7D1D" w:rsidR="00D978F1" w:rsidRPr="00DB2CD8" w:rsidRDefault="0026339E" w:rsidP="00D978F1">
      <w:pPr>
        <w:pStyle w:val="ListParagraph"/>
        <w:numPr>
          <w:ilvl w:val="0"/>
          <w:numId w:val="1"/>
        </w:numPr>
        <w:rPr>
          <w:lang w:val="en-GB"/>
        </w:rPr>
      </w:pPr>
      <w:r w:rsidRPr="0054030A">
        <w:t>There is a maximum of 28 days</w:t>
      </w:r>
      <w:r w:rsidR="004D4195" w:rsidRPr="0054030A">
        <w:t xml:space="preserve"> between the announcement of firm intention to make an offer and Day 0</w:t>
      </w:r>
      <w:r w:rsidRPr="0026339E">
        <w:t xml:space="preserve"> (NB the bidder must wait until 14 days after 2.7 announcement to publish the offer document unless it has target consent to earlier publication)</w:t>
      </w:r>
      <w:r w:rsidR="004D4195">
        <w:t xml:space="preserve">. </w:t>
      </w:r>
    </w:p>
    <w:p w14:paraId="0EC960BD" w14:textId="6D7BF91E" w:rsidR="00DB2CD8" w:rsidRPr="00DB2CD8" w:rsidRDefault="00DB2CD8" w:rsidP="00DB2CD8">
      <w:pPr>
        <w:pStyle w:val="ListParagraph"/>
        <w:numPr>
          <w:ilvl w:val="0"/>
          <w:numId w:val="1"/>
        </w:numPr>
        <w:rPr>
          <w:lang w:val="en-GB"/>
        </w:rPr>
      </w:pPr>
      <w:r w:rsidRPr="00DB2CD8">
        <w:rPr>
          <w:b/>
          <w:bCs/>
          <w:lang w:val="en-GB"/>
        </w:rPr>
        <w:t>DAY 14</w:t>
      </w:r>
      <w:r>
        <w:rPr>
          <w:b/>
          <w:bCs/>
          <w:lang w:val="en-GB"/>
        </w:rPr>
        <w:t xml:space="preserve">: </w:t>
      </w:r>
      <w:r w:rsidRPr="00DB2CD8">
        <w:rPr>
          <w:lang w:val="en-GB"/>
        </w:rPr>
        <w:t>Last date for target to send defence document to its shareholders and publish on website (Rule 25.1(a))</w:t>
      </w:r>
    </w:p>
    <w:p w14:paraId="17AF34FE" w14:textId="2ACAFDB6" w:rsidR="00DB2CD8" w:rsidRPr="00DB2CD8" w:rsidRDefault="00DB2CD8" w:rsidP="00DB2CD8">
      <w:pPr>
        <w:pStyle w:val="ListParagraph"/>
        <w:numPr>
          <w:ilvl w:val="0"/>
          <w:numId w:val="1"/>
        </w:numPr>
        <w:rPr>
          <w:lang w:val="en-GB"/>
        </w:rPr>
      </w:pPr>
      <w:r w:rsidRPr="00DB2CD8">
        <w:rPr>
          <w:b/>
          <w:bCs/>
          <w:lang w:val="en-GB"/>
        </w:rPr>
        <w:t>DAY 21</w:t>
      </w:r>
      <w:r>
        <w:rPr>
          <w:b/>
          <w:bCs/>
          <w:lang w:val="en-GB"/>
        </w:rPr>
        <w:t xml:space="preserve">: </w:t>
      </w:r>
      <w:r w:rsidRPr="00DB2CD8">
        <w:rPr>
          <w:lang w:val="en-GB"/>
        </w:rPr>
        <w:t>Minimum offer period (Rule 31.2)</w:t>
      </w:r>
      <w:r>
        <w:rPr>
          <w:lang w:val="en-GB"/>
        </w:rPr>
        <w:t xml:space="preserve">. </w:t>
      </w:r>
      <w:r w:rsidRPr="00DB2CD8">
        <w:rPr>
          <w:lang w:val="en-GB"/>
        </w:rPr>
        <w:t>Bidder must announce the level of acceptances received by 8am on the next business day and every 7</w:t>
      </w:r>
      <w:r w:rsidRPr="00DB2CD8">
        <w:rPr>
          <w:vertAlign w:val="superscript"/>
          <w:lang w:val="en-GB"/>
        </w:rPr>
        <w:t>th</w:t>
      </w:r>
      <w:r w:rsidRPr="00DB2CD8">
        <w:rPr>
          <w:lang w:val="en-GB"/>
        </w:rPr>
        <w:t xml:space="preserve"> day thereafter (Rule 17.1)</w:t>
      </w:r>
    </w:p>
    <w:p w14:paraId="3B0B43B3" w14:textId="180BBBBB" w:rsidR="00773D60" w:rsidRPr="00773D60" w:rsidRDefault="00773D60" w:rsidP="00773D60">
      <w:pPr>
        <w:pStyle w:val="ListParagraph"/>
        <w:numPr>
          <w:ilvl w:val="0"/>
          <w:numId w:val="1"/>
        </w:numPr>
        <w:rPr>
          <w:lang w:val="en-GB"/>
        </w:rPr>
      </w:pPr>
      <w:r w:rsidRPr="00773D60">
        <w:rPr>
          <w:b/>
          <w:bCs/>
          <w:lang w:val="en-GB"/>
        </w:rPr>
        <w:t>DAY 39</w:t>
      </w:r>
      <w:r>
        <w:rPr>
          <w:b/>
          <w:bCs/>
          <w:lang w:val="en-GB"/>
        </w:rPr>
        <w:t xml:space="preserve">: </w:t>
      </w:r>
      <w:r w:rsidRPr="00773D60">
        <w:rPr>
          <w:lang w:val="en-GB"/>
        </w:rPr>
        <w:t>Final date for target to publish defence document with material new information (Rule 31.8)</w:t>
      </w:r>
    </w:p>
    <w:p w14:paraId="6C48458C" w14:textId="4637BF36" w:rsidR="0006022E" w:rsidRPr="0006022E" w:rsidRDefault="0006022E" w:rsidP="0006022E">
      <w:pPr>
        <w:pStyle w:val="ListParagraph"/>
        <w:numPr>
          <w:ilvl w:val="0"/>
          <w:numId w:val="1"/>
        </w:numPr>
        <w:rPr>
          <w:lang w:val="en-GB"/>
        </w:rPr>
      </w:pPr>
      <w:r w:rsidRPr="0006022E">
        <w:rPr>
          <w:b/>
          <w:bCs/>
          <w:lang w:val="en-GB"/>
        </w:rPr>
        <w:t>DAY 46</w:t>
      </w:r>
      <w:r>
        <w:rPr>
          <w:b/>
          <w:bCs/>
          <w:lang w:val="en-GB"/>
        </w:rPr>
        <w:t xml:space="preserve">: </w:t>
      </w:r>
      <w:r w:rsidRPr="0006022E">
        <w:rPr>
          <w:lang w:val="en-GB"/>
        </w:rPr>
        <w:t>Final date for bidder to revise/increase offer (Rule 32.1(c))</w:t>
      </w:r>
    </w:p>
    <w:p w14:paraId="748F01B8" w14:textId="61674D91" w:rsidR="00983D91" w:rsidRPr="00983D91" w:rsidRDefault="00983D91" w:rsidP="00983D91">
      <w:pPr>
        <w:pStyle w:val="ListParagraph"/>
        <w:numPr>
          <w:ilvl w:val="0"/>
          <w:numId w:val="1"/>
        </w:numPr>
        <w:rPr>
          <w:lang w:val="en-GB"/>
        </w:rPr>
      </w:pPr>
      <w:r w:rsidRPr="00983D91">
        <w:rPr>
          <w:b/>
          <w:bCs/>
          <w:lang w:val="en-GB"/>
        </w:rPr>
        <w:t>DAY 53</w:t>
      </w:r>
      <w:r>
        <w:rPr>
          <w:b/>
          <w:bCs/>
          <w:lang w:val="en-GB"/>
        </w:rPr>
        <w:t xml:space="preserve">: </w:t>
      </w:r>
      <w:r w:rsidRPr="00983D91">
        <w:rPr>
          <w:lang w:val="en-GB"/>
        </w:rPr>
        <w:t>Final date for a potential competing bidder to clarify its position (Rule 2.6(d))</w:t>
      </w:r>
    </w:p>
    <w:p w14:paraId="44542070" w14:textId="51E72D7B" w:rsidR="0009712E" w:rsidRPr="0009712E" w:rsidRDefault="0009712E" w:rsidP="0009712E">
      <w:pPr>
        <w:pStyle w:val="ListParagraph"/>
        <w:numPr>
          <w:ilvl w:val="0"/>
          <w:numId w:val="1"/>
        </w:numPr>
        <w:rPr>
          <w:lang w:val="en-GB"/>
        </w:rPr>
      </w:pPr>
      <w:r w:rsidRPr="0009712E">
        <w:rPr>
          <w:b/>
          <w:bCs/>
          <w:lang w:val="en-GB"/>
        </w:rPr>
        <w:t>DAY 60</w:t>
      </w:r>
      <w:r>
        <w:rPr>
          <w:b/>
          <w:bCs/>
          <w:lang w:val="en-GB"/>
        </w:rPr>
        <w:t xml:space="preserve">: </w:t>
      </w:r>
      <w:r w:rsidRPr="0009712E">
        <w:rPr>
          <w:lang w:val="en-GB"/>
        </w:rPr>
        <w:t>The Unconditional Date i.e. the last date for bidder to declare its offer unconditional (Rule 31.1)</w:t>
      </w:r>
      <w:r>
        <w:rPr>
          <w:lang w:val="en-GB"/>
        </w:rPr>
        <w:t>.</w:t>
      </w:r>
      <w:r w:rsidRPr="0009712E">
        <w:rPr>
          <w:lang w:val="en-GB"/>
        </w:rPr>
        <w:t xml:space="preserve">  All offer conditions must be satisfied or waived (but NB Rule 12.1 long stop date)</w:t>
      </w:r>
    </w:p>
    <w:p w14:paraId="0CB0A395" w14:textId="4AF16740" w:rsidR="00DB2CD8" w:rsidRDefault="0009712E" w:rsidP="00471DBB">
      <w:pPr>
        <w:pStyle w:val="ListParagraph"/>
        <w:numPr>
          <w:ilvl w:val="0"/>
          <w:numId w:val="1"/>
        </w:numPr>
        <w:rPr>
          <w:lang w:val="en-GB"/>
        </w:rPr>
      </w:pPr>
      <w:r w:rsidRPr="0009712E">
        <w:rPr>
          <w:b/>
          <w:bCs/>
          <w:lang w:val="en-GB"/>
        </w:rPr>
        <w:t>DAY 74</w:t>
      </w:r>
      <w:r w:rsidR="00471DBB">
        <w:rPr>
          <w:b/>
          <w:bCs/>
          <w:lang w:val="en-GB"/>
        </w:rPr>
        <w:t xml:space="preserve">: </w:t>
      </w:r>
      <w:r w:rsidRPr="00471DBB">
        <w:rPr>
          <w:lang w:val="en-GB"/>
        </w:rPr>
        <w:t>Bidder pays consideration (Rule 31.9): 14 days after the later of Rule 21, the offer being declared unconditional and the receipt of the acceptance</w:t>
      </w:r>
      <w:r w:rsidR="00471DBB">
        <w:rPr>
          <w:lang w:val="en-GB"/>
        </w:rPr>
        <w:t>.</w:t>
      </w:r>
    </w:p>
    <w:p w14:paraId="536C9163" w14:textId="6E694D25" w:rsidR="00815AC0" w:rsidRDefault="00815AC0" w:rsidP="00815AC0">
      <w:pPr>
        <w:rPr>
          <w:lang w:val="en-GB"/>
        </w:rPr>
      </w:pPr>
      <w:r w:rsidRPr="00815AC0">
        <w:rPr>
          <w:lang w:val="en-GB"/>
        </w:rPr>
        <w:t>If the bidder obtains 75% or more of the voting rights, it will usually delist the target.</w:t>
      </w:r>
      <w:r>
        <w:rPr>
          <w:lang w:val="en-GB"/>
        </w:rPr>
        <w:t xml:space="preserve"> </w:t>
      </w:r>
      <w:r w:rsidRPr="00815AC0">
        <w:rPr>
          <w:lang w:val="en-GB"/>
        </w:rPr>
        <w:t>If and when the bidder gets to 90% of shares to which the offer relates, the bidder can use the compulsory acquisition procedure in CA 06 to buy out the remaining minority holders.</w:t>
      </w:r>
    </w:p>
    <w:p w14:paraId="1A183C29" w14:textId="77777777" w:rsidR="000242A6" w:rsidRPr="000242A6" w:rsidRDefault="000242A6" w:rsidP="000242A6">
      <w:pPr>
        <w:rPr>
          <w:lang w:val="en-GB"/>
        </w:rPr>
      </w:pPr>
      <w:r w:rsidRPr="000242A6">
        <w:rPr>
          <w:b/>
          <w:bCs/>
          <w:lang w:val="en-GB"/>
        </w:rPr>
        <w:t>Offer document</w:t>
      </w:r>
    </w:p>
    <w:p w14:paraId="087CFACD" w14:textId="77777777" w:rsidR="000242A6" w:rsidRPr="000242A6" w:rsidRDefault="000242A6" w:rsidP="000242A6">
      <w:pPr>
        <w:rPr>
          <w:lang w:val="en-GB"/>
        </w:rPr>
      </w:pPr>
      <w:r w:rsidRPr="000242A6">
        <w:t xml:space="preserve">In acquisitions of private companies, it is possible for a purchaser to contract with each selling shareholder. </w:t>
      </w:r>
    </w:p>
    <w:p w14:paraId="3DAE382E" w14:textId="77777777" w:rsidR="000242A6" w:rsidRPr="000242A6" w:rsidRDefault="000242A6" w:rsidP="000242A6">
      <w:pPr>
        <w:rPr>
          <w:lang w:val="en-GB"/>
        </w:rPr>
      </w:pPr>
      <w:r w:rsidRPr="000242A6">
        <w:t xml:space="preserve">However, in acquisitions of public companies (particularly listed companies), it would be impractical to negotiate with each target shareholder due to the usually very large numbers of shareholders involved. Therefore, where the bidder opts to carry out a “contractual” takeover (i.e. purchase shares direct from selling shareholders), the procedure needs to be more standardised and is usually conducted by way of an offer and acceptance process as shown in the diagram on the next page. </w:t>
      </w:r>
    </w:p>
    <w:p w14:paraId="350E0B4E" w14:textId="1C19C534" w:rsidR="00AD7C52" w:rsidRDefault="00AD7C52" w:rsidP="00AD7C52">
      <w:pPr>
        <w:rPr>
          <w:b/>
          <w:bCs/>
          <w:lang w:val="en-GB"/>
        </w:rPr>
      </w:pPr>
      <w:r w:rsidRPr="00AD7C52">
        <w:rPr>
          <w:b/>
          <w:bCs/>
          <w:lang w:val="en-GB"/>
        </w:rPr>
        <w:t>Offer diagram</w:t>
      </w:r>
    </w:p>
    <w:p w14:paraId="0F1B2D3F" w14:textId="7EFC14AC" w:rsidR="00AD7C52" w:rsidRDefault="00AD7C52" w:rsidP="00AD7C52">
      <w:pPr>
        <w:rPr>
          <w:lang w:val="en-GB"/>
        </w:rPr>
      </w:pPr>
      <w:r>
        <w:rPr>
          <w:b/>
          <w:bCs/>
          <w:lang w:val="en-GB"/>
        </w:rPr>
        <w:t xml:space="preserve">Square diagram: </w:t>
      </w:r>
      <w:r w:rsidR="00B05D27">
        <w:rPr>
          <w:lang w:val="en-GB"/>
        </w:rPr>
        <w:t xml:space="preserve">there is one text box in each corner of the square. The top left hand text box reads “Offeror/Bidder”. There is a blue arrow pointing from this text box to the top right </w:t>
      </w:r>
      <w:r w:rsidR="00F30880">
        <w:rPr>
          <w:lang w:val="en-GB"/>
        </w:rPr>
        <w:t xml:space="preserve">hand text box </w:t>
      </w:r>
      <w:r w:rsidR="004C56F9">
        <w:rPr>
          <w:lang w:val="en-GB"/>
        </w:rPr>
        <w:t>which</w:t>
      </w:r>
      <w:r w:rsidR="00F30880">
        <w:rPr>
          <w:lang w:val="en-GB"/>
        </w:rPr>
        <w:t xml:space="preserve"> </w:t>
      </w:r>
      <w:r w:rsidR="00F30880">
        <w:rPr>
          <w:lang w:val="en-GB"/>
        </w:rPr>
        <w:lastRenderedPageBreak/>
        <w:t xml:space="preserve">reads “Offeree/target shareholders”. The blue arrow is labelled “Offer document (conditional offer to buy shares”). </w:t>
      </w:r>
      <w:r w:rsidR="00DF396F">
        <w:rPr>
          <w:lang w:val="en-GB"/>
        </w:rPr>
        <w:t>There is also a blue arrow pointing from “Offeree/target shareholders”</w:t>
      </w:r>
      <w:r w:rsidR="004C56F9">
        <w:rPr>
          <w:lang w:val="en-GB"/>
        </w:rPr>
        <w:t xml:space="preserve"> (the top right hand box)</w:t>
      </w:r>
      <w:r w:rsidR="00DF396F">
        <w:rPr>
          <w:lang w:val="en-GB"/>
        </w:rPr>
        <w:t xml:space="preserve"> to “Offeror/Bidder”</w:t>
      </w:r>
      <w:r w:rsidR="002575E3">
        <w:rPr>
          <w:lang w:val="en-GB"/>
        </w:rPr>
        <w:t xml:space="preserve"> (the top left hand box) and this arrow is</w:t>
      </w:r>
      <w:r w:rsidR="00DF396F">
        <w:rPr>
          <w:lang w:val="en-GB"/>
        </w:rPr>
        <w:t xml:space="preserve"> labelled “Acceptance form or acceptance via CREST”</w:t>
      </w:r>
      <w:r w:rsidR="003D4BF8">
        <w:rPr>
          <w:lang w:val="en-GB"/>
        </w:rPr>
        <w:t xml:space="preserve">. </w:t>
      </w:r>
    </w:p>
    <w:p w14:paraId="512345B7" w14:textId="71FF56EE" w:rsidR="003D4BF8" w:rsidRDefault="003D4BF8" w:rsidP="00AD7C52">
      <w:pPr>
        <w:rPr>
          <w:lang w:val="en-GB"/>
        </w:rPr>
      </w:pPr>
      <w:r>
        <w:rPr>
          <w:lang w:val="en-GB"/>
        </w:rPr>
        <w:t>There is a line connecting the top right hand text box to the bottom right hand text box which reads “Offeree/target company”</w:t>
      </w:r>
      <w:r w:rsidR="00C92605">
        <w:rPr>
          <w:lang w:val="en-GB"/>
        </w:rPr>
        <w:t xml:space="preserve">. </w:t>
      </w:r>
    </w:p>
    <w:p w14:paraId="4EC2235F" w14:textId="284AEDCC" w:rsidR="00FB4344" w:rsidRDefault="00FB4344" w:rsidP="00AD7C52">
      <w:pPr>
        <w:rPr>
          <w:lang w:val="en-GB"/>
        </w:rPr>
      </w:pPr>
      <w:r>
        <w:rPr>
          <w:lang w:val="en-GB"/>
        </w:rPr>
        <w:t xml:space="preserve">There is a red arrow pointing from the bottom right hand text box “Offeree/target company” to the </w:t>
      </w:r>
      <w:r w:rsidR="000E2498">
        <w:rPr>
          <w:lang w:val="en-GB"/>
        </w:rPr>
        <w:t xml:space="preserve">bottom left hand text box which reads “Offeree/target company”. The red arrow is labelled “Ownership in offeree/target company moves to offeror/bidder”. </w:t>
      </w:r>
    </w:p>
    <w:p w14:paraId="320AF6EF" w14:textId="50C65071" w:rsidR="000E2498" w:rsidRDefault="000E2498" w:rsidP="00AD7C52">
      <w:pPr>
        <w:rPr>
          <w:b/>
          <w:bCs/>
          <w:lang w:val="en-GB"/>
        </w:rPr>
      </w:pPr>
      <w:r>
        <w:rPr>
          <w:lang w:val="en-GB"/>
        </w:rPr>
        <w:t>There is a red line connecting the bottom left hand text box</w:t>
      </w:r>
      <w:r w:rsidR="006106E1">
        <w:rPr>
          <w:lang w:val="en-GB"/>
        </w:rPr>
        <w:t xml:space="preserve"> (“Offeree/target company”)</w:t>
      </w:r>
      <w:r w:rsidR="00221C7A">
        <w:rPr>
          <w:lang w:val="en-GB"/>
        </w:rPr>
        <w:t xml:space="preserve"> to the top right hand text box</w:t>
      </w:r>
      <w:r w:rsidR="006106E1">
        <w:rPr>
          <w:lang w:val="en-GB"/>
        </w:rPr>
        <w:t xml:space="preserve"> (</w:t>
      </w:r>
      <w:r w:rsidR="00221C7A">
        <w:rPr>
          <w:lang w:val="en-GB"/>
        </w:rPr>
        <w:t>“Offeror/Bidder”</w:t>
      </w:r>
      <w:r w:rsidR="006106E1">
        <w:rPr>
          <w:lang w:val="en-GB"/>
        </w:rPr>
        <w:t>)</w:t>
      </w:r>
      <w:r w:rsidR="00221C7A">
        <w:rPr>
          <w:lang w:val="en-GB"/>
        </w:rPr>
        <w:t xml:space="preserve">. </w:t>
      </w:r>
      <w:r w:rsidR="00221C7A">
        <w:rPr>
          <w:b/>
          <w:bCs/>
          <w:lang w:val="en-GB"/>
        </w:rPr>
        <w:t xml:space="preserve">End of diagram. </w:t>
      </w:r>
    </w:p>
    <w:p w14:paraId="129BBDE1" w14:textId="77777777" w:rsidR="00431209" w:rsidRPr="00431209" w:rsidRDefault="00431209" w:rsidP="00431209">
      <w:pPr>
        <w:rPr>
          <w:lang w:val="en-GB"/>
        </w:rPr>
      </w:pPr>
      <w:r w:rsidRPr="00431209">
        <w:t xml:space="preserve">The terms and conditions in the offer document and the form of acceptance form the basis of the contract between the bidder and the target shareholders. </w:t>
      </w:r>
    </w:p>
    <w:p w14:paraId="7BD01D34" w14:textId="77777777" w:rsidR="00431209" w:rsidRDefault="00431209" w:rsidP="00431209">
      <w:r w:rsidRPr="00431209">
        <w:t>Note that, on a recommended offer, the offer document will be prepared by both the bidder and the target board and will contain information regarding both companies. In a hostile offer, the bidder will prepare the offer document and the target board responds in a defence circular.</w:t>
      </w:r>
    </w:p>
    <w:p w14:paraId="3957582A" w14:textId="77777777" w:rsidR="0093166B" w:rsidRPr="0093166B" w:rsidRDefault="0093166B" w:rsidP="0093166B">
      <w:pPr>
        <w:rPr>
          <w:lang w:val="en-GB"/>
        </w:rPr>
      </w:pPr>
      <w:r w:rsidRPr="0093166B">
        <w:rPr>
          <w:b/>
          <w:bCs/>
          <w:lang w:val="en-GB"/>
        </w:rPr>
        <w:t>Summary</w:t>
      </w:r>
    </w:p>
    <w:p w14:paraId="4EE50494" w14:textId="77777777" w:rsidR="0093166B" w:rsidRPr="0093166B" w:rsidRDefault="0093166B" w:rsidP="0093166B">
      <w:pPr>
        <w:numPr>
          <w:ilvl w:val="0"/>
          <w:numId w:val="2"/>
        </w:numPr>
        <w:rPr>
          <w:lang w:val="en-GB"/>
        </w:rPr>
      </w:pPr>
      <w:r w:rsidRPr="0093166B">
        <w:rPr>
          <w:lang w:val="en-GB"/>
        </w:rPr>
        <w:t xml:space="preserve">The overview of a timetable for a takeover offer is largely dictated by the Takeover Code. </w:t>
      </w:r>
    </w:p>
    <w:p w14:paraId="42ED8F3C" w14:textId="77777777" w:rsidR="0093166B" w:rsidRPr="0093166B" w:rsidRDefault="0093166B" w:rsidP="0093166B">
      <w:pPr>
        <w:numPr>
          <w:ilvl w:val="0"/>
          <w:numId w:val="2"/>
        </w:numPr>
        <w:rPr>
          <w:lang w:val="en-GB"/>
        </w:rPr>
      </w:pPr>
      <w:r w:rsidRPr="0093166B">
        <w:rPr>
          <w:lang w:val="en-GB"/>
        </w:rPr>
        <w:t xml:space="preserve">The minimum offer period is 21 </w:t>
      </w:r>
      <w:proofErr w:type="gramStart"/>
      <w:r w:rsidRPr="0093166B">
        <w:rPr>
          <w:lang w:val="en-GB"/>
        </w:rPr>
        <w:t>days</w:t>
      </w:r>
      <w:proofErr w:type="gramEnd"/>
      <w:r w:rsidRPr="0093166B">
        <w:rPr>
          <w:lang w:val="en-GB"/>
        </w:rPr>
        <w:t xml:space="preserve"> and all conditions must have been satisfied or waived by Day 60.</w:t>
      </w:r>
    </w:p>
    <w:p w14:paraId="2E9CD919" w14:textId="77777777" w:rsidR="0093166B" w:rsidRPr="0093166B" w:rsidRDefault="0093166B" w:rsidP="0093166B">
      <w:pPr>
        <w:numPr>
          <w:ilvl w:val="0"/>
          <w:numId w:val="2"/>
        </w:numPr>
        <w:rPr>
          <w:lang w:val="en-GB"/>
        </w:rPr>
      </w:pPr>
      <w:r w:rsidRPr="0093166B">
        <w:rPr>
          <w:lang w:val="en-GB"/>
        </w:rPr>
        <w:t>In a contractual takeover, the takeover is usually conducted by way of an offer and acceptance process using an offer document.</w:t>
      </w:r>
    </w:p>
    <w:p w14:paraId="0EFC9A53" w14:textId="77777777" w:rsidR="00431209" w:rsidRPr="00431209" w:rsidRDefault="00431209" w:rsidP="00431209">
      <w:pPr>
        <w:rPr>
          <w:lang w:val="en-GB"/>
        </w:rPr>
      </w:pPr>
    </w:p>
    <w:p w14:paraId="3A59D2F5" w14:textId="77777777" w:rsidR="005F7057" w:rsidRPr="00AD7C52" w:rsidRDefault="005F7057" w:rsidP="00AD7C52">
      <w:pPr>
        <w:rPr>
          <w:b/>
          <w:bCs/>
          <w:lang w:val="en-GB"/>
        </w:rPr>
      </w:pPr>
    </w:p>
    <w:p w14:paraId="601A2E07" w14:textId="77777777" w:rsidR="000242A6" w:rsidRPr="00815AC0" w:rsidRDefault="000242A6" w:rsidP="00815AC0">
      <w:pPr>
        <w:rPr>
          <w:lang w:val="en-GB"/>
        </w:rPr>
      </w:pPr>
    </w:p>
    <w:p w14:paraId="2F5E9DDE" w14:textId="77777777" w:rsidR="00471DBB" w:rsidRPr="00471DBB" w:rsidRDefault="00471DBB" w:rsidP="00471DBB">
      <w:pPr>
        <w:rPr>
          <w:lang w:val="en-GB"/>
        </w:rPr>
      </w:pPr>
    </w:p>
    <w:p w14:paraId="2C078E63" w14:textId="77777777" w:rsidR="001836A6" w:rsidRDefault="001836A6"/>
    <w:sectPr w:rsidR="0018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29A"/>
    <w:multiLevelType w:val="hybridMultilevel"/>
    <w:tmpl w:val="50986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EC144A"/>
    <w:multiLevelType w:val="hybridMultilevel"/>
    <w:tmpl w:val="34D8B468"/>
    <w:lvl w:ilvl="0" w:tplc="7C2C4374">
      <w:start w:val="1"/>
      <w:numFmt w:val="bullet"/>
      <w:lvlText w:val="•"/>
      <w:lvlJc w:val="left"/>
      <w:pPr>
        <w:tabs>
          <w:tab w:val="num" w:pos="720"/>
        </w:tabs>
        <w:ind w:left="720" w:hanging="360"/>
      </w:pPr>
      <w:rPr>
        <w:rFonts w:ascii="Arial" w:hAnsi="Arial" w:hint="default"/>
      </w:rPr>
    </w:lvl>
    <w:lvl w:ilvl="1" w:tplc="3426271C" w:tentative="1">
      <w:start w:val="1"/>
      <w:numFmt w:val="bullet"/>
      <w:lvlText w:val="•"/>
      <w:lvlJc w:val="left"/>
      <w:pPr>
        <w:tabs>
          <w:tab w:val="num" w:pos="1440"/>
        </w:tabs>
        <w:ind w:left="1440" w:hanging="360"/>
      </w:pPr>
      <w:rPr>
        <w:rFonts w:ascii="Arial" w:hAnsi="Arial" w:hint="default"/>
      </w:rPr>
    </w:lvl>
    <w:lvl w:ilvl="2" w:tplc="E27AE048" w:tentative="1">
      <w:start w:val="1"/>
      <w:numFmt w:val="bullet"/>
      <w:lvlText w:val="•"/>
      <w:lvlJc w:val="left"/>
      <w:pPr>
        <w:tabs>
          <w:tab w:val="num" w:pos="2160"/>
        </w:tabs>
        <w:ind w:left="2160" w:hanging="360"/>
      </w:pPr>
      <w:rPr>
        <w:rFonts w:ascii="Arial" w:hAnsi="Arial" w:hint="default"/>
      </w:rPr>
    </w:lvl>
    <w:lvl w:ilvl="3" w:tplc="C8424406" w:tentative="1">
      <w:start w:val="1"/>
      <w:numFmt w:val="bullet"/>
      <w:lvlText w:val="•"/>
      <w:lvlJc w:val="left"/>
      <w:pPr>
        <w:tabs>
          <w:tab w:val="num" w:pos="2880"/>
        </w:tabs>
        <w:ind w:left="2880" w:hanging="360"/>
      </w:pPr>
      <w:rPr>
        <w:rFonts w:ascii="Arial" w:hAnsi="Arial" w:hint="default"/>
      </w:rPr>
    </w:lvl>
    <w:lvl w:ilvl="4" w:tplc="2F6EEAD4" w:tentative="1">
      <w:start w:val="1"/>
      <w:numFmt w:val="bullet"/>
      <w:lvlText w:val="•"/>
      <w:lvlJc w:val="left"/>
      <w:pPr>
        <w:tabs>
          <w:tab w:val="num" w:pos="3600"/>
        </w:tabs>
        <w:ind w:left="3600" w:hanging="360"/>
      </w:pPr>
      <w:rPr>
        <w:rFonts w:ascii="Arial" w:hAnsi="Arial" w:hint="default"/>
      </w:rPr>
    </w:lvl>
    <w:lvl w:ilvl="5" w:tplc="492A3B5A" w:tentative="1">
      <w:start w:val="1"/>
      <w:numFmt w:val="bullet"/>
      <w:lvlText w:val="•"/>
      <w:lvlJc w:val="left"/>
      <w:pPr>
        <w:tabs>
          <w:tab w:val="num" w:pos="4320"/>
        </w:tabs>
        <w:ind w:left="4320" w:hanging="360"/>
      </w:pPr>
      <w:rPr>
        <w:rFonts w:ascii="Arial" w:hAnsi="Arial" w:hint="default"/>
      </w:rPr>
    </w:lvl>
    <w:lvl w:ilvl="6" w:tplc="44E2E6AE" w:tentative="1">
      <w:start w:val="1"/>
      <w:numFmt w:val="bullet"/>
      <w:lvlText w:val="•"/>
      <w:lvlJc w:val="left"/>
      <w:pPr>
        <w:tabs>
          <w:tab w:val="num" w:pos="5040"/>
        </w:tabs>
        <w:ind w:left="5040" w:hanging="360"/>
      </w:pPr>
      <w:rPr>
        <w:rFonts w:ascii="Arial" w:hAnsi="Arial" w:hint="default"/>
      </w:rPr>
    </w:lvl>
    <w:lvl w:ilvl="7" w:tplc="2C42307C" w:tentative="1">
      <w:start w:val="1"/>
      <w:numFmt w:val="bullet"/>
      <w:lvlText w:val="•"/>
      <w:lvlJc w:val="left"/>
      <w:pPr>
        <w:tabs>
          <w:tab w:val="num" w:pos="5760"/>
        </w:tabs>
        <w:ind w:left="5760" w:hanging="360"/>
      </w:pPr>
      <w:rPr>
        <w:rFonts w:ascii="Arial" w:hAnsi="Arial" w:hint="default"/>
      </w:rPr>
    </w:lvl>
    <w:lvl w:ilvl="8" w:tplc="6CC2DB76" w:tentative="1">
      <w:start w:val="1"/>
      <w:numFmt w:val="bullet"/>
      <w:lvlText w:val="•"/>
      <w:lvlJc w:val="left"/>
      <w:pPr>
        <w:tabs>
          <w:tab w:val="num" w:pos="6480"/>
        </w:tabs>
        <w:ind w:left="6480" w:hanging="360"/>
      </w:pPr>
      <w:rPr>
        <w:rFonts w:ascii="Arial" w:hAnsi="Arial" w:hint="default"/>
      </w:rPr>
    </w:lvl>
  </w:abstractNum>
  <w:num w:numId="1" w16cid:durableId="1452283551">
    <w:abstractNumId w:val="0"/>
  </w:num>
  <w:num w:numId="2" w16cid:durableId="20055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64579"/>
    <w:rsid w:val="000242A6"/>
    <w:rsid w:val="0006022E"/>
    <w:rsid w:val="0009712E"/>
    <w:rsid w:val="000E2498"/>
    <w:rsid w:val="001836A6"/>
    <w:rsid w:val="001C72A2"/>
    <w:rsid w:val="002025B6"/>
    <w:rsid w:val="00221C7A"/>
    <w:rsid w:val="002575E3"/>
    <w:rsid w:val="0026339E"/>
    <w:rsid w:val="003B7F2D"/>
    <w:rsid w:val="003D4BF8"/>
    <w:rsid w:val="00431209"/>
    <w:rsid w:val="00433A09"/>
    <w:rsid w:val="00471DBB"/>
    <w:rsid w:val="004C56F9"/>
    <w:rsid w:val="004D4195"/>
    <w:rsid w:val="004F38AD"/>
    <w:rsid w:val="0054030A"/>
    <w:rsid w:val="0055252C"/>
    <w:rsid w:val="005F7057"/>
    <w:rsid w:val="006106E1"/>
    <w:rsid w:val="006B59D7"/>
    <w:rsid w:val="00773D60"/>
    <w:rsid w:val="00815AC0"/>
    <w:rsid w:val="0093166B"/>
    <w:rsid w:val="00983D91"/>
    <w:rsid w:val="00A41F0E"/>
    <w:rsid w:val="00AD7C52"/>
    <w:rsid w:val="00B05D27"/>
    <w:rsid w:val="00B20A62"/>
    <w:rsid w:val="00C01E54"/>
    <w:rsid w:val="00C817C9"/>
    <w:rsid w:val="00C92167"/>
    <w:rsid w:val="00C92605"/>
    <w:rsid w:val="00D978F1"/>
    <w:rsid w:val="00DB2CD8"/>
    <w:rsid w:val="00DF396F"/>
    <w:rsid w:val="00F30880"/>
    <w:rsid w:val="00FB4344"/>
    <w:rsid w:val="0756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579"/>
  <w15:chartTrackingRefBased/>
  <w15:docId w15:val="{1958EEFB-8C7B-49C0-B78C-2FA6DA0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F1"/>
    <w:pPr>
      <w:ind w:left="720"/>
      <w:contextualSpacing/>
    </w:pPr>
  </w:style>
  <w:style w:type="paragraph" w:styleId="Revision">
    <w:name w:val="Revision"/>
    <w:hidden/>
    <w:uiPriority w:val="99"/>
    <w:semiHidden/>
    <w:rsid w:val="00C817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944">
      <w:bodyDiv w:val="1"/>
      <w:marLeft w:val="0"/>
      <w:marRight w:val="0"/>
      <w:marTop w:val="0"/>
      <w:marBottom w:val="0"/>
      <w:divBdr>
        <w:top w:val="none" w:sz="0" w:space="0" w:color="auto"/>
        <w:left w:val="none" w:sz="0" w:space="0" w:color="auto"/>
        <w:bottom w:val="none" w:sz="0" w:space="0" w:color="auto"/>
        <w:right w:val="none" w:sz="0" w:space="0" w:color="auto"/>
      </w:divBdr>
    </w:div>
    <w:div w:id="259679942">
      <w:bodyDiv w:val="1"/>
      <w:marLeft w:val="0"/>
      <w:marRight w:val="0"/>
      <w:marTop w:val="0"/>
      <w:marBottom w:val="0"/>
      <w:divBdr>
        <w:top w:val="none" w:sz="0" w:space="0" w:color="auto"/>
        <w:left w:val="none" w:sz="0" w:space="0" w:color="auto"/>
        <w:bottom w:val="none" w:sz="0" w:space="0" w:color="auto"/>
        <w:right w:val="none" w:sz="0" w:space="0" w:color="auto"/>
      </w:divBdr>
    </w:div>
    <w:div w:id="324362603">
      <w:bodyDiv w:val="1"/>
      <w:marLeft w:val="0"/>
      <w:marRight w:val="0"/>
      <w:marTop w:val="0"/>
      <w:marBottom w:val="0"/>
      <w:divBdr>
        <w:top w:val="none" w:sz="0" w:space="0" w:color="auto"/>
        <w:left w:val="none" w:sz="0" w:space="0" w:color="auto"/>
        <w:bottom w:val="none" w:sz="0" w:space="0" w:color="auto"/>
        <w:right w:val="none" w:sz="0" w:space="0" w:color="auto"/>
      </w:divBdr>
    </w:div>
    <w:div w:id="476805070">
      <w:bodyDiv w:val="1"/>
      <w:marLeft w:val="0"/>
      <w:marRight w:val="0"/>
      <w:marTop w:val="0"/>
      <w:marBottom w:val="0"/>
      <w:divBdr>
        <w:top w:val="none" w:sz="0" w:space="0" w:color="auto"/>
        <w:left w:val="none" w:sz="0" w:space="0" w:color="auto"/>
        <w:bottom w:val="none" w:sz="0" w:space="0" w:color="auto"/>
        <w:right w:val="none" w:sz="0" w:space="0" w:color="auto"/>
      </w:divBdr>
    </w:div>
    <w:div w:id="493108619">
      <w:bodyDiv w:val="1"/>
      <w:marLeft w:val="0"/>
      <w:marRight w:val="0"/>
      <w:marTop w:val="0"/>
      <w:marBottom w:val="0"/>
      <w:divBdr>
        <w:top w:val="none" w:sz="0" w:space="0" w:color="auto"/>
        <w:left w:val="none" w:sz="0" w:space="0" w:color="auto"/>
        <w:bottom w:val="none" w:sz="0" w:space="0" w:color="auto"/>
        <w:right w:val="none" w:sz="0" w:space="0" w:color="auto"/>
      </w:divBdr>
    </w:div>
    <w:div w:id="509949863">
      <w:bodyDiv w:val="1"/>
      <w:marLeft w:val="0"/>
      <w:marRight w:val="0"/>
      <w:marTop w:val="0"/>
      <w:marBottom w:val="0"/>
      <w:divBdr>
        <w:top w:val="none" w:sz="0" w:space="0" w:color="auto"/>
        <w:left w:val="none" w:sz="0" w:space="0" w:color="auto"/>
        <w:bottom w:val="none" w:sz="0" w:space="0" w:color="auto"/>
        <w:right w:val="none" w:sz="0" w:space="0" w:color="auto"/>
      </w:divBdr>
      <w:divsChild>
        <w:div w:id="1651128634">
          <w:marLeft w:val="547"/>
          <w:marRight w:val="0"/>
          <w:marTop w:val="200"/>
          <w:marBottom w:val="0"/>
          <w:divBdr>
            <w:top w:val="none" w:sz="0" w:space="0" w:color="auto"/>
            <w:left w:val="none" w:sz="0" w:space="0" w:color="auto"/>
            <w:bottom w:val="none" w:sz="0" w:space="0" w:color="auto"/>
            <w:right w:val="none" w:sz="0" w:space="0" w:color="auto"/>
          </w:divBdr>
        </w:div>
        <w:div w:id="696347925">
          <w:marLeft w:val="547"/>
          <w:marRight w:val="0"/>
          <w:marTop w:val="200"/>
          <w:marBottom w:val="0"/>
          <w:divBdr>
            <w:top w:val="none" w:sz="0" w:space="0" w:color="auto"/>
            <w:left w:val="none" w:sz="0" w:space="0" w:color="auto"/>
            <w:bottom w:val="none" w:sz="0" w:space="0" w:color="auto"/>
            <w:right w:val="none" w:sz="0" w:space="0" w:color="auto"/>
          </w:divBdr>
        </w:div>
        <w:div w:id="1984115533">
          <w:marLeft w:val="547"/>
          <w:marRight w:val="0"/>
          <w:marTop w:val="200"/>
          <w:marBottom w:val="0"/>
          <w:divBdr>
            <w:top w:val="none" w:sz="0" w:space="0" w:color="auto"/>
            <w:left w:val="none" w:sz="0" w:space="0" w:color="auto"/>
            <w:bottom w:val="none" w:sz="0" w:space="0" w:color="auto"/>
            <w:right w:val="none" w:sz="0" w:space="0" w:color="auto"/>
          </w:divBdr>
        </w:div>
      </w:divsChild>
    </w:div>
    <w:div w:id="530267130">
      <w:bodyDiv w:val="1"/>
      <w:marLeft w:val="0"/>
      <w:marRight w:val="0"/>
      <w:marTop w:val="0"/>
      <w:marBottom w:val="0"/>
      <w:divBdr>
        <w:top w:val="none" w:sz="0" w:space="0" w:color="auto"/>
        <w:left w:val="none" w:sz="0" w:space="0" w:color="auto"/>
        <w:bottom w:val="none" w:sz="0" w:space="0" w:color="auto"/>
        <w:right w:val="none" w:sz="0" w:space="0" w:color="auto"/>
      </w:divBdr>
    </w:div>
    <w:div w:id="549926385">
      <w:bodyDiv w:val="1"/>
      <w:marLeft w:val="0"/>
      <w:marRight w:val="0"/>
      <w:marTop w:val="0"/>
      <w:marBottom w:val="0"/>
      <w:divBdr>
        <w:top w:val="none" w:sz="0" w:space="0" w:color="auto"/>
        <w:left w:val="none" w:sz="0" w:space="0" w:color="auto"/>
        <w:bottom w:val="none" w:sz="0" w:space="0" w:color="auto"/>
        <w:right w:val="none" w:sz="0" w:space="0" w:color="auto"/>
      </w:divBdr>
    </w:div>
    <w:div w:id="555051722">
      <w:bodyDiv w:val="1"/>
      <w:marLeft w:val="0"/>
      <w:marRight w:val="0"/>
      <w:marTop w:val="0"/>
      <w:marBottom w:val="0"/>
      <w:divBdr>
        <w:top w:val="none" w:sz="0" w:space="0" w:color="auto"/>
        <w:left w:val="none" w:sz="0" w:space="0" w:color="auto"/>
        <w:bottom w:val="none" w:sz="0" w:space="0" w:color="auto"/>
        <w:right w:val="none" w:sz="0" w:space="0" w:color="auto"/>
      </w:divBdr>
    </w:div>
    <w:div w:id="556400869">
      <w:bodyDiv w:val="1"/>
      <w:marLeft w:val="0"/>
      <w:marRight w:val="0"/>
      <w:marTop w:val="0"/>
      <w:marBottom w:val="0"/>
      <w:divBdr>
        <w:top w:val="none" w:sz="0" w:space="0" w:color="auto"/>
        <w:left w:val="none" w:sz="0" w:space="0" w:color="auto"/>
        <w:bottom w:val="none" w:sz="0" w:space="0" w:color="auto"/>
        <w:right w:val="none" w:sz="0" w:space="0" w:color="auto"/>
      </w:divBdr>
    </w:div>
    <w:div w:id="582841700">
      <w:bodyDiv w:val="1"/>
      <w:marLeft w:val="0"/>
      <w:marRight w:val="0"/>
      <w:marTop w:val="0"/>
      <w:marBottom w:val="0"/>
      <w:divBdr>
        <w:top w:val="none" w:sz="0" w:space="0" w:color="auto"/>
        <w:left w:val="none" w:sz="0" w:space="0" w:color="auto"/>
        <w:bottom w:val="none" w:sz="0" w:space="0" w:color="auto"/>
        <w:right w:val="none" w:sz="0" w:space="0" w:color="auto"/>
      </w:divBdr>
    </w:div>
    <w:div w:id="618531309">
      <w:bodyDiv w:val="1"/>
      <w:marLeft w:val="0"/>
      <w:marRight w:val="0"/>
      <w:marTop w:val="0"/>
      <w:marBottom w:val="0"/>
      <w:divBdr>
        <w:top w:val="none" w:sz="0" w:space="0" w:color="auto"/>
        <w:left w:val="none" w:sz="0" w:space="0" w:color="auto"/>
        <w:bottom w:val="none" w:sz="0" w:space="0" w:color="auto"/>
        <w:right w:val="none" w:sz="0" w:space="0" w:color="auto"/>
      </w:divBdr>
    </w:div>
    <w:div w:id="1025596169">
      <w:bodyDiv w:val="1"/>
      <w:marLeft w:val="0"/>
      <w:marRight w:val="0"/>
      <w:marTop w:val="0"/>
      <w:marBottom w:val="0"/>
      <w:divBdr>
        <w:top w:val="none" w:sz="0" w:space="0" w:color="auto"/>
        <w:left w:val="none" w:sz="0" w:space="0" w:color="auto"/>
        <w:bottom w:val="none" w:sz="0" w:space="0" w:color="auto"/>
        <w:right w:val="none" w:sz="0" w:space="0" w:color="auto"/>
      </w:divBdr>
    </w:div>
    <w:div w:id="1069427542">
      <w:bodyDiv w:val="1"/>
      <w:marLeft w:val="0"/>
      <w:marRight w:val="0"/>
      <w:marTop w:val="0"/>
      <w:marBottom w:val="0"/>
      <w:divBdr>
        <w:top w:val="none" w:sz="0" w:space="0" w:color="auto"/>
        <w:left w:val="none" w:sz="0" w:space="0" w:color="auto"/>
        <w:bottom w:val="none" w:sz="0" w:space="0" w:color="auto"/>
        <w:right w:val="none" w:sz="0" w:space="0" w:color="auto"/>
      </w:divBdr>
    </w:div>
    <w:div w:id="1202941711">
      <w:bodyDiv w:val="1"/>
      <w:marLeft w:val="0"/>
      <w:marRight w:val="0"/>
      <w:marTop w:val="0"/>
      <w:marBottom w:val="0"/>
      <w:divBdr>
        <w:top w:val="none" w:sz="0" w:space="0" w:color="auto"/>
        <w:left w:val="none" w:sz="0" w:space="0" w:color="auto"/>
        <w:bottom w:val="none" w:sz="0" w:space="0" w:color="auto"/>
        <w:right w:val="none" w:sz="0" w:space="0" w:color="auto"/>
      </w:divBdr>
    </w:div>
    <w:div w:id="1310138559">
      <w:bodyDiv w:val="1"/>
      <w:marLeft w:val="0"/>
      <w:marRight w:val="0"/>
      <w:marTop w:val="0"/>
      <w:marBottom w:val="0"/>
      <w:divBdr>
        <w:top w:val="none" w:sz="0" w:space="0" w:color="auto"/>
        <w:left w:val="none" w:sz="0" w:space="0" w:color="auto"/>
        <w:bottom w:val="none" w:sz="0" w:space="0" w:color="auto"/>
        <w:right w:val="none" w:sz="0" w:space="0" w:color="auto"/>
      </w:divBdr>
    </w:div>
    <w:div w:id="1513884456">
      <w:bodyDiv w:val="1"/>
      <w:marLeft w:val="0"/>
      <w:marRight w:val="0"/>
      <w:marTop w:val="0"/>
      <w:marBottom w:val="0"/>
      <w:divBdr>
        <w:top w:val="none" w:sz="0" w:space="0" w:color="auto"/>
        <w:left w:val="none" w:sz="0" w:space="0" w:color="auto"/>
        <w:bottom w:val="none" w:sz="0" w:space="0" w:color="auto"/>
        <w:right w:val="none" w:sz="0" w:space="0" w:color="auto"/>
      </w:divBdr>
    </w:div>
    <w:div w:id="1871529321">
      <w:bodyDiv w:val="1"/>
      <w:marLeft w:val="0"/>
      <w:marRight w:val="0"/>
      <w:marTop w:val="0"/>
      <w:marBottom w:val="0"/>
      <w:divBdr>
        <w:top w:val="none" w:sz="0" w:space="0" w:color="auto"/>
        <w:left w:val="none" w:sz="0" w:space="0" w:color="auto"/>
        <w:bottom w:val="none" w:sz="0" w:space="0" w:color="auto"/>
        <w:right w:val="none" w:sz="0" w:space="0" w:color="auto"/>
      </w:divBdr>
    </w:div>
    <w:div w:id="2056544679">
      <w:bodyDiv w:val="1"/>
      <w:marLeft w:val="0"/>
      <w:marRight w:val="0"/>
      <w:marTop w:val="0"/>
      <w:marBottom w:val="0"/>
      <w:divBdr>
        <w:top w:val="none" w:sz="0" w:space="0" w:color="auto"/>
        <w:left w:val="none" w:sz="0" w:space="0" w:color="auto"/>
        <w:bottom w:val="none" w:sz="0" w:space="0" w:color="auto"/>
        <w:right w:val="none" w:sz="0" w:space="0" w:color="auto"/>
      </w:divBdr>
    </w:div>
    <w:div w:id="205954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247EB-9614-4961-8C20-F9C34196CBA2}">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F75EFCDA-9EE5-4C35-8F9C-88887D41FC90}">
  <ds:schemaRefs>
    <ds:schemaRef ds:uri="http://schemas.microsoft.com/sharepoint/v3/contenttype/forms"/>
  </ds:schemaRefs>
</ds:datastoreItem>
</file>

<file path=customXml/itemProps3.xml><?xml version="1.0" encoding="utf-8"?>
<ds:datastoreItem xmlns:ds="http://schemas.openxmlformats.org/officeDocument/2006/customXml" ds:itemID="{8051D9DA-14CD-4DB8-B29D-BA6279944DFF}"/>
</file>

<file path=docProps/app.xml><?xml version="1.0" encoding="utf-8"?>
<Properties xmlns="http://schemas.openxmlformats.org/officeDocument/2006/extended-properties" xmlns:vt="http://schemas.openxmlformats.org/officeDocument/2006/docPropsVTypes">
  <Template>Normal</Template>
  <TotalTime>55</TotalTime>
  <Pages>2</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37</cp:revision>
  <dcterms:created xsi:type="dcterms:W3CDTF">2023-01-26T14:57:00Z</dcterms:created>
  <dcterms:modified xsi:type="dcterms:W3CDTF">2024-05-08T14:21:00Z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22541400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