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69F01" w14:textId="77777777" w:rsidR="005C3EEB" w:rsidRPr="005C3EEB" w:rsidRDefault="005C3EEB" w:rsidP="005C3EEB">
      <w:pPr>
        <w:rPr>
          <w:rFonts w:ascii="Calibri" w:eastAsia="Calibri" w:hAnsi="Calibri" w:cs="Calibri"/>
          <w:lang w:val="en-GB"/>
        </w:rPr>
      </w:pPr>
      <w:r w:rsidRPr="005C3EEB">
        <w:rPr>
          <w:rFonts w:ascii="Calibri" w:eastAsia="Calibri" w:hAnsi="Calibri" w:cs="Calibri"/>
          <w:b/>
          <w:bCs/>
          <w:lang w:val="en-GB"/>
        </w:rPr>
        <w:t>Disclosure of dealings under the Takeover Code</w:t>
      </w:r>
    </w:p>
    <w:p w14:paraId="0A71D92F" w14:textId="77777777" w:rsidR="00E3340D" w:rsidRPr="00E3340D" w:rsidRDefault="00E3340D" w:rsidP="00E3340D">
      <w:pPr>
        <w:rPr>
          <w:rFonts w:ascii="Calibri" w:eastAsia="Calibri" w:hAnsi="Calibri" w:cs="Calibri"/>
          <w:lang w:val="en-GB"/>
        </w:rPr>
      </w:pPr>
      <w:r w:rsidRPr="00E3340D">
        <w:rPr>
          <w:rFonts w:ascii="Calibri" w:eastAsia="Calibri" w:hAnsi="Calibri" w:cs="Calibri"/>
          <w:lang w:val="en-GB"/>
        </w:rPr>
        <w:t xml:space="preserve">This element looks at the rules which govern </w:t>
      </w:r>
      <w:proofErr w:type="spellStart"/>
      <w:r w:rsidRPr="00E3340D">
        <w:rPr>
          <w:rFonts w:ascii="Calibri" w:eastAsia="Calibri" w:hAnsi="Calibri" w:cs="Calibri"/>
          <w:lang w:val="en-GB"/>
        </w:rPr>
        <w:t>stakebuilding</w:t>
      </w:r>
      <w:proofErr w:type="spellEnd"/>
      <w:r w:rsidRPr="00E3340D">
        <w:rPr>
          <w:rFonts w:ascii="Calibri" w:eastAsia="Calibri" w:hAnsi="Calibri" w:cs="Calibri"/>
          <w:lang w:val="en-GB"/>
        </w:rPr>
        <w:t xml:space="preserve"> under the Takeover Code; it goes on to examine the disclosure rules in terms of dealings.</w:t>
      </w:r>
    </w:p>
    <w:p w14:paraId="0944E749" w14:textId="77777777" w:rsidR="00E3340D" w:rsidRPr="00E3340D" w:rsidRDefault="00E3340D" w:rsidP="00E3340D">
      <w:pPr>
        <w:rPr>
          <w:rFonts w:ascii="Calibri" w:eastAsia="Calibri" w:hAnsi="Calibri" w:cs="Calibri"/>
          <w:lang w:val="en-GB"/>
        </w:rPr>
      </w:pPr>
      <w:r w:rsidRPr="00E3340D">
        <w:rPr>
          <w:rFonts w:ascii="Calibri" w:eastAsia="Calibri" w:hAnsi="Calibri" w:cs="Calibri"/>
          <w:b/>
          <w:bCs/>
          <w:lang w:val="en-GB"/>
        </w:rPr>
        <w:t>Introduction</w:t>
      </w:r>
    </w:p>
    <w:p w14:paraId="29D3ACF5" w14:textId="77777777" w:rsidR="00E3340D" w:rsidRPr="00E3340D" w:rsidRDefault="00E3340D" w:rsidP="00E3340D">
      <w:pPr>
        <w:rPr>
          <w:rFonts w:ascii="Calibri" w:eastAsia="Calibri" w:hAnsi="Calibri" w:cs="Calibri"/>
          <w:lang w:val="en-GB"/>
        </w:rPr>
      </w:pPr>
      <w:r w:rsidRPr="00E3340D">
        <w:rPr>
          <w:rFonts w:ascii="Calibri" w:eastAsia="Calibri" w:hAnsi="Calibri" w:cs="Calibri"/>
        </w:rPr>
        <w:t xml:space="preserve">Rule 8 of the Takeover Code provides for disclosure of dealings in relevant securities at the start of and during an offer period.  These obligations are in addition to any disclosure obligation a person may have under UK MAR or DTR5. </w:t>
      </w:r>
    </w:p>
    <w:p w14:paraId="389EF64A" w14:textId="77777777" w:rsidR="00E3340D" w:rsidRPr="00E3340D" w:rsidRDefault="00E3340D" w:rsidP="00E3340D">
      <w:pPr>
        <w:rPr>
          <w:rFonts w:ascii="Calibri" w:eastAsia="Calibri" w:hAnsi="Calibri" w:cs="Calibri"/>
          <w:lang w:val="en-GB"/>
        </w:rPr>
      </w:pPr>
      <w:r w:rsidRPr="00E3340D">
        <w:rPr>
          <w:rFonts w:ascii="Calibri" w:eastAsia="Calibri" w:hAnsi="Calibri" w:cs="Calibri"/>
        </w:rPr>
        <w:t>The Rule 8 disclosures apply to a takeover, regardless of the structure which the bidder plans to pursue.</w:t>
      </w:r>
    </w:p>
    <w:p w14:paraId="7978415D" w14:textId="77777777" w:rsidR="001049CD" w:rsidRPr="001049CD" w:rsidRDefault="001049CD" w:rsidP="001049CD">
      <w:pPr>
        <w:rPr>
          <w:rFonts w:ascii="Calibri" w:eastAsia="Calibri" w:hAnsi="Calibri" w:cs="Calibri"/>
          <w:lang w:val="en-GB"/>
        </w:rPr>
      </w:pPr>
      <w:r w:rsidRPr="001049CD">
        <w:rPr>
          <w:rFonts w:ascii="Calibri" w:eastAsia="Calibri" w:hAnsi="Calibri" w:cs="Calibri"/>
          <w:b/>
          <w:bCs/>
          <w:lang w:val="en-GB"/>
        </w:rPr>
        <w:t>Rule 8: opening position disclosure</w:t>
      </w:r>
    </w:p>
    <w:p w14:paraId="0AA3C227" w14:textId="6A31A0B3" w:rsidR="001049CD" w:rsidRPr="001049CD" w:rsidRDefault="001049CD" w:rsidP="001049CD">
      <w:pPr>
        <w:rPr>
          <w:rFonts w:ascii="Calibri" w:eastAsia="Calibri" w:hAnsi="Calibri" w:cs="Calibri"/>
          <w:lang w:val="en-GB"/>
        </w:rPr>
      </w:pPr>
      <w:r w:rsidRPr="001049CD">
        <w:rPr>
          <w:rFonts w:ascii="Calibri" w:eastAsia="Calibri" w:hAnsi="Calibri" w:cs="Calibri"/>
        </w:rPr>
        <w:t xml:space="preserve">An Opening Position Disclosure (an </w:t>
      </w:r>
      <w:r w:rsidR="005D52C5">
        <w:rPr>
          <w:rFonts w:ascii="Calibri" w:eastAsia="Calibri" w:hAnsi="Calibri" w:cs="Calibri"/>
        </w:rPr>
        <w:t>‘</w:t>
      </w:r>
      <w:r w:rsidRPr="005D52C5">
        <w:rPr>
          <w:rFonts w:ascii="Calibri" w:eastAsia="Calibri" w:hAnsi="Calibri" w:cs="Calibri"/>
          <w:b/>
          <w:bCs/>
        </w:rPr>
        <w:t>OPD</w:t>
      </w:r>
      <w:r w:rsidR="005D52C5" w:rsidRPr="005D52C5">
        <w:rPr>
          <w:rFonts w:ascii="Calibri" w:eastAsia="Calibri" w:hAnsi="Calibri" w:cs="Calibri"/>
          <w:b/>
          <w:bCs/>
        </w:rPr>
        <w:t>’</w:t>
      </w:r>
      <w:r w:rsidRPr="001049CD">
        <w:rPr>
          <w:rFonts w:ascii="Calibri" w:eastAsia="Calibri" w:hAnsi="Calibri" w:cs="Calibri"/>
        </w:rPr>
        <w:t xml:space="preserve">) is an announcement which provides details of a person’s interests in (or short positions in, or rights to subscribe for) any relevant securities of any party to the bid.  The only exception to this is that no OPD is required in relation to the securities of a cash bidder. </w:t>
      </w:r>
    </w:p>
    <w:p w14:paraId="475BF742" w14:textId="77777777" w:rsidR="001049CD" w:rsidRPr="001049CD" w:rsidRDefault="001049CD" w:rsidP="001049CD">
      <w:pPr>
        <w:rPr>
          <w:rFonts w:ascii="Calibri" w:eastAsia="Calibri" w:hAnsi="Calibri" w:cs="Calibri"/>
          <w:lang w:val="en-GB"/>
        </w:rPr>
      </w:pPr>
      <w:r w:rsidRPr="001049CD">
        <w:rPr>
          <w:rFonts w:ascii="Calibri" w:eastAsia="Calibri" w:hAnsi="Calibri" w:cs="Calibri"/>
        </w:rPr>
        <w:t xml:space="preserve">An OPD must therefore be made in relation to shares in the target (regardless of the nature of the proposed consideration for the bid) </w:t>
      </w:r>
      <w:proofErr w:type="gramStart"/>
      <w:r w:rsidRPr="001049CD">
        <w:rPr>
          <w:rFonts w:ascii="Calibri" w:eastAsia="Calibri" w:hAnsi="Calibri" w:cs="Calibri"/>
        </w:rPr>
        <w:t>and also</w:t>
      </w:r>
      <w:proofErr w:type="gramEnd"/>
      <w:r w:rsidRPr="001049CD">
        <w:rPr>
          <w:rFonts w:ascii="Calibri" w:eastAsia="Calibri" w:hAnsi="Calibri" w:cs="Calibri"/>
        </w:rPr>
        <w:t xml:space="preserve"> in relation to shares in the bidder if the bidder is offering shares in itself as consideration for its bid.</w:t>
      </w:r>
    </w:p>
    <w:p w14:paraId="2E297572" w14:textId="77777777" w:rsidR="001049CD" w:rsidRPr="001049CD" w:rsidRDefault="001049CD" w:rsidP="001049CD">
      <w:pPr>
        <w:rPr>
          <w:rFonts w:ascii="Calibri" w:eastAsia="Calibri" w:hAnsi="Calibri" w:cs="Calibri"/>
          <w:lang w:val="en-GB"/>
        </w:rPr>
      </w:pPr>
      <w:r w:rsidRPr="001049CD">
        <w:rPr>
          <w:rFonts w:ascii="Calibri" w:eastAsia="Calibri" w:hAnsi="Calibri" w:cs="Calibri"/>
        </w:rPr>
        <w:t>The OPD must be made by:</w:t>
      </w:r>
    </w:p>
    <w:p w14:paraId="078B616C" w14:textId="77777777" w:rsidR="001049CD" w:rsidRPr="001049CD" w:rsidRDefault="001049CD" w:rsidP="001049CD">
      <w:pPr>
        <w:numPr>
          <w:ilvl w:val="0"/>
          <w:numId w:val="1"/>
        </w:numPr>
        <w:rPr>
          <w:rFonts w:ascii="Calibri" w:eastAsia="Calibri" w:hAnsi="Calibri" w:cs="Calibri"/>
          <w:lang w:val="en-GB"/>
        </w:rPr>
      </w:pPr>
      <w:r w:rsidRPr="001049CD">
        <w:rPr>
          <w:rFonts w:ascii="Calibri" w:eastAsia="Calibri" w:hAnsi="Calibri" w:cs="Calibri"/>
        </w:rPr>
        <w:t>the bidder (after its identity is first publicly disclosed) (Rule 8.1(a)</w:t>
      </w:r>
      <w:proofErr w:type="gramStart"/>
      <w:r w:rsidRPr="001049CD">
        <w:rPr>
          <w:rFonts w:ascii="Calibri" w:eastAsia="Calibri" w:hAnsi="Calibri" w:cs="Calibri"/>
        </w:rPr>
        <w:t>);</w:t>
      </w:r>
      <w:proofErr w:type="gramEnd"/>
    </w:p>
    <w:p w14:paraId="092518E5" w14:textId="77777777" w:rsidR="001049CD" w:rsidRPr="001049CD" w:rsidRDefault="001049CD" w:rsidP="001049CD">
      <w:pPr>
        <w:numPr>
          <w:ilvl w:val="0"/>
          <w:numId w:val="1"/>
        </w:numPr>
        <w:rPr>
          <w:rFonts w:ascii="Calibri" w:eastAsia="Calibri" w:hAnsi="Calibri" w:cs="Calibri"/>
          <w:lang w:val="en-GB"/>
        </w:rPr>
      </w:pPr>
      <w:r w:rsidRPr="001049CD">
        <w:rPr>
          <w:rFonts w:ascii="Calibri" w:eastAsia="Calibri" w:hAnsi="Calibri" w:cs="Calibri"/>
        </w:rPr>
        <w:t>the target company (Rule 8.2(a)); and</w:t>
      </w:r>
    </w:p>
    <w:p w14:paraId="6F38C68E" w14:textId="77777777" w:rsidR="001049CD" w:rsidRPr="001049CD" w:rsidRDefault="001049CD" w:rsidP="001049CD">
      <w:pPr>
        <w:numPr>
          <w:ilvl w:val="0"/>
          <w:numId w:val="1"/>
        </w:numPr>
        <w:rPr>
          <w:rFonts w:ascii="Calibri" w:eastAsia="Calibri" w:hAnsi="Calibri" w:cs="Calibri"/>
          <w:lang w:val="en-GB"/>
        </w:rPr>
      </w:pPr>
      <w:r w:rsidRPr="001049CD">
        <w:rPr>
          <w:rFonts w:ascii="Calibri" w:eastAsia="Calibri" w:hAnsi="Calibri" w:cs="Calibri"/>
        </w:rPr>
        <w:t>by any person that is interested in 1% or more of any class of relevant securities of any party to the bid (other than a cash bidder) (Rule 8.3(a)).</w:t>
      </w:r>
    </w:p>
    <w:p w14:paraId="4C1111D3" w14:textId="77777777" w:rsidR="001049CD" w:rsidRDefault="001049CD" w:rsidP="001049CD">
      <w:pPr>
        <w:rPr>
          <w:rFonts w:ascii="Calibri" w:eastAsia="Calibri" w:hAnsi="Calibri" w:cs="Calibri"/>
          <w:lang w:val="en-GB"/>
        </w:rPr>
      </w:pPr>
      <w:r w:rsidRPr="001049CD">
        <w:rPr>
          <w:rFonts w:ascii="Calibri" w:eastAsia="Calibri" w:hAnsi="Calibri" w:cs="Calibri"/>
        </w:rPr>
        <w:t xml:space="preserve">The party making the OPD must include, alongside its own interests, details of </w:t>
      </w:r>
      <w:proofErr w:type="gramStart"/>
      <w:r w:rsidRPr="001049CD">
        <w:rPr>
          <w:rFonts w:ascii="Calibri" w:eastAsia="Calibri" w:hAnsi="Calibri" w:cs="Calibri"/>
        </w:rPr>
        <w:t>all of</w:t>
      </w:r>
      <w:proofErr w:type="gramEnd"/>
      <w:r w:rsidRPr="001049CD">
        <w:rPr>
          <w:rFonts w:ascii="Calibri" w:eastAsia="Calibri" w:hAnsi="Calibri" w:cs="Calibri"/>
        </w:rPr>
        <w:t xml:space="preserve"> its concert parties’ positions (a concert party is not required to make its own, individual OPD).  Producing the OPD can be an onerous task as the disclosing party must gather all the relevant information from </w:t>
      </w:r>
      <w:proofErr w:type="gramStart"/>
      <w:r w:rsidRPr="001049CD">
        <w:rPr>
          <w:rFonts w:ascii="Calibri" w:eastAsia="Calibri" w:hAnsi="Calibri" w:cs="Calibri"/>
        </w:rPr>
        <w:t>all of</w:t>
      </w:r>
      <w:proofErr w:type="gramEnd"/>
      <w:r w:rsidRPr="001049CD">
        <w:rPr>
          <w:rFonts w:ascii="Calibri" w:eastAsia="Calibri" w:hAnsi="Calibri" w:cs="Calibri"/>
        </w:rPr>
        <w:t xml:space="preserve"> its advisers and concert parties.</w:t>
      </w:r>
    </w:p>
    <w:p w14:paraId="04092E02" w14:textId="5C8A98B4" w:rsidR="001049CD" w:rsidRPr="001049CD" w:rsidRDefault="001049CD" w:rsidP="001049CD">
      <w:pPr>
        <w:rPr>
          <w:rFonts w:ascii="Calibri" w:eastAsia="Calibri" w:hAnsi="Calibri" w:cs="Calibri"/>
          <w:lang w:val="en-GB"/>
        </w:rPr>
      </w:pPr>
      <w:r w:rsidRPr="001049CD">
        <w:rPr>
          <w:rFonts w:ascii="Calibri" w:eastAsia="Calibri" w:hAnsi="Calibri" w:cs="Calibri"/>
        </w:rPr>
        <w:t xml:space="preserve">The OPD must be made no later than 12 noon on the day falling 10 business days after the commencement of the offer period or (as the case may be) after the announcement that first identifies a bidder. </w:t>
      </w:r>
    </w:p>
    <w:p w14:paraId="6F36BDFE" w14:textId="77777777" w:rsidR="001049CD" w:rsidRPr="001049CD" w:rsidRDefault="001049CD" w:rsidP="001049CD">
      <w:pPr>
        <w:rPr>
          <w:rFonts w:ascii="Calibri" w:eastAsia="Calibri" w:hAnsi="Calibri" w:cs="Calibri"/>
          <w:lang w:val="en-GB"/>
        </w:rPr>
      </w:pPr>
      <w:r w:rsidRPr="001049CD">
        <w:rPr>
          <w:rFonts w:ascii="Calibri" w:eastAsia="Calibri" w:hAnsi="Calibri" w:cs="Calibri"/>
        </w:rPr>
        <w:t>As a reminder, the concept of “offer period” is defined in the Code: in broad terms, an offer period commences in respect of a target when the first announcement is made of a bid or a possible bid for the company.</w:t>
      </w:r>
    </w:p>
    <w:p w14:paraId="2223AD1D" w14:textId="77777777" w:rsidR="001049CD" w:rsidRPr="001049CD" w:rsidRDefault="001049CD" w:rsidP="001049CD">
      <w:pPr>
        <w:rPr>
          <w:rFonts w:ascii="Calibri" w:eastAsia="Calibri" w:hAnsi="Calibri" w:cs="Calibri"/>
          <w:lang w:val="en-GB"/>
        </w:rPr>
      </w:pPr>
      <w:r w:rsidRPr="001049CD">
        <w:rPr>
          <w:rFonts w:ascii="Calibri" w:eastAsia="Calibri" w:hAnsi="Calibri" w:cs="Calibri"/>
        </w:rPr>
        <w:t xml:space="preserve">The Opening Position Disclosure should be notified to an RIS and the Panel. </w:t>
      </w:r>
    </w:p>
    <w:p w14:paraId="1EF4CE72" w14:textId="77777777" w:rsidR="00A31B65" w:rsidRPr="00A31B65" w:rsidRDefault="00A31B65" w:rsidP="00A31B65">
      <w:pPr>
        <w:rPr>
          <w:rFonts w:ascii="Calibri" w:eastAsia="Calibri" w:hAnsi="Calibri" w:cs="Calibri"/>
          <w:lang w:val="en-GB"/>
        </w:rPr>
      </w:pPr>
      <w:r w:rsidRPr="00A31B65">
        <w:rPr>
          <w:rFonts w:ascii="Calibri" w:eastAsia="Calibri" w:hAnsi="Calibri" w:cs="Calibri"/>
          <w:b/>
          <w:bCs/>
          <w:lang w:val="en-GB"/>
        </w:rPr>
        <w:t>Rule 8: public dealing disclosure</w:t>
      </w:r>
    </w:p>
    <w:p w14:paraId="2B2BB5F8" w14:textId="77777777" w:rsidR="00670414" w:rsidRPr="00670414" w:rsidRDefault="00670414" w:rsidP="00670414">
      <w:pPr>
        <w:rPr>
          <w:rFonts w:ascii="Calibri" w:eastAsia="Calibri" w:hAnsi="Calibri" w:cs="Calibri"/>
          <w:lang w:val="en-GB"/>
        </w:rPr>
      </w:pPr>
      <w:r w:rsidRPr="00670414">
        <w:rPr>
          <w:rFonts w:ascii="Calibri" w:eastAsia="Calibri" w:hAnsi="Calibri" w:cs="Calibri"/>
        </w:rPr>
        <w:t>A Public Dealing Disclosure is an announcement which provides details of dealings in relevant securities by:</w:t>
      </w:r>
    </w:p>
    <w:p w14:paraId="46F0AF47" w14:textId="77777777" w:rsidR="00670414" w:rsidRPr="00670414" w:rsidRDefault="00670414" w:rsidP="00670414">
      <w:pPr>
        <w:numPr>
          <w:ilvl w:val="0"/>
          <w:numId w:val="2"/>
        </w:numPr>
        <w:rPr>
          <w:rFonts w:ascii="Calibri" w:eastAsia="Calibri" w:hAnsi="Calibri" w:cs="Calibri"/>
          <w:lang w:val="en-GB"/>
        </w:rPr>
      </w:pPr>
      <w:r w:rsidRPr="00670414">
        <w:rPr>
          <w:rFonts w:ascii="Calibri" w:eastAsia="Calibri" w:hAnsi="Calibri" w:cs="Calibri"/>
        </w:rPr>
        <w:lastRenderedPageBreak/>
        <w:t>the bidder (Rule 8.1(b)</w:t>
      </w:r>
      <w:proofErr w:type="gramStart"/>
      <w:r w:rsidRPr="00670414">
        <w:rPr>
          <w:rFonts w:ascii="Calibri" w:eastAsia="Calibri" w:hAnsi="Calibri" w:cs="Calibri"/>
        </w:rPr>
        <w:t>);</w:t>
      </w:r>
      <w:proofErr w:type="gramEnd"/>
      <w:r w:rsidRPr="00670414">
        <w:rPr>
          <w:rFonts w:ascii="Calibri" w:eastAsia="Calibri" w:hAnsi="Calibri" w:cs="Calibri"/>
        </w:rPr>
        <w:t xml:space="preserve"> </w:t>
      </w:r>
    </w:p>
    <w:p w14:paraId="1A811BE0" w14:textId="77777777" w:rsidR="00670414" w:rsidRPr="00670414" w:rsidRDefault="00670414" w:rsidP="00670414">
      <w:pPr>
        <w:numPr>
          <w:ilvl w:val="0"/>
          <w:numId w:val="2"/>
        </w:numPr>
        <w:rPr>
          <w:rFonts w:ascii="Calibri" w:eastAsia="Calibri" w:hAnsi="Calibri" w:cs="Calibri"/>
          <w:lang w:val="en-GB"/>
        </w:rPr>
      </w:pPr>
      <w:r w:rsidRPr="00670414">
        <w:rPr>
          <w:rFonts w:ascii="Calibri" w:eastAsia="Calibri" w:hAnsi="Calibri" w:cs="Calibri"/>
        </w:rPr>
        <w:t>the target (Rule 8.2(b)</w:t>
      </w:r>
      <w:proofErr w:type="gramStart"/>
      <w:r w:rsidRPr="00670414">
        <w:rPr>
          <w:rFonts w:ascii="Calibri" w:eastAsia="Calibri" w:hAnsi="Calibri" w:cs="Calibri"/>
        </w:rPr>
        <w:t>);</w:t>
      </w:r>
      <w:proofErr w:type="gramEnd"/>
      <w:r w:rsidRPr="00670414">
        <w:rPr>
          <w:rFonts w:ascii="Calibri" w:eastAsia="Calibri" w:hAnsi="Calibri" w:cs="Calibri"/>
        </w:rPr>
        <w:t xml:space="preserve"> </w:t>
      </w:r>
    </w:p>
    <w:p w14:paraId="6617151F" w14:textId="77777777" w:rsidR="00670414" w:rsidRPr="00670414" w:rsidRDefault="00670414" w:rsidP="00670414">
      <w:pPr>
        <w:numPr>
          <w:ilvl w:val="0"/>
          <w:numId w:val="2"/>
        </w:numPr>
        <w:rPr>
          <w:rFonts w:ascii="Calibri" w:eastAsia="Calibri" w:hAnsi="Calibri" w:cs="Calibri"/>
          <w:lang w:val="en-GB"/>
        </w:rPr>
      </w:pPr>
      <w:r w:rsidRPr="00670414">
        <w:rPr>
          <w:rFonts w:ascii="Calibri" w:eastAsia="Calibri" w:hAnsi="Calibri" w:cs="Calibri"/>
        </w:rPr>
        <w:t>any persons with a 1% or greater interest in any class of relevant securities (Rule 8.3(b)); and</w:t>
      </w:r>
    </w:p>
    <w:p w14:paraId="1E9241AC" w14:textId="77777777" w:rsidR="00670414" w:rsidRPr="00670414" w:rsidRDefault="00670414" w:rsidP="00670414">
      <w:pPr>
        <w:numPr>
          <w:ilvl w:val="0"/>
          <w:numId w:val="2"/>
        </w:numPr>
        <w:rPr>
          <w:rFonts w:ascii="Calibri" w:eastAsia="Calibri" w:hAnsi="Calibri" w:cs="Calibri"/>
          <w:lang w:val="en-GB"/>
        </w:rPr>
      </w:pPr>
      <w:r w:rsidRPr="00670414">
        <w:rPr>
          <w:rFonts w:ascii="Calibri" w:eastAsia="Calibri" w:hAnsi="Calibri" w:cs="Calibri"/>
        </w:rPr>
        <w:t>a person acting in concert with any party to a bid (Rule 8.4).</w:t>
      </w:r>
    </w:p>
    <w:p w14:paraId="6BEE1D2D" w14:textId="77777777" w:rsidR="00670414" w:rsidRPr="00670414" w:rsidRDefault="00670414" w:rsidP="00670414">
      <w:pPr>
        <w:rPr>
          <w:rFonts w:ascii="Calibri" w:eastAsia="Calibri" w:hAnsi="Calibri" w:cs="Calibri"/>
          <w:lang w:val="en-GB"/>
        </w:rPr>
      </w:pPr>
      <w:r w:rsidRPr="00670414">
        <w:rPr>
          <w:rFonts w:ascii="Calibri" w:eastAsia="Calibri" w:hAnsi="Calibri" w:cs="Calibri"/>
        </w:rPr>
        <w:t xml:space="preserve">A Public Dealing Disclosure must be made in respect of any dealing by the bidder (or a person acting in concert with the bidder) in the shares of the target, regardless of the number of shares involved and regardless of the form of consideration being offered.  </w:t>
      </w:r>
    </w:p>
    <w:p w14:paraId="78EA6680" w14:textId="77777777" w:rsidR="00670414" w:rsidRPr="00670414" w:rsidRDefault="00670414" w:rsidP="00670414">
      <w:pPr>
        <w:rPr>
          <w:rFonts w:ascii="Calibri" w:eastAsia="Calibri" w:hAnsi="Calibri" w:cs="Calibri"/>
          <w:lang w:val="en-GB"/>
        </w:rPr>
      </w:pPr>
      <w:r w:rsidRPr="00670414">
        <w:rPr>
          <w:rFonts w:ascii="Calibri" w:eastAsia="Calibri" w:hAnsi="Calibri" w:cs="Calibri"/>
        </w:rPr>
        <w:t>Note that, in contrast to the OPD, each of the bidder/target and their respective concert parties has a separate obligation in relation to these disclosures.  Any other person who has a 1% or greater interest in the target’s shares must also disclose their dealings.</w:t>
      </w:r>
    </w:p>
    <w:p w14:paraId="536B410C" w14:textId="77777777" w:rsidR="00670414" w:rsidRPr="00670414" w:rsidRDefault="00670414" w:rsidP="00670414">
      <w:pPr>
        <w:rPr>
          <w:rFonts w:ascii="Calibri" w:eastAsia="Calibri" w:hAnsi="Calibri" w:cs="Calibri"/>
          <w:lang w:val="en-GB"/>
        </w:rPr>
      </w:pPr>
      <w:r w:rsidRPr="00670414">
        <w:rPr>
          <w:rFonts w:ascii="Calibri" w:eastAsia="Calibri" w:hAnsi="Calibri" w:cs="Calibri"/>
        </w:rPr>
        <w:t xml:space="preserve">Dealings in the shares of the bidder need only be disclosed under Rule 8 if the bidder is offering shares </w:t>
      </w:r>
      <w:proofErr w:type="gramStart"/>
      <w:r w:rsidRPr="00670414">
        <w:rPr>
          <w:rFonts w:ascii="Calibri" w:eastAsia="Calibri" w:hAnsi="Calibri" w:cs="Calibri"/>
        </w:rPr>
        <w:t>in itself as</w:t>
      </w:r>
      <w:proofErr w:type="gramEnd"/>
      <w:r w:rsidRPr="00670414">
        <w:rPr>
          <w:rFonts w:ascii="Calibri" w:eastAsia="Calibri" w:hAnsi="Calibri" w:cs="Calibri"/>
        </w:rPr>
        <w:t xml:space="preserve"> consideration for its bid (i.e. it is a “securities exchange” bidder).  </w:t>
      </w:r>
    </w:p>
    <w:p w14:paraId="2C078E63" w14:textId="54AB4FA3" w:rsidR="004528BB" w:rsidRDefault="00670414" w:rsidP="00670414">
      <w:pPr>
        <w:rPr>
          <w:rFonts w:ascii="Calibri" w:eastAsia="Calibri" w:hAnsi="Calibri" w:cs="Calibri"/>
        </w:rPr>
      </w:pPr>
      <w:r w:rsidRPr="00670414">
        <w:rPr>
          <w:rFonts w:ascii="Calibri" w:eastAsia="Calibri" w:hAnsi="Calibri" w:cs="Calibri"/>
        </w:rPr>
        <w:t>Public Dealing Disclosures must be made by no later than 12 noon (or 3.30pm for persons disclosing under Rule 8.3(b)) on the business day following the date of the dealing and should be notified to an RIS and the Panel.  This means that a Public Dealing Disclosure for a dealing made early in the offer period may need to be disclosed before the OPD is due to be made.  In fact, these disclosure requirements are not limited to purchases and sales of shares in the traditional sense. The Rule 8 requirement for “Dealing Disclosures” is wide enough to catch, for example, dealings in derivatives the price of which depends on the price of the shares and in contracts for difference.</w:t>
      </w:r>
    </w:p>
    <w:p w14:paraId="1C5102A8" w14:textId="77777777" w:rsidR="0054416C" w:rsidRPr="0054416C" w:rsidRDefault="0054416C" w:rsidP="0054416C">
      <w:pPr>
        <w:rPr>
          <w:rFonts w:ascii="Calibri" w:eastAsia="Calibri" w:hAnsi="Calibri" w:cs="Calibri"/>
          <w:lang w:val="en-GB"/>
        </w:rPr>
      </w:pPr>
      <w:r w:rsidRPr="0054416C">
        <w:rPr>
          <w:rFonts w:ascii="Calibri" w:eastAsia="Calibri" w:hAnsi="Calibri" w:cs="Calibri"/>
          <w:b/>
          <w:bCs/>
          <w:lang w:val="en-GB"/>
        </w:rPr>
        <w:t>Rule 8: pro forma announcements</w:t>
      </w:r>
    </w:p>
    <w:p w14:paraId="252F389E" w14:textId="77777777" w:rsidR="0054416C" w:rsidRPr="0054416C" w:rsidRDefault="0054416C" w:rsidP="0054416C">
      <w:pPr>
        <w:rPr>
          <w:rFonts w:ascii="Calibri" w:eastAsia="Calibri" w:hAnsi="Calibri" w:cs="Calibri"/>
          <w:lang w:val="en-GB"/>
        </w:rPr>
      </w:pPr>
      <w:r w:rsidRPr="0054416C">
        <w:rPr>
          <w:rFonts w:ascii="Calibri" w:eastAsia="Calibri" w:hAnsi="Calibri" w:cs="Calibri"/>
        </w:rPr>
        <w:t>The Panel’s website provides pro forma disclosures under Rule 8.</w:t>
      </w:r>
    </w:p>
    <w:p w14:paraId="7D490C5C" w14:textId="77777777" w:rsidR="0054416C" w:rsidRPr="0054416C" w:rsidRDefault="00000000" w:rsidP="0054416C">
      <w:pPr>
        <w:rPr>
          <w:rFonts w:ascii="Calibri" w:eastAsia="Calibri" w:hAnsi="Calibri" w:cs="Calibri"/>
          <w:lang w:val="en-GB"/>
        </w:rPr>
      </w:pPr>
      <w:hyperlink r:id="rId8" w:history="1">
        <w:r w:rsidR="0054416C" w:rsidRPr="0054416C">
          <w:rPr>
            <w:rStyle w:val="Hyperlink"/>
            <w:rFonts w:ascii="Calibri" w:eastAsia="Calibri" w:hAnsi="Calibri" w:cs="Calibri"/>
            <w:lang w:val="en-GB"/>
          </w:rPr>
          <w:t>https://www.thetakeoverpanel.org.uk/disclosure/disclosure-forms</w:t>
        </w:r>
      </w:hyperlink>
      <w:r w:rsidR="0054416C" w:rsidRPr="0054416C">
        <w:rPr>
          <w:rFonts w:ascii="Calibri" w:eastAsia="Calibri" w:hAnsi="Calibri" w:cs="Calibri"/>
          <w:lang w:val="en-GB"/>
        </w:rPr>
        <w:t xml:space="preserve"> </w:t>
      </w:r>
    </w:p>
    <w:p w14:paraId="086141B7" w14:textId="77777777" w:rsidR="00AA442F" w:rsidRPr="00AA442F" w:rsidRDefault="00AA442F" w:rsidP="00AA442F">
      <w:pPr>
        <w:rPr>
          <w:rFonts w:ascii="Calibri" w:eastAsia="Calibri" w:hAnsi="Calibri" w:cs="Calibri"/>
          <w:lang w:val="en-GB"/>
        </w:rPr>
      </w:pPr>
      <w:r w:rsidRPr="00AA442F">
        <w:rPr>
          <w:rFonts w:ascii="Calibri" w:eastAsia="Calibri" w:hAnsi="Calibri" w:cs="Calibri"/>
          <w:b/>
          <w:bCs/>
          <w:lang w:val="en-GB"/>
        </w:rPr>
        <w:t>DTR 5 disclosure reminder</w:t>
      </w:r>
    </w:p>
    <w:p w14:paraId="52DD70A2" w14:textId="77777777" w:rsidR="00AA442F" w:rsidRPr="00AA442F" w:rsidRDefault="00AA442F" w:rsidP="00AA442F">
      <w:pPr>
        <w:rPr>
          <w:rFonts w:ascii="Calibri" w:eastAsia="Calibri" w:hAnsi="Calibri" w:cs="Calibri"/>
          <w:lang w:val="en-GB"/>
        </w:rPr>
      </w:pPr>
      <w:r w:rsidRPr="00AA442F">
        <w:rPr>
          <w:rFonts w:ascii="Calibri" w:eastAsia="Calibri" w:hAnsi="Calibri" w:cs="Calibri"/>
        </w:rPr>
        <w:t xml:space="preserve">In addition to the specific disclosure requirements that apply under Rule 8 during an offer period, a bidder will also have to consider whether it is required to make any disclosures under the general provisions of DTR 5.1.2 (notification of interests of 3% or over).  Any notifications made to the target under this provision will then require the target to make an announcement to the market under DTR 5.8.12.  </w:t>
      </w:r>
    </w:p>
    <w:p w14:paraId="616ECC25" w14:textId="77777777" w:rsidR="00AA442F" w:rsidRPr="00AA442F" w:rsidRDefault="00AA442F" w:rsidP="00AA442F">
      <w:pPr>
        <w:rPr>
          <w:rFonts w:ascii="Calibri" w:eastAsia="Calibri" w:hAnsi="Calibri" w:cs="Calibri"/>
          <w:lang w:val="en-GB"/>
        </w:rPr>
      </w:pPr>
      <w:r w:rsidRPr="00AA442F">
        <w:rPr>
          <w:rFonts w:ascii="Calibri" w:eastAsia="Calibri" w:hAnsi="Calibri" w:cs="Calibri"/>
          <w:b/>
          <w:bCs/>
          <w:lang w:val="en-GB"/>
        </w:rPr>
        <w:t>Summary</w:t>
      </w:r>
    </w:p>
    <w:p w14:paraId="76E324D0" w14:textId="77777777" w:rsidR="00541E20" w:rsidRPr="00541E20" w:rsidRDefault="00541E20" w:rsidP="00541E20">
      <w:pPr>
        <w:numPr>
          <w:ilvl w:val="0"/>
          <w:numId w:val="3"/>
        </w:numPr>
        <w:rPr>
          <w:rFonts w:ascii="Calibri" w:eastAsia="Calibri" w:hAnsi="Calibri" w:cs="Calibri"/>
          <w:lang w:val="en-GB"/>
        </w:rPr>
      </w:pPr>
      <w:r w:rsidRPr="00541E20">
        <w:rPr>
          <w:rFonts w:ascii="Calibri" w:eastAsia="Calibri" w:hAnsi="Calibri" w:cs="Calibri"/>
          <w:lang w:val="en-GB"/>
        </w:rPr>
        <w:t>Rule 8 provides a series of dealing disclosure obligations which apply in addition to those under UK MAR and DTR 5.</w:t>
      </w:r>
    </w:p>
    <w:p w14:paraId="03084264" w14:textId="77777777" w:rsidR="00541E20" w:rsidRPr="00541E20" w:rsidRDefault="00541E20" w:rsidP="00541E20">
      <w:pPr>
        <w:numPr>
          <w:ilvl w:val="0"/>
          <w:numId w:val="3"/>
        </w:numPr>
        <w:rPr>
          <w:rFonts w:ascii="Calibri" w:eastAsia="Calibri" w:hAnsi="Calibri" w:cs="Calibri"/>
          <w:lang w:val="en-GB"/>
        </w:rPr>
      </w:pPr>
      <w:r w:rsidRPr="00541E20">
        <w:rPr>
          <w:rFonts w:ascii="Calibri" w:eastAsia="Calibri" w:hAnsi="Calibri" w:cs="Calibri"/>
          <w:lang w:val="en-GB"/>
        </w:rPr>
        <w:t>The bidder and the target must make an opening position disclosure within 10 business days of the start of the offer period; the obligation also falls on holders of 1% or more in shares.</w:t>
      </w:r>
    </w:p>
    <w:p w14:paraId="6EE7AF7F" w14:textId="77777777" w:rsidR="00541E20" w:rsidRPr="00541E20" w:rsidRDefault="00541E20" w:rsidP="00541E20">
      <w:pPr>
        <w:numPr>
          <w:ilvl w:val="0"/>
          <w:numId w:val="3"/>
        </w:numPr>
        <w:rPr>
          <w:rFonts w:ascii="Calibri" w:eastAsia="Calibri" w:hAnsi="Calibri" w:cs="Calibri"/>
          <w:lang w:val="en-GB"/>
        </w:rPr>
      </w:pPr>
      <w:r w:rsidRPr="00541E20">
        <w:rPr>
          <w:rFonts w:ascii="Calibri" w:eastAsia="Calibri" w:hAnsi="Calibri" w:cs="Calibri"/>
          <w:lang w:val="en-GB"/>
        </w:rPr>
        <w:t>Public dealing disclosures must be made by the parties to the transaction, holders of 1% or more and also by persons acting in concert with any party to the bid.</w:t>
      </w:r>
    </w:p>
    <w:p w14:paraId="49448BAE" w14:textId="77777777" w:rsidR="00541E20" w:rsidRPr="00541E20" w:rsidRDefault="00541E20" w:rsidP="00541E20">
      <w:pPr>
        <w:numPr>
          <w:ilvl w:val="0"/>
          <w:numId w:val="3"/>
        </w:numPr>
        <w:rPr>
          <w:rFonts w:ascii="Calibri" w:eastAsia="Calibri" w:hAnsi="Calibri" w:cs="Calibri"/>
          <w:lang w:val="en-GB"/>
        </w:rPr>
      </w:pPr>
      <w:r w:rsidRPr="00541E20">
        <w:rPr>
          <w:rFonts w:ascii="Calibri" w:eastAsia="Calibri" w:hAnsi="Calibri" w:cs="Calibri"/>
          <w:lang w:val="en-GB"/>
        </w:rPr>
        <w:lastRenderedPageBreak/>
        <w:t>Disclosures need only be made in respect of the shares in the bidder if they are being offered as part of the consideration for the bid.</w:t>
      </w:r>
    </w:p>
    <w:p w14:paraId="5100F732" w14:textId="77777777" w:rsidR="00670414" w:rsidRDefault="00670414" w:rsidP="00670414">
      <w:pPr>
        <w:rPr>
          <w:rFonts w:ascii="Calibri" w:eastAsia="Calibri" w:hAnsi="Calibri" w:cs="Calibri"/>
        </w:rPr>
      </w:pPr>
    </w:p>
    <w:sectPr w:rsidR="00670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142C"/>
    <w:multiLevelType w:val="hybridMultilevel"/>
    <w:tmpl w:val="01D4806E"/>
    <w:lvl w:ilvl="0" w:tplc="6E9275EA">
      <w:start w:val="1"/>
      <w:numFmt w:val="bullet"/>
      <w:lvlText w:val="•"/>
      <w:lvlJc w:val="left"/>
      <w:pPr>
        <w:tabs>
          <w:tab w:val="num" w:pos="720"/>
        </w:tabs>
        <w:ind w:left="720" w:hanging="360"/>
      </w:pPr>
      <w:rPr>
        <w:rFonts w:ascii="Arial" w:hAnsi="Arial" w:hint="default"/>
      </w:rPr>
    </w:lvl>
    <w:lvl w:ilvl="1" w:tplc="2F0EA34E" w:tentative="1">
      <w:start w:val="1"/>
      <w:numFmt w:val="bullet"/>
      <w:lvlText w:val="•"/>
      <w:lvlJc w:val="left"/>
      <w:pPr>
        <w:tabs>
          <w:tab w:val="num" w:pos="1440"/>
        </w:tabs>
        <w:ind w:left="1440" w:hanging="360"/>
      </w:pPr>
      <w:rPr>
        <w:rFonts w:ascii="Arial" w:hAnsi="Arial" w:hint="default"/>
      </w:rPr>
    </w:lvl>
    <w:lvl w:ilvl="2" w:tplc="53BA7D8A" w:tentative="1">
      <w:start w:val="1"/>
      <w:numFmt w:val="bullet"/>
      <w:lvlText w:val="•"/>
      <w:lvlJc w:val="left"/>
      <w:pPr>
        <w:tabs>
          <w:tab w:val="num" w:pos="2160"/>
        </w:tabs>
        <w:ind w:left="2160" w:hanging="360"/>
      </w:pPr>
      <w:rPr>
        <w:rFonts w:ascii="Arial" w:hAnsi="Arial" w:hint="default"/>
      </w:rPr>
    </w:lvl>
    <w:lvl w:ilvl="3" w:tplc="970AFB3E" w:tentative="1">
      <w:start w:val="1"/>
      <w:numFmt w:val="bullet"/>
      <w:lvlText w:val="•"/>
      <w:lvlJc w:val="left"/>
      <w:pPr>
        <w:tabs>
          <w:tab w:val="num" w:pos="2880"/>
        </w:tabs>
        <w:ind w:left="2880" w:hanging="360"/>
      </w:pPr>
      <w:rPr>
        <w:rFonts w:ascii="Arial" w:hAnsi="Arial" w:hint="default"/>
      </w:rPr>
    </w:lvl>
    <w:lvl w:ilvl="4" w:tplc="0EB0B41C" w:tentative="1">
      <w:start w:val="1"/>
      <w:numFmt w:val="bullet"/>
      <w:lvlText w:val="•"/>
      <w:lvlJc w:val="left"/>
      <w:pPr>
        <w:tabs>
          <w:tab w:val="num" w:pos="3600"/>
        </w:tabs>
        <w:ind w:left="3600" w:hanging="360"/>
      </w:pPr>
      <w:rPr>
        <w:rFonts w:ascii="Arial" w:hAnsi="Arial" w:hint="default"/>
      </w:rPr>
    </w:lvl>
    <w:lvl w:ilvl="5" w:tplc="0764C38C" w:tentative="1">
      <w:start w:val="1"/>
      <w:numFmt w:val="bullet"/>
      <w:lvlText w:val="•"/>
      <w:lvlJc w:val="left"/>
      <w:pPr>
        <w:tabs>
          <w:tab w:val="num" w:pos="4320"/>
        </w:tabs>
        <w:ind w:left="4320" w:hanging="360"/>
      </w:pPr>
      <w:rPr>
        <w:rFonts w:ascii="Arial" w:hAnsi="Arial" w:hint="default"/>
      </w:rPr>
    </w:lvl>
    <w:lvl w:ilvl="6" w:tplc="675EDE8C" w:tentative="1">
      <w:start w:val="1"/>
      <w:numFmt w:val="bullet"/>
      <w:lvlText w:val="•"/>
      <w:lvlJc w:val="left"/>
      <w:pPr>
        <w:tabs>
          <w:tab w:val="num" w:pos="5040"/>
        </w:tabs>
        <w:ind w:left="5040" w:hanging="360"/>
      </w:pPr>
      <w:rPr>
        <w:rFonts w:ascii="Arial" w:hAnsi="Arial" w:hint="default"/>
      </w:rPr>
    </w:lvl>
    <w:lvl w:ilvl="7" w:tplc="239A1E60" w:tentative="1">
      <w:start w:val="1"/>
      <w:numFmt w:val="bullet"/>
      <w:lvlText w:val="•"/>
      <w:lvlJc w:val="left"/>
      <w:pPr>
        <w:tabs>
          <w:tab w:val="num" w:pos="5760"/>
        </w:tabs>
        <w:ind w:left="5760" w:hanging="360"/>
      </w:pPr>
      <w:rPr>
        <w:rFonts w:ascii="Arial" w:hAnsi="Arial" w:hint="default"/>
      </w:rPr>
    </w:lvl>
    <w:lvl w:ilvl="8" w:tplc="BD6C4D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5BC283D"/>
    <w:multiLevelType w:val="hybridMultilevel"/>
    <w:tmpl w:val="C32C1084"/>
    <w:lvl w:ilvl="0" w:tplc="13284D40">
      <w:start w:val="1"/>
      <w:numFmt w:val="bullet"/>
      <w:lvlText w:val="•"/>
      <w:lvlJc w:val="left"/>
      <w:pPr>
        <w:tabs>
          <w:tab w:val="num" w:pos="720"/>
        </w:tabs>
        <w:ind w:left="720" w:hanging="360"/>
      </w:pPr>
      <w:rPr>
        <w:rFonts w:ascii="Arial" w:hAnsi="Arial" w:hint="default"/>
      </w:rPr>
    </w:lvl>
    <w:lvl w:ilvl="1" w:tplc="E856D868" w:tentative="1">
      <w:start w:val="1"/>
      <w:numFmt w:val="bullet"/>
      <w:lvlText w:val="•"/>
      <w:lvlJc w:val="left"/>
      <w:pPr>
        <w:tabs>
          <w:tab w:val="num" w:pos="1440"/>
        </w:tabs>
        <w:ind w:left="1440" w:hanging="360"/>
      </w:pPr>
      <w:rPr>
        <w:rFonts w:ascii="Arial" w:hAnsi="Arial" w:hint="default"/>
      </w:rPr>
    </w:lvl>
    <w:lvl w:ilvl="2" w:tplc="8F0C4274" w:tentative="1">
      <w:start w:val="1"/>
      <w:numFmt w:val="bullet"/>
      <w:lvlText w:val="•"/>
      <w:lvlJc w:val="left"/>
      <w:pPr>
        <w:tabs>
          <w:tab w:val="num" w:pos="2160"/>
        </w:tabs>
        <w:ind w:left="2160" w:hanging="360"/>
      </w:pPr>
      <w:rPr>
        <w:rFonts w:ascii="Arial" w:hAnsi="Arial" w:hint="default"/>
      </w:rPr>
    </w:lvl>
    <w:lvl w:ilvl="3" w:tplc="D1EC06D0" w:tentative="1">
      <w:start w:val="1"/>
      <w:numFmt w:val="bullet"/>
      <w:lvlText w:val="•"/>
      <w:lvlJc w:val="left"/>
      <w:pPr>
        <w:tabs>
          <w:tab w:val="num" w:pos="2880"/>
        </w:tabs>
        <w:ind w:left="2880" w:hanging="360"/>
      </w:pPr>
      <w:rPr>
        <w:rFonts w:ascii="Arial" w:hAnsi="Arial" w:hint="default"/>
      </w:rPr>
    </w:lvl>
    <w:lvl w:ilvl="4" w:tplc="D3A4BC9E" w:tentative="1">
      <w:start w:val="1"/>
      <w:numFmt w:val="bullet"/>
      <w:lvlText w:val="•"/>
      <w:lvlJc w:val="left"/>
      <w:pPr>
        <w:tabs>
          <w:tab w:val="num" w:pos="3600"/>
        </w:tabs>
        <w:ind w:left="3600" w:hanging="360"/>
      </w:pPr>
      <w:rPr>
        <w:rFonts w:ascii="Arial" w:hAnsi="Arial" w:hint="default"/>
      </w:rPr>
    </w:lvl>
    <w:lvl w:ilvl="5" w:tplc="ADA4E3F0" w:tentative="1">
      <w:start w:val="1"/>
      <w:numFmt w:val="bullet"/>
      <w:lvlText w:val="•"/>
      <w:lvlJc w:val="left"/>
      <w:pPr>
        <w:tabs>
          <w:tab w:val="num" w:pos="4320"/>
        </w:tabs>
        <w:ind w:left="4320" w:hanging="360"/>
      </w:pPr>
      <w:rPr>
        <w:rFonts w:ascii="Arial" w:hAnsi="Arial" w:hint="default"/>
      </w:rPr>
    </w:lvl>
    <w:lvl w:ilvl="6" w:tplc="1EFC3518" w:tentative="1">
      <w:start w:val="1"/>
      <w:numFmt w:val="bullet"/>
      <w:lvlText w:val="•"/>
      <w:lvlJc w:val="left"/>
      <w:pPr>
        <w:tabs>
          <w:tab w:val="num" w:pos="5040"/>
        </w:tabs>
        <w:ind w:left="5040" w:hanging="360"/>
      </w:pPr>
      <w:rPr>
        <w:rFonts w:ascii="Arial" w:hAnsi="Arial" w:hint="default"/>
      </w:rPr>
    </w:lvl>
    <w:lvl w:ilvl="7" w:tplc="61206AB0" w:tentative="1">
      <w:start w:val="1"/>
      <w:numFmt w:val="bullet"/>
      <w:lvlText w:val="•"/>
      <w:lvlJc w:val="left"/>
      <w:pPr>
        <w:tabs>
          <w:tab w:val="num" w:pos="5760"/>
        </w:tabs>
        <w:ind w:left="5760" w:hanging="360"/>
      </w:pPr>
      <w:rPr>
        <w:rFonts w:ascii="Arial" w:hAnsi="Arial" w:hint="default"/>
      </w:rPr>
    </w:lvl>
    <w:lvl w:ilvl="8" w:tplc="569C10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A73266E"/>
    <w:multiLevelType w:val="hybridMultilevel"/>
    <w:tmpl w:val="FDDEF1FA"/>
    <w:lvl w:ilvl="0" w:tplc="A036D2C6">
      <w:start w:val="1"/>
      <w:numFmt w:val="bullet"/>
      <w:lvlText w:val="•"/>
      <w:lvlJc w:val="left"/>
      <w:pPr>
        <w:tabs>
          <w:tab w:val="num" w:pos="720"/>
        </w:tabs>
        <w:ind w:left="720" w:hanging="360"/>
      </w:pPr>
      <w:rPr>
        <w:rFonts w:ascii="Arial" w:hAnsi="Arial" w:hint="default"/>
      </w:rPr>
    </w:lvl>
    <w:lvl w:ilvl="1" w:tplc="82F67FF0" w:tentative="1">
      <w:start w:val="1"/>
      <w:numFmt w:val="bullet"/>
      <w:lvlText w:val="•"/>
      <w:lvlJc w:val="left"/>
      <w:pPr>
        <w:tabs>
          <w:tab w:val="num" w:pos="1440"/>
        </w:tabs>
        <w:ind w:left="1440" w:hanging="360"/>
      </w:pPr>
      <w:rPr>
        <w:rFonts w:ascii="Arial" w:hAnsi="Arial" w:hint="default"/>
      </w:rPr>
    </w:lvl>
    <w:lvl w:ilvl="2" w:tplc="86306000" w:tentative="1">
      <w:start w:val="1"/>
      <w:numFmt w:val="bullet"/>
      <w:lvlText w:val="•"/>
      <w:lvlJc w:val="left"/>
      <w:pPr>
        <w:tabs>
          <w:tab w:val="num" w:pos="2160"/>
        </w:tabs>
        <w:ind w:left="2160" w:hanging="360"/>
      </w:pPr>
      <w:rPr>
        <w:rFonts w:ascii="Arial" w:hAnsi="Arial" w:hint="default"/>
      </w:rPr>
    </w:lvl>
    <w:lvl w:ilvl="3" w:tplc="36689DA4" w:tentative="1">
      <w:start w:val="1"/>
      <w:numFmt w:val="bullet"/>
      <w:lvlText w:val="•"/>
      <w:lvlJc w:val="left"/>
      <w:pPr>
        <w:tabs>
          <w:tab w:val="num" w:pos="2880"/>
        </w:tabs>
        <w:ind w:left="2880" w:hanging="360"/>
      </w:pPr>
      <w:rPr>
        <w:rFonts w:ascii="Arial" w:hAnsi="Arial" w:hint="default"/>
      </w:rPr>
    </w:lvl>
    <w:lvl w:ilvl="4" w:tplc="38EE661A" w:tentative="1">
      <w:start w:val="1"/>
      <w:numFmt w:val="bullet"/>
      <w:lvlText w:val="•"/>
      <w:lvlJc w:val="left"/>
      <w:pPr>
        <w:tabs>
          <w:tab w:val="num" w:pos="3600"/>
        </w:tabs>
        <w:ind w:left="3600" w:hanging="360"/>
      </w:pPr>
      <w:rPr>
        <w:rFonts w:ascii="Arial" w:hAnsi="Arial" w:hint="default"/>
      </w:rPr>
    </w:lvl>
    <w:lvl w:ilvl="5" w:tplc="93EC5288" w:tentative="1">
      <w:start w:val="1"/>
      <w:numFmt w:val="bullet"/>
      <w:lvlText w:val="•"/>
      <w:lvlJc w:val="left"/>
      <w:pPr>
        <w:tabs>
          <w:tab w:val="num" w:pos="4320"/>
        </w:tabs>
        <w:ind w:left="4320" w:hanging="360"/>
      </w:pPr>
      <w:rPr>
        <w:rFonts w:ascii="Arial" w:hAnsi="Arial" w:hint="default"/>
      </w:rPr>
    </w:lvl>
    <w:lvl w:ilvl="6" w:tplc="A3B27F86" w:tentative="1">
      <w:start w:val="1"/>
      <w:numFmt w:val="bullet"/>
      <w:lvlText w:val="•"/>
      <w:lvlJc w:val="left"/>
      <w:pPr>
        <w:tabs>
          <w:tab w:val="num" w:pos="5040"/>
        </w:tabs>
        <w:ind w:left="5040" w:hanging="360"/>
      </w:pPr>
      <w:rPr>
        <w:rFonts w:ascii="Arial" w:hAnsi="Arial" w:hint="default"/>
      </w:rPr>
    </w:lvl>
    <w:lvl w:ilvl="7" w:tplc="AC68B098" w:tentative="1">
      <w:start w:val="1"/>
      <w:numFmt w:val="bullet"/>
      <w:lvlText w:val="•"/>
      <w:lvlJc w:val="left"/>
      <w:pPr>
        <w:tabs>
          <w:tab w:val="num" w:pos="5760"/>
        </w:tabs>
        <w:ind w:left="5760" w:hanging="360"/>
      </w:pPr>
      <w:rPr>
        <w:rFonts w:ascii="Arial" w:hAnsi="Arial" w:hint="default"/>
      </w:rPr>
    </w:lvl>
    <w:lvl w:ilvl="8" w:tplc="6486BEB2" w:tentative="1">
      <w:start w:val="1"/>
      <w:numFmt w:val="bullet"/>
      <w:lvlText w:val="•"/>
      <w:lvlJc w:val="left"/>
      <w:pPr>
        <w:tabs>
          <w:tab w:val="num" w:pos="6480"/>
        </w:tabs>
        <w:ind w:left="6480" w:hanging="360"/>
      </w:pPr>
      <w:rPr>
        <w:rFonts w:ascii="Arial" w:hAnsi="Arial" w:hint="default"/>
      </w:rPr>
    </w:lvl>
  </w:abstractNum>
  <w:num w:numId="1" w16cid:durableId="1881473934">
    <w:abstractNumId w:val="0"/>
  </w:num>
  <w:num w:numId="2" w16cid:durableId="738669454">
    <w:abstractNumId w:val="2"/>
  </w:num>
  <w:num w:numId="3" w16cid:durableId="1613365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E5D6D4"/>
    <w:rsid w:val="001049CD"/>
    <w:rsid w:val="004528BB"/>
    <w:rsid w:val="00541E20"/>
    <w:rsid w:val="0054416C"/>
    <w:rsid w:val="005C3EEB"/>
    <w:rsid w:val="005D52C5"/>
    <w:rsid w:val="00670414"/>
    <w:rsid w:val="00A31B65"/>
    <w:rsid w:val="00AA442F"/>
    <w:rsid w:val="00E1494E"/>
    <w:rsid w:val="00E3340D"/>
    <w:rsid w:val="0BF52E2F"/>
    <w:rsid w:val="31892F56"/>
    <w:rsid w:val="4BE5D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D6D4"/>
  <w15:chartTrackingRefBased/>
  <w15:docId w15:val="{915E31AA-0D33-40D8-87AB-CB94DB3E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9CD"/>
    <w:pPr>
      <w:ind w:left="720"/>
      <w:contextualSpacing/>
    </w:pPr>
  </w:style>
  <w:style w:type="character" w:styleId="Hyperlink">
    <w:name w:val="Hyperlink"/>
    <w:basedOn w:val="DefaultParagraphFont"/>
    <w:uiPriority w:val="99"/>
    <w:unhideWhenUsed/>
    <w:rsid w:val="0054416C"/>
    <w:rPr>
      <w:color w:val="0563C1" w:themeColor="hyperlink"/>
      <w:u w:val="single"/>
    </w:rPr>
  </w:style>
  <w:style w:type="character" w:styleId="UnresolvedMention">
    <w:name w:val="Unresolved Mention"/>
    <w:basedOn w:val="DefaultParagraphFont"/>
    <w:uiPriority w:val="99"/>
    <w:semiHidden/>
    <w:unhideWhenUsed/>
    <w:rsid w:val="00544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2316">
      <w:bodyDiv w:val="1"/>
      <w:marLeft w:val="0"/>
      <w:marRight w:val="0"/>
      <w:marTop w:val="0"/>
      <w:marBottom w:val="0"/>
      <w:divBdr>
        <w:top w:val="none" w:sz="0" w:space="0" w:color="auto"/>
        <w:left w:val="none" w:sz="0" w:space="0" w:color="auto"/>
        <w:bottom w:val="none" w:sz="0" w:space="0" w:color="auto"/>
        <w:right w:val="none" w:sz="0" w:space="0" w:color="auto"/>
      </w:divBdr>
    </w:div>
    <w:div w:id="150100277">
      <w:bodyDiv w:val="1"/>
      <w:marLeft w:val="0"/>
      <w:marRight w:val="0"/>
      <w:marTop w:val="0"/>
      <w:marBottom w:val="0"/>
      <w:divBdr>
        <w:top w:val="none" w:sz="0" w:space="0" w:color="auto"/>
        <w:left w:val="none" w:sz="0" w:space="0" w:color="auto"/>
        <w:bottom w:val="none" w:sz="0" w:space="0" w:color="auto"/>
        <w:right w:val="none" w:sz="0" w:space="0" w:color="auto"/>
      </w:divBdr>
    </w:div>
    <w:div w:id="223832980">
      <w:bodyDiv w:val="1"/>
      <w:marLeft w:val="0"/>
      <w:marRight w:val="0"/>
      <w:marTop w:val="0"/>
      <w:marBottom w:val="0"/>
      <w:divBdr>
        <w:top w:val="none" w:sz="0" w:space="0" w:color="auto"/>
        <w:left w:val="none" w:sz="0" w:space="0" w:color="auto"/>
        <w:bottom w:val="none" w:sz="0" w:space="0" w:color="auto"/>
        <w:right w:val="none" w:sz="0" w:space="0" w:color="auto"/>
      </w:divBdr>
    </w:div>
    <w:div w:id="253050773">
      <w:bodyDiv w:val="1"/>
      <w:marLeft w:val="0"/>
      <w:marRight w:val="0"/>
      <w:marTop w:val="0"/>
      <w:marBottom w:val="0"/>
      <w:divBdr>
        <w:top w:val="none" w:sz="0" w:space="0" w:color="auto"/>
        <w:left w:val="none" w:sz="0" w:space="0" w:color="auto"/>
        <w:bottom w:val="none" w:sz="0" w:space="0" w:color="auto"/>
        <w:right w:val="none" w:sz="0" w:space="0" w:color="auto"/>
      </w:divBdr>
    </w:div>
    <w:div w:id="481772307">
      <w:bodyDiv w:val="1"/>
      <w:marLeft w:val="0"/>
      <w:marRight w:val="0"/>
      <w:marTop w:val="0"/>
      <w:marBottom w:val="0"/>
      <w:divBdr>
        <w:top w:val="none" w:sz="0" w:space="0" w:color="auto"/>
        <w:left w:val="none" w:sz="0" w:space="0" w:color="auto"/>
        <w:bottom w:val="none" w:sz="0" w:space="0" w:color="auto"/>
        <w:right w:val="none" w:sz="0" w:space="0" w:color="auto"/>
      </w:divBdr>
      <w:divsChild>
        <w:div w:id="808596370">
          <w:marLeft w:val="547"/>
          <w:marRight w:val="0"/>
          <w:marTop w:val="200"/>
          <w:marBottom w:val="240"/>
          <w:divBdr>
            <w:top w:val="none" w:sz="0" w:space="0" w:color="auto"/>
            <w:left w:val="none" w:sz="0" w:space="0" w:color="auto"/>
            <w:bottom w:val="none" w:sz="0" w:space="0" w:color="auto"/>
            <w:right w:val="none" w:sz="0" w:space="0" w:color="auto"/>
          </w:divBdr>
        </w:div>
        <w:div w:id="1681396562">
          <w:marLeft w:val="547"/>
          <w:marRight w:val="0"/>
          <w:marTop w:val="200"/>
          <w:marBottom w:val="240"/>
          <w:divBdr>
            <w:top w:val="none" w:sz="0" w:space="0" w:color="auto"/>
            <w:left w:val="none" w:sz="0" w:space="0" w:color="auto"/>
            <w:bottom w:val="none" w:sz="0" w:space="0" w:color="auto"/>
            <w:right w:val="none" w:sz="0" w:space="0" w:color="auto"/>
          </w:divBdr>
        </w:div>
        <w:div w:id="1856840250">
          <w:marLeft w:val="547"/>
          <w:marRight w:val="0"/>
          <w:marTop w:val="200"/>
          <w:marBottom w:val="240"/>
          <w:divBdr>
            <w:top w:val="none" w:sz="0" w:space="0" w:color="auto"/>
            <w:left w:val="none" w:sz="0" w:space="0" w:color="auto"/>
            <w:bottom w:val="none" w:sz="0" w:space="0" w:color="auto"/>
            <w:right w:val="none" w:sz="0" w:space="0" w:color="auto"/>
          </w:divBdr>
        </w:div>
      </w:divsChild>
    </w:div>
    <w:div w:id="521166969">
      <w:bodyDiv w:val="1"/>
      <w:marLeft w:val="0"/>
      <w:marRight w:val="0"/>
      <w:marTop w:val="0"/>
      <w:marBottom w:val="0"/>
      <w:divBdr>
        <w:top w:val="none" w:sz="0" w:space="0" w:color="auto"/>
        <w:left w:val="none" w:sz="0" w:space="0" w:color="auto"/>
        <w:bottom w:val="none" w:sz="0" w:space="0" w:color="auto"/>
        <w:right w:val="none" w:sz="0" w:space="0" w:color="auto"/>
      </w:divBdr>
      <w:divsChild>
        <w:div w:id="124978881">
          <w:marLeft w:val="547"/>
          <w:marRight w:val="0"/>
          <w:marTop w:val="200"/>
          <w:marBottom w:val="240"/>
          <w:divBdr>
            <w:top w:val="none" w:sz="0" w:space="0" w:color="auto"/>
            <w:left w:val="none" w:sz="0" w:space="0" w:color="auto"/>
            <w:bottom w:val="none" w:sz="0" w:space="0" w:color="auto"/>
            <w:right w:val="none" w:sz="0" w:space="0" w:color="auto"/>
          </w:divBdr>
        </w:div>
        <w:div w:id="1818110864">
          <w:marLeft w:val="547"/>
          <w:marRight w:val="0"/>
          <w:marTop w:val="200"/>
          <w:marBottom w:val="240"/>
          <w:divBdr>
            <w:top w:val="none" w:sz="0" w:space="0" w:color="auto"/>
            <w:left w:val="none" w:sz="0" w:space="0" w:color="auto"/>
            <w:bottom w:val="none" w:sz="0" w:space="0" w:color="auto"/>
            <w:right w:val="none" w:sz="0" w:space="0" w:color="auto"/>
          </w:divBdr>
        </w:div>
        <w:div w:id="700664081">
          <w:marLeft w:val="547"/>
          <w:marRight w:val="0"/>
          <w:marTop w:val="200"/>
          <w:marBottom w:val="240"/>
          <w:divBdr>
            <w:top w:val="none" w:sz="0" w:space="0" w:color="auto"/>
            <w:left w:val="none" w:sz="0" w:space="0" w:color="auto"/>
            <w:bottom w:val="none" w:sz="0" w:space="0" w:color="auto"/>
            <w:right w:val="none" w:sz="0" w:space="0" w:color="auto"/>
          </w:divBdr>
        </w:div>
        <w:div w:id="524370479">
          <w:marLeft w:val="547"/>
          <w:marRight w:val="0"/>
          <w:marTop w:val="200"/>
          <w:marBottom w:val="240"/>
          <w:divBdr>
            <w:top w:val="none" w:sz="0" w:space="0" w:color="auto"/>
            <w:left w:val="none" w:sz="0" w:space="0" w:color="auto"/>
            <w:bottom w:val="none" w:sz="0" w:space="0" w:color="auto"/>
            <w:right w:val="none" w:sz="0" w:space="0" w:color="auto"/>
          </w:divBdr>
        </w:div>
      </w:divsChild>
    </w:div>
    <w:div w:id="571044441">
      <w:bodyDiv w:val="1"/>
      <w:marLeft w:val="0"/>
      <w:marRight w:val="0"/>
      <w:marTop w:val="0"/>
      <w:marBottom w:val="0"/>
      <w:divBdr>
        <w:top w:val="none" w:sz="0" w:space="0" w:color="auto"/>
        <w:left w:val="none" w:sz="0" w:space="0" w:color="auto"/>
        <w:bottom w:val="none" w:sz="0" w:space="0" w:color="auto"/>
        <w:right w:val="none" w:sz="0" w:space="0" w:color="auto"/>
      </w:divBdr>
    </w:div>
    <w:div w:id="751506183">
      <w:bodyDiv w:val="1"/>
      <w:marLeft w:val="0"/>
      <w:marRight w:val="0"/>
      <w:marTop w:val="0"/>
      <w:marBottom w:val="0"/>
      <w:divBdr>
        <w:top w:val="none" w:sz="0" w:space="0" w:color="auto"/>
        <w:left w:val="none" w:sz="0" w:space="0" w:color="auto"/>
        <w:bottom w:val="none" w:sz="0" w:space="0" w:color="auto"/>
        <w:right w:val="none" w:sz="0" w:space="0" w:color="auto"/>
      </w:divBdr>
    </w:div>
    <w:div w:id="818958551">
      <w:bodyDiv w:val="1"/>
      <w:marLeft w:val="0"/>
      <w:marRight w:val="0"/>
      <w:marTop w:val="0"/>
      <w:marBottom w:val="0"/>
      <w:divBdr>
        <w:top w:val="none" w:sz="0" w:space="0" w:color="auto"/>
        <w:left w:val="none" w:sz="0" w:space="0" w:color="auto"/>
        <w:bottom w:val="none" w:sz="0" w:space="0" w:color="auto"/>
        <w:right w:val="none" w:sz="0" w:space="0" w:color="auto"/>
      </w:divBdr>
      <w:divsChild>
        <w:div w:id="937250336">
          <w:marLeft w:val="547"/>
          <w:marRight w:val="0"/>
          <w:marTop w:val="200"/>
          <w:marBottom w:val="0"/>
          <w:divBdr>
            <w:top w:val="none" w:sz="0" w:space="0" w:color="auto"/>
            <w:left w:val="none" w:sz="0" w:space="0" w:color="auto"/>
            <w:bottom w:val="none" w:sz="0" w:space="0" w:color="auto"/>
            <w:right w:val="none" w:sz="0" w:space="0" w:color="auto"/>
          </w:divBdr>
        </w:div>
        <w:div w:id="727188931">
          <w:marLeft w:val="547"/>
          <w:marRight w:val="0"/>
          <w:marTop w:val="200"/>
          <w:marBottom w:val="0"/>
          <w:divBdr>
            <w:top w:val="none" w:sz="0" w:space="0" w:color="auto"/>
            <w:left w:val="none" w:sz="0" w:space="0" w:color="auto"/>
            <w:bottom w:val="none" w:sz="0" w:space="0" w:color="auto"/>
            <w:right w:val="none" w:sz="0" w:space="0" w:color="auto"/>
          </w:divBdr>
        </w:div>
        <w:div w:id="1640501867">
          <w:marLeft w:val="547"/>
          <w:marRight w:val="0"/>
          <w:marTop w:val="200"/>
          <w:marBottom w:val="0"/>
          <w:divBdr>
            <w:top w:val="none" w:sz="0" w:space="0" w:color="auto"/>
            <w:left w:val="none" w:sz="0" w:space="0" w:color="auto"/>
            <w:bottom w:val="none" w:sz="0" w:space="0" w:color="auto"/>
            <w:right w:val="none" w:sz="0" w:space="0" w:color="auto"/>
          </w:divBdr>
        </w:div>
        <w:div w:id="1372344330">
          <w:marLeft w:val="547"/>
          <w:marRight w:val="0"/>
          <w:marTop w:val="200"/>
          <w:marBottom w:val="0"/>
          <w:divBdr>
            <w:top w:val="none" w:sz="0" w:space="0" w:color="auto"/>
            <w:left w:val="none" w:sz="0" w:space="0" w:color="auto"/>
            <w:bottom w:val="none" w:sz="0" w:space="0" w:color="auto"/>
            <w:right w:val="none" w:sz="0" w:space="0" w:color="auto"/>
          </w:divBdr>
        </w:div>
      </w:divsChild>
    </w:div>
    <w:div w:id="988753858">
      <w:bodyDiv w:val="1"/>
      <w:marLeft w:val="0"/>
      <w:marRight w:val="0"/>
      <w:marTop w:val="0"/>
      <w:marBottom w:val="0"/>
      <w:divBdr>
        <w:top w:val="none" w:sz="0" w:space="0" w:color="auto"/>
        <w:left w:val="none" w:sz="0" w:space="0" w:color="auto"/>
        <w:bottom w:val="none" w:sz="0" w:space="0" w:color="auto"/>
        <w:right w:val="none" w:sz="0" w:space="0" w:color="auto"/>
      </w:divBdr>
    </w:div>
    <w:div w:id="1179854374">
      <w:bodyDiv w:val="1"/>
      <w:marLeft w:val="0"/>
      <w:marRight w:val="0"/>
      <w:marTop w:val="0"/>
      <w:marBottom w:val="0"/>
      <w:divBdr>
        <w:top w:val="none" w:sz="0" w:space="0" w:color="auto"/>
        <w:left w:val="none" w:sz="0" w:space="0" w:color="auto"/>
        <w:bottom w:val="none" w:sz="0" w:space="0" w:color="auto"/>
        <w:right w:val="none" w:sz="0" w:space="0" w:color="auto"/>
      </w:divBdr>
    </w:div>
    <w:div w:id="1332875001">
      <w:bodyDiv w:val="1"/>
      <w:marLeft w:val="0"/>
      <w:marRight w:val="0"/>
      <w:marTop w:val="0"/>
      <w:marBottom w:val="0"/>
      <w:divBdr>
        <w:top w:val="none" w:sz="0" w:space="0" w:color="auto"/>
        <w:left w:val="none" w:sz="0" w:space="0" w:color="auto"/>
        <w:bottom w:val="none" w:sz="0" w:space="0" w:color="auto"/>
        <w:right w:val="none" w:sz="0" w:space="0" w:color="auto"/>
      </w:divBdr>
    </w:div>
    <w:div w:id="1474252148">
      <w:bodyDiv w:val="1"/>
      <w:marLeft w:val="0"/>
      <w:marRight w:val="0"/>
      <w:marTop w:val="0"/>
      <w:marBottom w:val="0"/>
      <w:divBdr>
        <w:top w:val="none" w:sz="0" w:space="0" w:color="auto"/>
        <w:left w:val="none" w:sz="0" w:space="0" w:color="auto"/>
        <w:bottom w:val="none" w:sz="0" w:space="0" w:color="auto"/>
        <w:right w:val="none" w:sz="0" w:space="0" w:color="auto"/>
      </w:divBdr>
    </w:div>
    <w:div w:id="1687055684">
      <w:bodyDiv w:val="1"/>
      <w:marLeft w:val="0"/>
      <w:marRight w:val="0"/>
      <w:marTop w:val="0"/>
      <w:marBottom w:val="0"/>
      <w:divBdr>
        <w:top w:val="none" w:sz="0" w:space="0" w:color="auto"/>
        <w:left w:val="none" w:sz="0" w:space="0" w:color="auto"/>
        <w:bottom w:val="none" w:sz="0" w:space="0" w:color="auto"/>
        <w:right w:val="none" w:sz="0" w:space="0" w:color="auto"/>
      </w:divBdr>
    </w:div>
    <w:div w:id="1757167093">
      <w:bodyDiv w:val="1"/>
      <w:marLeft w:val="0"/>
      <w:marRight w:val="0"/>
      <w:marTop w:val="0"/>
      <w:marBottom w:val="0"/>
      <w:divBdr>
        <w:top w:val="none" w:sz="0" w:space="0" w:color="auto"/>
        <w:left w:val="none" w:sz="0" w:space="0" w:color="auto"/>
        <w:bottom w:val="none" w:sz="0" w:space="0" w:color="auto"/>
        <w:right w:val="none" w:sz="0" w:space="0" w:color="auto"/>
      </w:divBdr>
    </w:div>
    <w:div w:id="1882159582">
      <w:bodyDiv w:val="1"/>
      <w:marLeft w:val="0"/>
      <w:marRight w:val="0"/>
      <w:marTop w:val="0"/>
      <w:marBottom w:val="0"/>
      <w:divBdr>
        <w:top w:val="none" w:sz="0" w:space="0" w:color="auto"/>
        <w:left w:val="none" w:sz="0" w:space="0" w:color="auto"/>
        <w:bottom w:val="none" w:sz="0" w:space="0" w:color="auto"/>
        <w:right w:val="none" w:sz="0" w:space="0" w:color="auto"/>
      </w:divBdr>
    </w:div>
    <w:div w:id="206163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takeoverpanel.org.uk/disclosure/disclosure-form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373F32-FD38-47CE-82C3-9DFCF49B351A}">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2.xml><?xml version="1.0" encoding="utf-8"?>
<ds:datastoreItem xmlns:ds="http://schemas.openxmlformats.org/officeDocument/2006/customXml" ds:itemID="{3EFAEC8C-7DB8-4481-9010-6BCC9B589EF7}"/>
</file>

<file path=customXml/itemProps3.xml><?xml version="1.0" encoding="utf-8"?>
<ds:datastoreItem xmlns:ds="http://schemas.openxmlformats.org/officeDocument/2006/customXml" ds:itemID="{10D76604-F6C0-4A26-BB9A-1A16F631D7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Peel</dc:creator>
  <cp:keywords/>
  <dc:description/>
  <cp:lastModifiedBy>Abigail Flack</cp:lastModifiedBy>
  <cp:revision>11</cp:revision>
  <dcterms:created xsi:type="dcterms:W3CDTF">2023-01-27T09:43:00Z</dcterms:created>
  <dcterms:modified xsi:type="dcterms:W3CDTF">2024-05-09T09:16:00Z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22568500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