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FB9F" w14:textId="0806FB33" w:rsidR="0016443D" w:rsidRPr="0016443D" w:rsidRDefault="0016443D" w:rsidP="0016443D">
      <w:pPr>
        <w:rPr>
          <w:lang w:val="en-GB"/>
        </w:rPr>
      </w:pPr>
      <w:r w:rsidRPr="0016443D">
        <w:rPr>
          <w:b/>
          <w:bCs/>
          <w:lang w:val="en-GB"/>
        </w:rPr>
        <w:t>IPO advisers</w:t>
      </w:r>
    </w:p>
    <w:p w14:paraId="02FA7E28" w14:textId="77777777" w:rsidR="00582C3D" w:rsidRPr="00582C3D" w:rsidRDefault="00582C3D" w:rsidP="00582C3D">
      <w:pPr>
        <w:rPr>
          <w:lang w:val="en-GB"/>
        </w:rPr>
      </w:pPr>
      <w:r w:rsidRPr="00582C3D">
        <w:rPr>
          <w:lang w:val="en-GB"/>
        </w:rPr>
        <w:t>This element introduces the advisers that play a role when a company is applying for a listing.</w:t>
      </w:r>
    </w:p>
    <w:p w14:paraId="2F25E739" w14:textId="77777777" w:rsidR="00E32F06" w:rsidRDefault="00E32F06" w:rsidP="00CB0327">
      <w:pPr>
        <w:rPr>
          <w:b/>
          <w:bCs/>
          <w:lang w:val="en-GB"/>
        </w:rPr>
      </w:pPr>
    </w:p>
    <w:p w14:paraId="1DA2BCBF" w14:textId="0EDF7F5E" w:rsidR="00CB0327" w:rsidRPr="00CB0327" w:rsidRDefault="00CB0327" w:rsidP="00CB0327">
      <w:pPr>
        <w:rPr>
          <w:lang w:val="en-GB"/>
        </w:rPr>
      </w:pPr>
      <w:r w:rsidRPr="00CB0327">
        <w:rPr>
          <w:b/>
          <w:bCs/>
          <w:lang w:val="en-GB"/>
        </w:rPr>
        <w:t>Advisers on a listing to the Main Market</w:t>
      </w:r>
    </w:p>
    <w:p w14:paraId="18567B50" w14:textId="77777777" w:rsidR="00546D2B" w:rsidRPr="00546D2B" w:rsidRDefault="00546D2B" w:rsidP="00546D2B">
      <w:pPr>
        <w:rPr>
          <w:lang w:val="en-GB"/>
        </w:rPr>
      </w:pPr>
      <w:r w:rsidRPr="00546D2B">
        <w:rPr>
          <w:lang w:val="en-GB"/>
        </w:rPr>
        <w:t>There are several parties that play significant roles when a company is applying for a listing.</w:t>
      </w:r>
    </w:p>
    <w:p w14:paraId="65F12EBD" w14:textId="77777777" w:rsidR="00546D2B" w:rsidRPr="00546D2B" w:rsidRDefault="00546D2B" w:rsidP="00546D2B">
      <w:pPr>
        <w:rPr>
          <w:lang w:val="en-GB"/>
        </w:rPr>
      </w:pPr>
      <w:r w:rsidRPr="00546D2B">
        <w:rPr>
          <w:lang w:val="en-GB"/>
        </w:rPr>
        <w:t xml:space="preserve">These include: </w:t>
      </w:r>
    </w:p>
    <w:p w14:paraId="3365F1A7" w14:textId="77777777" w:rsidR="000F4B88" w:rsidRPr="003E1518" w:rsidRDefault="000F4B88" w:rsidP="000F4B88">
      <w:pPr>
        <w:rPr>
          <w:b/>
          <w:bCs/>
          <w:highlight w:val="yellow"/>
          <w:lang w:val="en-GB"/>
        </w:rPr>
      </w:pPr>
      <w:r w:rsidRPr="003E1518">
        <w:rPr>
          <w:b/>
          <w:bCs/>
          <w:highlight w:val="yellow"/>
        </w:rPr>
        <w:t xml:space="preserve">- </w:t>
      </w:r>
      <w:r w:rsidRPr="003E1518">
        <w:rPr>
          <w:b/>
          <w:bCs/>
          <w:highlight w:val="yellow"/>
          <w:lang w:val="en-GB"/>
        </w:rPr>
        <w:t>Investment bank</w:t>
      </w:r>
    </w:p>
    <w:p w14:paraId="04A7F7EA" w14:textId="23AA7C6C" w:rsidR="000F4B88" w:rsidRPr="003E1518" w:rsidRDefault="00261A22" w:rsidP="000F4B88">
      <w:pPr>
        <w:rPr>
          <w:b/>
          <w:bCs/>
          <w:highlight w:val="yellow"/>
          <w:lang w:val="en-GB"/>
        </w:rPr>
      </w:pPr>
      <w:r w:rsidRPr="003E1518">
        <w:rPr>
          <w:b/>
          <w:bCs/>
          <w:highlight w:val="yellow"/>
          <w:lang w:val="en-GB"/>
        </w:rPr>
        <w:t xml:space="preserve">- </w:t>
      </w:r>
      <w:r w:rsidR="000F4B88" w:rsidRPr="003E1518">
        <w:rPr>
          <w:b/>
          <w:bCs/>
          <w:highlight w:val="yellow"/>
          <w:lang w:val="en-GB"/>
        </w:rPr>
        <w:t>Corporate broker</w:t>
      </w:r>
    </w:p>
    <w:p w14:paraId="7FC1F78C" w14:textId="25CF51C9" w:rsidR="000F4B88" w:rsidRPr="003E1518" w:rsidRDefault="00261A22" w:rsidP="000F4B88">
      <w:pPr>
        <w:rPr>
          <w:b/>
          <w:bCs/>
          <w:highlight w:val="yellow"/>
          <w:lang w:val="en-GB"/>
        </w:rPr>
      </w:pPr>
      <w:r w:rsidRPr="003E1518">
        <w:rPr>
          <w:b/>
          <w:bCs/>
          <w:highlight w:val="yellow"/>
          <w:lang w:val="en-GB"/>
        </w:rPr>
        <w:t xml:space="preserve">- </w:t>
      </w:r>
      <w:r w:rsidR="000F4B88" w:rsidRPr="003E1518">
        <w:rPr>
          <w:b/>
          <w:bCs/>
          <w:highlight w:val="yellow"/>
          <w:lang w:val="en-GB"/>
        </w:rPr>
        <w:t>Reporting accountants</w:t>
      </w:r>
    </w:p>
    <w:p w14:paraId="6D9052E5" w14:textId="3FA3EEB2" w:rsidR="000F4B88" w:rsidRPr="003E1518" w:rsidRDefault="00261A22" w:rsidP="000F4B88">
      <w:pPr>
        <w:rPr>
          <w:b/>
          <w:bCs/>
          <w:highlight w:val="yellow"/>
          <w:lang w:val="en-GB"/>
        </w:rPr>
      </w:pPr>
      <w:r w:rsidRPr="003E1518">
        <w:rPr>
          <w:b/>
          <w:bCs/>
          <w:highlight w:val="yellow"/>
          <w:lang w:val="en-GB"/>
        </w:rPr>
        <w:t xml:space="preserve">- </w:t>
      </w:r>
      <w:r w:rsidR="000F4B88" w:rsidRPr="003E1518">
        <w:rPr>
          <w:b/>
          <w:bCs/>
          <w:highlight w:val="yellow"/>
          <w:lang w:val="en-GB"/>
        </w:rPr>
        <w:t>Sponsor</w:t>
      </w:r>
    </w:p>
    <w:p w14:paraId="0E39EE8A" w14:textId="210AE017" w:rsidR="000F4B88" w:rsidRPr="003E1518" w:rsidRDefault="00261A22" w:rsidP="000F4B88">
      <w:pPr>
        <w:rPr>
          <w:b/>
          <w:bCs/>
          <w:highlight w:val="yellow"/>
          <w:lang w:val="en-GB"/>
        </w:rPr>
      </w:pPr>
      <w:r w:rsidRPr="003E1518">
        <w:rPr>
          <w:b/>
          <w:bCs/>
          <w:highlight w:val="yellow"/>
          <w:lang w:val="en-GB"/>
        </w:rPr>
        <w:t xml:space="preserve">- </w:t>
      </w:r>
      <w:r w:rsidR="000F4B88" w:rsidRPr="003E1518">
        <w:rPr>
          <w:b/>
          <w:bCs/>
          <w:highlight w:val="yellow"/>
          <w:lang w:val="en-GB"/>
        </w:rPr>
        <w:t>Lawyer</w:t>
      </w:r>
    </w:p>
    <w:p w14:paraId="3AE6ACA3" w14:textId="70F8D0F3" w:rsidR="00261A22" w:rsidRPr="004D45B0" w:rsidRDefault="00261A22" w:rsidP="00261A22">
      <w:pPr>
        <w:rPr>
          <w:b/>
          <w:bCs/>
          <w:lang w:val="en-GB"/>
        </w:rPr>
      </w:pPr>
      <w:r w:rsidRPr="003E1518">
        <w:rPr>
          <w:b/>
          <w:bCs/>
          <w:highlight w:val="yellow"/>
          <w:lang w:val="en-GB"/>
        </w:rPr>
        <w:t>- Other advisors</w:t>
      </w:r>
    </w:p>
    <w:p w14:paraId="70526D2F" w14:textId="77777777" w:rsidR="00261A22" w:rsidRPr="00261A22" w:rsidRDefault="00261A22" w:rsidP="00261A22">
      <w:pPr>
        <w:rPr>
          <w:lang w:val="en-GB"/>
        </w:rPr>
      </w:pPr>
      <w:r w:rsidRPr="00261A22">
        <w:rPr>
          <w:lang w:val="en-GB"/>
        </w:rPr>
        <w:t>Each of these will be considered in turn.</w:t>
      </w:r>
    </w:p>
    <w:p w14:paraId="090362C3" w14:textId="77777777" w:rsidR="000A22A0" w:rsidRPr="000A22A0" w:rsidRDefault="000A22A0" w:rsidP="000A22A0">
      <w:pPr>
        <w:rPr>
          <w:lang w:val="en-GB"/>
        </w:rPr>
      </w:pPr>
      <w:r w:rsidRPr="000A22A0">
        <w:rPr>
          <w:lang w:val="en-GB"/>
        </w:rPr>
        <w:t xml:space="preserve">There are several parties that play a role when a company is applying for a listing. </w:t>
      </w:r>
    </w:p>
    <w:p w14:paraId="46E64928" w14:textId="77777777" w:rsidR="00DF6DF6" w:rsidRPr="00DF6DF6" w:rsidRDefault="00DF6DF6" w:rsidP="00DF6DF6">
      <w:pPr>
        <w:rPr>
          <w:lang w:val="en-GB"/>
        </w:rPr>
      </w:pPr>
      <w:r w:rsidRPr="00DF6DF6">
        <w:rPr>
          <w:lang w:val="en-GB"/>
        </w:rPr>
        <w:t xml:space="preserve">The </w:t>
      </w:r>
      <w:r w:rsidRPr="006A54BB">
        <w:rPr>
          <w:b/>
          <w:bCs/>
          <w:highlight w:val="green"/>
          <w:lang w:val="en-GB"/>
        </w:rPr>
        <w:t xml:space="preserve">investment bank </w:t>
      </w:r>
      <w:r w:rsidRPr="003E1518">
        <w:rPr>
          <w:highlight w:val="yellow"/>
          <w:lang w:val="en-GB"/>
        </w:rPr>
        <w:t>heads up the team of advisers.</w:t>
      </w:r>
      <w:r w:rsidRPr="00DF6DF6">
        <w:rPr>
          <w:lang w:val="en-GB"/>
        </w:rPr>
        <w:t xml:space="preserve"> It is sometimes referred to as the </w:t>
      </w:r>
      <w:r w:rsidRPr="003E1518">
        <w:rPr>
          <w:highlight w:val="yellow"/>
          <w:lang w:val="en-GB"/>
        </w:rPr>
        <w:t>'global co-ordinator', p</w:t>
      </w:r>
      <w:r w:rsidRPr="00DF6DF6">
        <w:rPr>
          <w:lang w:val="en-GB"/>
        </w:rPr>
        <w:t>articularly if the offer is being made in more than one country. Its functions can include:</w:t>
      </w:r>
    </w:p>
    <w:p w14:paraId="0B916491" w14:textId="77777777" w:rsidR="00DF6DF6" w:rsidRPr="003E1518" w:rsidRDefault="00DF6DF6" w:rsidP="00DF6DF6">
      <w:pPr>
        <w:numPr>
          <w:ilvl w:val="0"/>
          <w:numId w:val="1"/>
        </w:numPr>
        <w:rPr>
          <w:highlight w:val="yellow"/>
          <w:lang w:val="en-GB"/>
        </w:rPr>
      </w:pPr>
      <w:r w:rsidRPr="003E1518">
        <w:rPr>
          <w:highlight w:val="yellow"/>
          <w:lang w:val="en-GB"/>
        </w:rPr>
        <w:t>financial adviser – advising the company on the timing and structure of the offer, valuation, marketing, due diligence, targeting investors and investor expectations;</w:t>
      </w:r>
    </w:p>
    <w:p w14:paraId="63CBCAC4" w14:textId="77777777" w:rsidR="00DF6DF6" w:rsidRPr="003E1518" w:rsidRDefault="00DF6DF6" w:rsidP="00DF6DF6">
      <w:pPr>
        <w:numPr>
          <w:ilvl w:val="0"/>
          <w:numId w:val="1"/>
        </w:numPr>
        <w:rPr>
          <w:highlight w:val="yellow"/>
          <w:lang w:val="en-GB"/>
        </w:rPr>
      </w:pPr>
      <w:r w:rsidRPr="00DF6DF6">
        <w:rPr>
          <w:lang w:val="en-GB"/>
        </w:rPr>
        <w:t xml:space="preserve">acting as </w:t>
      </w:r>
      <w:r w:rsidRPr="003E1518">
        <w:rPr>
          <w:highlight w:val="yellow"/>
          <w:lang w:val="en-GB"/>
        </w:rPr>
        <w:t>lead underwriter;</w:t>
      </w:r>
    </w:p>
    <w:p w14:paraId="1C2EB4F8" w14:textId="77777777" w:rsidR="00DF6DF6" w:rsidRPr="003E1518" w:rsidRDefault="00DF6DF6" w:rsidP="00DF6DF6">
      <w:pPr>
        <w:numPr>
          <w:ilvl w:val="0"/>
          <w:numId w:val="1"/>
        </w:numPr>
        <w:rPr>
          <w:highlight w:val="yellow"/>
          <w:lang w:val="en-GB"/>
        </w:rPr>
      </w:pPr>
      <w:r w:rsidRPr="003E1518">
        <w:rPr>
          <w:highlight w:val="yellow"/>
          <w:lang w:val="en-GB"/>
        </w:rPr>
        <w:t>preparing research on the company;</w:t>
      </w:r>
    </w:p>
    <w:p w14:paraId="46E159EC" w14:textId="77777777" w:rsidR="00DF6DF6" w:rsidRPr="00DF6DF6" w:rsidRDefault="00DF6DF6" w:rsidP="00DF6DF6">
      <w:pPr>
        <w:numPr>
          <w:ilvl w:val="0"/>
          <w:numId w:val="1"/>
        </w:numPr>
        <w:rPr>
          <w:lang w:val="en-GB"/>
        </w:rPr>
      </w:pPr>
      <w:r w:rsidRPr="003E1518">
        <w:rPr>
          <w:highlight w:val="yellow"/>
          <w:lang w:val="en-GB"/>
        </w:rPr>
        <w:t>acting as broker</w:t>
      </w:r>
      <w:r w:rsidRPr="00DF6DF6">
        <w:rPr>
          <w:lang w:val="en-GB"/>
        </w:rPr>
        <w:t xml:space="preserve"> (as covered shortly); and</w:t>
      </w:r>
    </w:p>
    <w:p w14:paraId="4E4385AE" w14:textId="77777777" w:rsidR="00DF6DF6" w:rsidRPr="00DF6DF6" w:rsidRDefault="00DF6DF6" w:rsidP="00DF6DF6">
      <w:pPr>
        <w:numPr>
          <w:ilvl w:val="0"/>
          <w:numId w:val="1"/>
        </w:numPr>
        <w:rPr>
          <w:lang w:val="en-GB"/>
        </w:rPr>
      </w:pPr>
      <w:r w:rsidRPr="006A54BB">
        <w:rPr>
          <w:highlight w:val="green"/>
          <w:lang w:val="en-GB"/>
        </w:rPr>
        <w:t>acting as sponsor</w:t>
      </w:r>
      <w:r w:rsidRPr="00DF6DF6">
        <w:rPr>
          <w:lang w:val="en-GB"/>
        </w:rPr>
        <w:t xml:space="preserve"> (as covered shortly).</w:t>
      </w:r>
    </w:p>
    <w:p w14:paraId="2AFE3A20" w14:textId="77777777" w:rsidR="004C45F6" w:rsidRPr="004C45F6" w:rsidRDefault="004C45F6" w:rsidP="004C45F6">
      <w:pPr>
        <w:rPr>
          <w:lang w:val="en-GB"/>
        </w:rPr>
      </w:pPr>
      <w:r w:rsidRPr="006A54BB">
        <w:rPr>
          <w:b/>
          <w:bCs/>
          <w:highlight w:val="green"/>
        </w:rPr>
        <w:t>Brokers</w:t>
      </w:r>
      <w:r w:rsidRPr="006A54BB">
        <w:rPr>
          <w:highlight w:val="green"/>
        </w:rPr>
        <w:t xml:space="preserve"> act as agents for clients who want to buy or sell shares. </w:t>
      </w:r>
      <w:r w:rsidRPr="006A54BB">
        <w:t>They receive a commission for doing</w:t>
      </w:r>
      <w:r w:rsidRPr="004C45F6">
        <w:t xml:space="preserve"> this. Brokers often provide other services, such as </w:t>
      </w:r>
      <w:r w:rsidRPr="006A54BB">
        <w:rPr>
          <w:highlight w:val="yellow"/>
        </w:rPr>
        <w:t>advising companies on market conditions</w:t>
      </w:r>
      <w:r w:rsidRPr="004C45F6">
        <w:t xml:space="preserve"> and the </w:t>
      </w:r>
      <w:r w:rsidRPr="006A54BB">
        <w:rPr>
          <w:highlight w:val="yellow"/>
        </w:rPr>
        <w:t>demand for the shares</w:t>
      </w:r>
      <w:r w:rsidRPr="004C45F6">
        <w:t xml:space="preserve"> in relation to an IPO. </w:t>
      </w:r>
    </w:p>
    <w:p w14:paraId="7608AA93" w14:textId="77777777" w:rsidR="004C45F6" w:rsidRPr="004C45F6" w:rsidRDefault="004C45F6" w:rsidP="004C45F6">
      <w:pPr>
        <w:rPr>
          <w:lang w:val="en-GB"/>
        </w:rPr>
      </w:pPr>
      <w:r w:rsidRPr="004C45F6">
        <w:t xml:space="preserve">In the context of a primary issue, the broker will be responsible for </w:t>
      </w:r>
      <w:r w:rsidRPr="006A54BB">
        <w:rPr>
          <w:highlight w:val="yellow"/>
        </w:rPr>
        <w:t>finding investors for the shares.</w:t>
      </w:r>
      <w:r w:rsidRPr="004C45F6">
        <w:t xml:space="preserve"> </w:t>
      </w:r>
    </w:p>
    <w:p w14:paraId="236D2EBC" w14:textId="77777777" w:rsidR="00A94CD0" w:rsidRPr="00A94CD0" w:rsidRDefault="00A94CD0" w:rsidP="00A94CD0">
      <w:pPr>
        <w:rPr>
          <w:lang w:val="en-GB"/>
        </w:rPr>
      </w:pPr>
      <w:r w:rsidRPr="006A54BB">
        <w:rPr>
          <w:highlight w:val="yellow"/>
          <w:lang w:val="en-GB"/>
        </w:rPr>
        <w:t xml:space="preserve">A company wishing to undertake an IPO must appoint a firm of accountants </w:t>
      </w:r>
      <w:r w:rsidRPr="006A54BB">
        <w:rPr>
          <w:lang w:val="en-GB"/>
        </w:rPr>
        <w:t>to review the company’s historical financial information, recent trading and its financial systems and controls.</w:t>
      </w:r>
      <w:r w:rsidRPr="00A94CD0">
        <w:rPr>
          <w:lang w:val="en-GB"/>
        </w:rPr>
        <w:t xml:space="preserve">  Such </w:t>
      </w:r>
      <w:r w:rsidRPr="00A94CD0">
        <w:rPr>
          <w:b/>
          <w:bCs/>
          <w:lang w:val="en-GB"/>
        </w:rPr>
        <w:t xml:space="preserve">reporting accountants </w:t>
      </w:r>
      <w:r w:rsidRPr="00A94CD0">
        <w:rPr>
          <w:lang w:val="en-GB"/>
        </w:rPr>
        <w:t>will produce (amongst many other things): </w:t>
      </w:r>
    </w:p>
    <w:p w14:paraId="2EA6ADC0" w14:textId="77777777" w:rsidR="00A94CD0" w:rsidRPr="00A94CD0" w:rsidRDefault="00A94CD0" w:rsidP="00A94CD0">
      <w:pPr>
        <w:numPr>
          <w:ilvl w:val="0"/>
          <w:numId w:val="2"/>
        </w:numPr>
        <w:rPr>
          <w:lang w:val="en-GB"/>
        </w:rPr>
      </w:pPr>
      <w:r w:rsidRPr="00A94CD0">
        <w:rPr>
          <w:lang w:val="en-GB"/>
        </w:rPr>
        <w:t xml:space="preserve">the </w:t>
      </w:r>
      <w:r w:rsidRPr="006A54BB">
        <w:rPr>
          <w:highlight w:val="yellow"/>
          <w:lang w:val="en-GB"/>
        </w:rPr>
        <w:t>long-form report on the company’s business and financial affairs</w:t>
      </w:r>
      <w:r w:rsidRPr="00A94CD0">
        <w:rPr>
          <w:lang w:val="en-GB"/>
        </w:rPr>
        <w:t>;</w:t>
      </w:r>
    </w:p>
    <w:p w14:paraId="4B647538" w14:textId="77777777" w:rsidR="00A94CD0" w:rsidRPr="00A94CD0" w:rsidRDefault="00A94CD0" w:rsidP="00A94CD0">
      <w:pPr>
        <w:numPr>
          <w:ilvl w:val="0"/>
          <w:numId w:val="2"/>
        </w:numPr>
        <w:rPr>
          <w:lang w:val="en-GB"/>
        </w:rPr>
      </w:pPr>
      <w:r w:rsidRPr="006A54BB">
        <w:rPr>
          <w:highlight w:val="yellow"/>
          <w:lang w:val="en-GB"/>
        </w:rPr>
        <w:t>short-form report on historical financial</w:t>
      </w:r>
      <w:r w:rsidRPr="00A94CD0">
        <w:rPr>
          <w:lang w:val="en-GB"/>
        </w:rPr>
        <w:t xml:space="preserve"> information; </w:t>
      </w:r>
    </w:p>
    <w:p w14:paraId="67F1B058" w14:textId="77777777" w:rsidR="00A94CD0" w:rsidRPr="00A94CD0" w:rsidRDefault="00A94CD0" w:rsidP="00A94CD0">
      <w:pPr>
        <w:numPr>
          <w:ilvl w:val="0"/>
          <w:numId w:val="2"/>
        </w:numPr>
        <w:rPr>
          <w:lang w:val="en-GB"/>
        </w:rPr>
      </w:pPr>
      <w:r w:rsidRPr="6EB79EC1">
        <w:rPr>
          <w:lang w:val="en-GB"/>
        </w:rPr>
        <w:lastRenderedPageBreak/>
        <w:t xml:space="preserve">the </w:t>
      </w:r>
      <w:r w:rsidRPr="006A54BB">
        <w:rPr>
          <w:highlight w:val="yellow"/>
          <w:lang w:val="en-GB"/>
        </w:rPr>
        <w:t>financial position and prospectus procedures report ('</w:t>
      </w:r>
      <w:r w:rsidRPr="006A54BB">
        <w:rPr>
          <w:b/>
          <w:bCs/>
          <w:highlight w:val="yellow"/>
          <w:lang w:val="en-GB"/>
        </w:rPr>
        <w:t>FPPP</w:t>
      </w:r>
      <w:r w:rsidRPr="006A54BB">
        <w:rPr>
          <w:highlight w:val="yellow"/>
          <w:lang w:val="en-GB"/>
        </w:rPr>
        <w:t>'</w:t>
      </w:r>
      <w:r w:rsidRPr="6EB79EC1">
        <w:rPr>
          <w:lang w:val="en-GB"/>
        </w:rPr>
        <w:t>);</w:t>
      </w:r>
    </w:p>
    <w:p w14:paraId="3E07195A" w14:textId="77777777" w:rsidR="00A94CD0" w:rsidRPr="00A94CD0" w:rsidRDefault="00A94CD0" w:rsidP="00A94CD0">
      <w:pPr>
        <w:numPr>
          <w:ilvl w:val="0"/>
          <w:numId w:val="2"/>
        </w:numPr>
        <w:rPr>
          <w:lang w:val="en-GB"/>
        </w:rPr>
      </w:pPr>
      <w:r w:rsidRPr="00A94CD0">
        <w:rPr>
          <w:lang w:val="en-GB"/>
        </w:rPr>
        <w:t xml:space="preserve">the </w:t>
      </w:r>
      <w:r w:rsidRPr="006A54BB">
        <w:rPr>
          <w:highlight w:val="yellow"/>
          <w:lang w:val="en-GB"/>
        </w:rPr>
        <w:t>working capital review for the prospectus</w:t>
      </w:r>
      <w:r w:rsidRPr="00A94CD0">
        <w:rPr>
          <w:lang w:val="en-GB"/>
        </w:rPr>
        <w:t>; plus </w:t>
      </w:r>
    </w:p>
    <w:p w14:paraId="3164756D" w14:textId="77777777" w:rsidR="00A94CD0" w:rsidRPr="00A94CD0" w:rsidRDefault="00A94CD0" w:rsidP="00A94CD0">
      <w:pPr>
        <w:numPr>
          <w:ilvl w:val="0"/>
          <w:numId w:val="2"/>
        </w:numPr>
        <w:rPr>
          <w:lang w:val="en-GB"/>
        </w:rPr>
      </w:pPr>
      <w:r w:rsidRPr="00A94CD0">
        <w:rPr>
          <w:lang w:val="en-GB"/>
        </w:rPr>
        <w:t>various comfort letters.  </w:t>
      </w:r>
    </w:p>
    <w:p w14:paraId="1C908C6E" w14:textId="0FF00EFB" w:rsidR="007A3060" w:rsidRPr="007A3060" w:rsidRDefault="007A3060" w:rsidP="007A3060">
      <w:pPr>
        <w:rPr>
          <w:lang w:val="en-GB"/>
        </w:rPr>
      </w:pPr>
      <w:r w:rsidRPr="006A54BB">
        <w:rPr>
          <w:b/>
          <w:bCs/>
          <w:highlight w:val="green"/>
          <w:lang w:val="en-GB"/>
        </w:rPr>
        <w:t>Sponsors must be approved by the FCA</w:t>
      </w:r>
      <w:r w:rsidR="004062A0">
        <w:rPr>
          <w:lang w:val="en-GB"/>
        </w:rPr>
        <w:t xml:space="preserve"> </w:t>
      </w:r>
      <w:r w:rsidR="004062A0" w:rsidRPr="006A54BB">
        <w:rPr>
          <w:highlight w:val="green"/>
          <w:lang w:val="en-GB"/>
        </w:rPr>
        <w:t>under s.88 FSMA</w:t>
      </w:r>
      <w:r w:rsidRPr="6EB79EC1">
        <w:rPr>
          <w:lang w:val="en-GB"/>
        </w:rPr>
        <w:t xml:space="preserve">. There are approximately </w:t>
      </w:r>
      <w:r w:rsidRPr="006A54BB">
        <w:rPr>
          <w:highlight w:val="yellow"/>
          <w:lang w:val="en-GB"/>
        </w:rPr>
        <w:t>40 approved sponsors in the UK on the FCA's approved sponsor list</w:t>
      </w:r>
      <w:r w:rsidRPr="6EB79EC1">
        <w:rPr>
          <w:lang w:val="en-GB"/>
        </w:rPr>
        <w:t>.</w:t>
      </w:r>
      <w:r w:rsidR="004B7452">
        <w:rPr>
          <w:lang w:val="en-GB"/>
        </w:rPr>
        <w:t xml:space="preserve"> </w:t>
      </w:r>
      <w:r w:rsidR="006175DB">
        <w:rPr>
          <w:lang w:val="en-GB"/>
        </w:rPr>
        <w:t xml:space="preserve">Broadly the role of sponsors is to </w:t>
      </w:r>
      <w:r w:rsidR="006175DB" w:rsidRPr="006A54BB">
        <w:rPr>
          <w:highlight w:val="yellow"/>
          <w:lang w:val="en-GB"/>
        </w:rPr>
        <w:t>provide comfort to the FCA and the markets</w:t>
      </w:r>
      <w:r w:rsidR="006175DB">
        <w:rPr>
          <w:lang w:val="en-GB"/>
        </w:rPr>
        <w:t xml:space="preserve"> that the issuing </w:t>
      </w:r>
      <w:r w:rsidR="006175DB" w:rsidRPr="006A54BB">
        <w:rPr>
          <w:highlight w:val="yellow"/>
          <w:lang w:val="en-GB"/>
        </w:rPr>
        <w:t xml:space="preserve">companies are complying with the </w:t>
      </w:r>
      <w:r w:rsidR="003210C1" w:rsidRPr="006A54BB">
        <w:rPr>
          <w:highlight w:val="yellow"/>
          <w:lang w:val="en-GB"/>
        </w:rPr>
        <w:t xml:space="preserve">various </w:t>
      </w:r>
      <w:r w:rsidR="006175DB" w:rsidRPr="006A54BB">
        <w:rPr>
          <w:highlight w:val="yellow"/>
          <w:lang w:val="en-GB"/>
        </w:rPr>
        <w:t>rules</w:t>
      </w:r>
      <w:r w:rsidR="006175DB">
        <w:rPr>
          <w:lang w:val="en-GB"/>
        </w:rPr>
        <w:t>.</w:t>
      </w:r>
      <w:r w:rsidR="00EF04AF">
        <w:rPr>
          <w:lang w:val="en-GB"/>
        </w:rPr>
        <w:t xml:space="preserve"> </w:t>
      </w:r>
      <w:r w:rsidR="004B7452">
        <w:rPr>
          <w:lang w:val="en-GB"/>
        </w:rPr>
        <w:t xml:space="preserve">Sponsors will provide the sponsor service </w:t>
      </w:r>
      <w:r w:rsidR="00EC3F13">
        <w:rPr>
          <w:lang w:val="en-GB"/>
        </w:rPr>
        <w:t xml:space="preserve">set out </w:t>
      </w:r>
      <w:r w:rsidR="00EC3F13" w:rsidRPr="006A54BB">
        <w:rPr>
          <w:highlight w:val="green"/>
          <w:lang w:val="en-GB"/>
        </w:rPr>
        <w:t>in UKLR 4.2</w:t>
      </w:r>
      <w:r w:rsidR="007D40B0" w:rsidRPr="006A54BB">
        <w:rPr>
          <w:highlight w:val="green"/>
          <w:lang w:val="en-GB"/>
        </w:rPr>
        <w:t>.</w:t>
      </w:r>
      <w:r w:rsidR="007D40B0">
        <w:rPr>
          <w:lang w:val="en-GB"/>
        </w:rPr>
        <w:t xml:space="preserve"> </w:t>
      </w:r>
    </w:p>
    <w:p w14:paraId="4B1E3C5C" w14:textId="077B7679" w:rsidR="007A3060" w:rsidRDefault="65E102C9" w:rsidP="6EB79EC1">
      <w:pPr>
        <w:rPr>
          <w:lang w:val="en-GB"/>
        </w:rPr>
      </w:pPr>
      <w:r w:rsidRPr="6EB79EC1">
        <w:rPr>
          <w:lang w:val="en-GB"/>
        </w:rPr>
        <w:t xml:space="preserve">A </w:t>
      </w:r>
      <w:r w:rsidR="7A84C494" w:rsidRPr="6EB79EC1">
        <w:rPr>
          <w:lang w:val="en-GB"/>
        </w:rPr>
        <w:t xml:space="preserve">listed </w:t>
      </w:r>
      <w:r w:rsidRPr="6EB79EC1">
        <w:rPr>
          <w:lang w:val="en-GB"/>
        </w:rPr>
        <w:t>company</w:t>
      </w:r>
      <w:r w:rsidR="1F203501" w:rsidRPr="6EB79EC1">
        <w:rPr>
          <w:lang w:val="en-GB"/>
        </w:rPr>
        <w:t xml:space="preserve"> </w:t>
      </w:r>
      <w:r w:rsidR="7A76E4D6" w:rsidRPr="6EB79EC1">
        <w:rPr>
          <w:lang w:val="en-GB"/>
        </w:rPr>
        <w:t>or company apply</w:t>
      </w:r>
      <w:r w:rsidR="0034005F">
        <w:rPr>
          <w:lang w:val="en-GB"/>
        </w:rPr>
        <w:t>ing</w:t>
      </w:r>
      <w:r w:rsidR="7A76E4D6" w:rsidRPr="6EB79EC1">
        <w:rPr>
          <w:lang w:val="en-GB"/>
        </w:rPr>
        <w:t xml:space="preserve"> for its admission of equity shares</w:t>
      </w:r>
      <w:r w:rsidRPr="6EB79EC1">
        <w:rPr>
          <w:lang w:val="en-GB"/>
        </w:rPr>
        <w:t xml:space="preserve"> is required to </w:t>
      </w:r>
      <w:r w:rsidRPr="006A54BB">
        <w:rPr>
          <w:highlight w:val="yellow"/>
          <w:lang w:val="en-GB"/>
        </w:rPr>
        <w:t>appoint a sponsor</w:t>
      </w:r>
      <w:r w:rsidRPr="6EB79EC1">
        <w:rPr>
          <w:rFonts w:ascii="Calibri" w:eastAsia="Calibri" w:hAnsi="Calibri" w:cs="Calibri"/>
          <w:lang w:val="en-GB"/>
        </w:rPr>
        <w:t xml:space="preserve"> </w:t>
      </w:r>
      <w:r w:rsidR="007A3060" w:rsidRPr="6EB79EC1">
        <w:rPr>
          <w:lang w:val="en-GB"/>
        </w:rPr>
        <w:t>for a number of matters, including:</w:t>
      </w:r>
    </w:p>
    <w:p w14:paraId="65EFB24D" w14:textId="19A3337F" w:rsidR="007A3060" w:rsidRPr="007A3060" w:rsidRDefault="00D61BC4" w:rsidP="007A3060">
      <w:pPr>
        <w:numPr>
          <w:ilvl w:val="0"/>
          <w:numId w:val="3"/>
        </w:numPr>
        <w:rPr>
          <w:lang w:val="en-GB"/>
        </w:rPr>
      </w:pPr>
      <w:r>
        <w:rPr>
          <w:lang w:val="en-GB"/>
        </w:rPr>
        <w:t>w</w:t>
      </w:r>
      <w:r w:rsidR="67816FEA" w:rsidRPr="6EB79EC1">
        <w:rPr>
          <w:lang w:val="en-GB"/>
        </w:rPr>
        <w:t xml:space="preserve">hen </w:t>
      </w:r>
      <w:r w:rsidR="67816FEA" w:rsidRPr="006A54BB">
        <w:rPr>
          <w:highlight w:val="yellow"/>
          <w:lang w:val="en-GB"/>
        </w:rPr>
        <w:t xml:space="preserve">submitting a prospectus or </w:t>
      </w:r>
      <w:r w:rsidR="00076BB1" w:rsidRPr="006A54BB">
        <w:rPr>
          <w:highlight w:val="yellow"/>
          <w:lang w:val="en-GB"/>
        </w:rPr>
        <w:t>supplementary</w:t>
      </w:r>
      <w:r w:rsidR="67816FEA" w:rsidRPr="006A54BB">
        <w:rPr>
          <w:highlight w:val="yellow"/>
          <w:lang w:val="en-GB"/>
        </w:rPr>
        <w:t xml:space="preserve"> prospectus</w:t>
      </w:r>
      <w:r w:rsidR="67816FEA" w:rsidRPr="6EB79EC1">
        <w:rPr>
          <w:lang w:val="en-GB"/>
        </w:rPr>
        <w:t xml:space="preserve"> to the FCA for approval;</w:t>
      </w:r>
    </w:p>
    <w:p w14:paraId="28088F01" w14:textId="77777777" w:rsidR="0029736B" w:rsidRPr="0029736B" w:rsidRDefault="0029736B" w:rsidP="0029736B">
      <w:pPr>
        <w:numPr>
          <w:ilvl w:val="0"/>
          <w:numId w:val="3"/>
        </w:numPr>
        <w:rPr>
          <w:lang w:val="en-GB"/>
        </w:rPr>
      </w:pPr>
      <w:r w:rsidRPr="0029736B">
        <w:rPr>
          <w:lang w:val="en-GB"/>
        </w:rPr>
        <w:t xml:space="preserve">when required to </w:t>
      </w:r>
      <w:r w:rsidRPr="006A54BB">
        <w:rPr>
          <w:highlight w:val="yellow"/>
          <w:lang w:val="en-GB"/>
        </w:rPr>
        <w:t>submit a reverse takeover circular for approval</w:t>
      </w:r>
      <w:r w:rsidRPr="0029736B">
        <w:rPr>
          <w:lang w:val="en-GB"/>
        </w:rPr>
        <w:t>;</w:t>
      </w:r>
    </w:p>
    <w:p w14:paraId="19DD97CB" w14:textId="2538831B" w:rsidR="000F4DFB" w:rsidRPr="001159ED" w:rsidRDefault="0029736B" w:rsidP="001159ED">
      <w:pPr>
        <w:numPr>
          <w:ilvl w:val="0"/>
          <w:numId w:val="3"/>
        </w:numPr>
        <w:rPr>
          <w:lang w:val="en-GB"/>
        </w:rPr>
      </w:pPr>
      <w:r w:rsidRPr="0029736B">
        <w:rPr>
          <w:lang w:val="en-GB"/>
        </w:rPr>
        <w:t xml:space="preserve">to give an </w:t>
      </w:r>
      <w:r w:rsidRPr="006A54BB">
        <w:rPr>
          <w:highlight w:val="yellow"/>
          <w:lang w:val="en-GB"/>
        </w:rPr>
        <w:t>opinion that the terms of a material transaction</w:t>
      </w:r>
      <w:r w:rsidRPr="0029736B">
        <w:rPr>
          <w:lang w:val="en-GB"/>
        </w:rPr>
        <w:t xml:space="preserve"> with a related party are "</w:t>
      </w:r>
      <w:r w:rsidRPr="006A54BB">
        <w:rPr>
          <w:highlight w:val="yellow"/>
          <w:lang w:val="en-GB"/>
        </w:rPr>
        <w:t>fair and reasonable" as far as shareholders</w:t>
      </w:r>
      <w:r w:rsidRPr="0029736B">
        <w:rPr>
          <w:lang w:val="en-GB"/>
        </w:rPr>
        <w:t xml:space="preserve"> are concerned</w:t>
      </w:r>
      <w:r w:rsidR="00BD3ADA" w:rsidRPr="001159ED">
        <w:rPr>
          <w:lang w:val="en-GB"/>
        </w:rPr>
        <w:t>;</w:t>
      </w:r>
    </w:p>
    <w:p w14:paraId="4154CD37" w14:textId="176BBA01" w:rsidR="00BD3ADA" w:rsidRDefault="001C1976" w:rsidP="6EB79EC1">
      <w:pPr>
        <w:numPr>
          <w:ilvl w:val="0"/>
          <w:numId w:val="3"/>
        </w:numPr>
        <w:rPr>
          <w:lang w:val="en-GB"/>
        </w:rPr>
      </w:pPr>
      <w:r>
        <w:rPr>
          <w:lang w:val="en-GB"/>
        </w:rPr>
        <w:t>when required b</w:t>
      </w:r>
      <w:r w:rsidR="00C73D30">
        <w:rPr>
          <w:lang w:val="en-GB"/>
        </w:rPr>
        <w:t>y</w:t>
      </w:r>
      <w:r>
        <w:rPr>
          <w:lang w:val="en-GB"/>
        </w:rPr>
        <w:t xml:space="preserve"> the FCA as there </w:t>
      </w:r>
      <w:r w:rsidR="00C73D30">
        <w:rPr>
          <w:lang w:val="en-GB"/>
        </w:rPr>
        <w:t xml:space="preserve">may have been a </w:t>
      </w:r>
      <w:r w:rsidR="00C73D30" w:rsidRPr="006A54BB">
        <w:rPr>
          <w:highlight w:val="yellow"/>
          <w:lang w:val="en-GB"/>
        </w:rPr>
        <w:t>breach of the UKLRs or the DTRs</w:t>
      </w:r>
      <w:r w:rsidR="00396114" w:rsidRPr="006A54BB">
        <w:rPr>
          <w:highlight w:val="yellow"/>
          <w:lang w:val="en-GB"/>
        </w:rPr>
        <w:t>;</w:t>
      </w:r>
      <w:r w:rsidR="00396114">
        <w:rPr>
          <w:lang w:val="en-GB"/>
        </w:rPr>
        <w:t xml:space="preserve"> and</w:t>
      </w:r>
    </w:p>
    <w:p w14:paraId="4299D30D" w14:textId="3A12F525" w:rsidR="00D11D80" w:rsidRDefault="00824F2A" w:rsidP="6EB79EC1">
      <w:pPr>
        <w:numPr>
          <w:ilvl w:val="0"/>
          <w:numId w:val="3"/>
        </w:numPr>
        <w:rPr>
          <w:lang w:val="en-GB"/>
        </w:rPr>
      </w:pPr>
      <w:r>
        <w:rPr>
          <w:lang w:val="en-GB"/>
        </w:rPr>
        <w:t xml:space="preserve">where </w:t>
      </w:r>
      <w:r w:rsidRPr="006A54BB">
        <w:rPr>
          <w:highlight w:val="yellow"/>
          <w:lang w:val="en-GB"/>
        </w:rPr>
        <w:t>required by the FCA</w:t>
      </w:r>
      <w:r>
        <w:rPr>
          <w:lang w:val="en-GB"/>
        </w:rPr>
        <w:t xml:space="preserve"> to have a sponsor letter setting out how an </w:t>
      </w:r>
      <w:r w:rsidR="00492C48">
        <w:rPr>
          <w:lang w:val="en-GB"/>
        </w:rPr>
        <w:t>applicant (</w:t>
      </w:r>
      <w:r w:rsidR="00D11D80">
        <w:rPr>
          <w:lang w:val="en-GB"/>
        </w:rPr>
        <w:t xml:space="preserve">an </w:t>
      </w:r>
      <w:r w:rsidR="00492C48">
        <w:rPr>
          <w:lang w:val="en-GB"/>
        </w:rPr>
        <w:t>issuer apply for admission of securities)</w:t>
      </w:r>
      <w:r w:rsidR="00B81E51">
        <w:rPr>
          <w:lang w:val="en-GB"/>
        </w:rPr>
        <w:t xml:space="preserve"> satisfies the criteria </w:t>
      </w:r>
      <w:r w:rsidR="00134AB5">
        <w:rPr>
          <w:lang w:val="en-GB"/>
        </w:rPr>
        <w:t xml:space="preserve">set out </w:t>
      </w:r>
      <w:r w:rsidR="00B81E51">
        <w:rPr>
          <w:lang w:val="en-GB"/>
        </w:rPr>
        <w:t>i</w:t>
      </w:r>
      <w:r w:rsidR="00D11D80">
        <w:rPr>
          <w:lang w:val="en-GB"/>
        </w:rPr>
        <w:t>n:</w:t>
      </w:r>
      <w:r w:rsidR="00B81E51">
        <w:rPr>
          <w:lang w:val="en-GB"/>
        </w:rPr>
        <w:t xml:space="preserve"> </w:t>
      </w:r>
    </w:p>
    <w:p w14:paraId="013188C8" w14:textId="77777777" w:rsidR="00D11D80" w:rsidRDefault="008F13B5" w:rsidP="00D11D80">
      <w:pPr>
        <w:numPr>
          <w:ilvl w:val="1"/>
          <w:numId w:val="3"/>
        </w:numPr>
        <w:rPr>
          <w:lang w:val="en-GB"/>
        </w:rPr>
      </w:pPr>
      <w:r>
        <w:rPr>
          <w:lang w:val="en-GB"/>
        </w:rPr>
        <w:t>UKLR 3 (requirements for listing all securities</w:t>
      </w:r>
      <w:r w:rsidR="00422557">
        <w:rPr>
          <w:lang w:val="en-GB"/>
        </w:rPr>
        <w:t>)</w:t>
      </w:r>
      <w:r w:rsidR="00D11D80">
        <w:rPr>
          <w:lang w:val="en-GB"/>
        </w:rPr>
        <w:t>;</w:t>
      </w:r>
    </w:p>
    <w:p w14:paraId="6ED9D2E9" w14:textId="77777777" w:rsidR="00D11D80" w:rsidRDefault="00422557" w:rsidP="00D11D80">
      <w:pPr>
        <w:numPr>
          <w:ilvl w:val="1"/>
          <w:numId w:val="3"/>
        </w:numPr>
        <w:rPr>
          <w:lang w:val="en-GB"/>
        </w:rPr>
      </w:pPr>
      <w:r>
        <w:rPr>
          <w:lang w:val="en-GB"/>
        </w:rPr>
        <w:t>UKLR 5 (requirements for listing equity shares (commercial companies))</w:t>
      </w:r>
      <w:r w:rsidR="00D11D80">
        <w:rPr>
          <w:lang w:val="en-GB"/>
        </w:rPr>
        <w:t>;</w:t>
      </w:r>
    </w:p>
    <w:p w14:paraId="7CD37BE0" w14:textId="77777777" w:rsidR="00D11D80" w:rsidRDefault="00422557" w:rsidP="00D11D80">
      <w:pPr>
        <w:numPr>
          <w:ilvl w:val="1"/>
          <w:numId w:val="3"/>
        </w:numPr>
        <w:rPr>
          <w:lang w:val="en-GB"/>
        </w:rPr>
      </w:pPr>
      <w:r>
        <w:rPr>
          <w:lang w:val="en-GB"/>
        </w:rPr>
        <w:t>UKLR</w:t>
      </w:r>
      <w:r w:rsidR="00D11D80">
        <w:rPr>
          <w:lang w:val="en-GB"/>
        </w:rPr>
        <w:t xml:space="preserve"> 11</w:t>
      </w:r>
      <w:r w:rsidR="00EB6C75">
        <w:rPr>
          <w:lang w:val="en-GB"/>
        </w:rPr>
        <w:t xml:space="preserve"> (closed ended</w:t>
      </w:r>
      <w:r w:rsidR="00C4338B">
        <w:rPr>
          <w:lang w:val="en-GB"/>
        </w:rPr>
        <w:t xml:space="preserve"> investment funds)</w:t>
      </w:r>
      <w:r w:rsidR="00D11D80">
        <w:rPr>
          <w:lang w:val="en-GB"/>
        </w:rPr>
        <w:t>;</w:t>
      </w:r>
      <w:r w:rsidR="00C4338B">
        <w:rPr>
          <w:lang w:val="en-GB"/>
        </w:rPr>
        <w:t xml:space="preserve"> and </w:t>
      </w:r>
    </w:p>
    <w:p w14:paraId="7DCB1DB2" w14:textId="77777777" w:rsidR="00566668" w:rsidRDefault="00C4338B" w:rsidP="00566668">
      <w:pPr>
        <w:numPr>
          <w:ilvl w:val="1"/>
          <w:numId w:val="3"/>
        </w:numPr>
        <w:rPr>
          <w:lang w:val="en-GB"/>
        </w:rPr>
      </w:pPr>
      <w:r>
        <w:rPr>
          <w:lang w:val="en-GB"/>
        </w:rPr>
        <w:t>UKLR 13 (equity shares (shell companies)).</w:t>
      </w:r>
    </w:p>
    <w:p w14:paraId="47FA14FD" w14:textId="338FCECB" w:rsidR="00F46DA9" w:rsidRDefault="00F46DA9" w:rsidP="004D45B0">
      <w:pPr>
        <w:rPr>
          <w:lang w:val="en-GB"/>
        </w:rPr>
      </w:pPr>
      <w:r w:rsidRPr="00F46DA9">
        <w:t>The focus of this knowledge stream will be listing equity shares in the commercial companies ('</w:t>
      </w:r>
      <w:r w:rsidRPr="00F46DA9">
        <w:rPr>
          <w:b/>
          <w:bCs/>
        </w:rPr>
        <w:t>ESCC</w:t>
      </w:r>
      <w:r w:rsidRPr="00F46DA9">
        <w:t>') category.</w:t>
      </w:r>
    </w:p>
    <w:p w14:paraId="55233F51" w14:textId="3C91FF40" w:rsidR="00C73D30" w:rsidRPr="00566668" w:rsidRDefault="00D11D80" w:rsidP="004D45B0">
      <w:pPr>
        <w:rPr>
          <w:lang w:val="en-GB"/>
        </w:rPr>
      </w:pPr>
      <w:r w:rsidRPr="00566668">
        <w:rPr>
          <w:lang w:val="en-GB"/>
        </w:rPr>
        <w:t>We do not cover UKLR 11 or UKLR 13 in further detail</w:t>
      </w:r>
      <w:r w:rsidR="00BF325A" w:rsidRPr="00566668">
        <w:rPr>
          <w:lang w:val="en-GB"/>
        </w:rPr>
        <w:t>.</w:t>
      </w:r>
    </w:p>
    <w:p w14:paraId="0976A627" w14:textId="3D43DAD1" w:rsidR="00052293" w:rsidRDefault="00495AFA" w:rsidP="00495AFA">
      <w:pPr>
        <w:rPr>
          <w:lang w:val="en-GB"/>
        </w:rPr>
      </w:pPr>
      <w:r w:rsidRPr="6EB79EC1">
        <w:rPr>
          <w:lang w:val="en-GB"/>
        </w:rPr>
        <w:t xml:space="preserve">The </w:t>
      </w:r>
      <w:r w:rsidRPr="006A54BB">
        <w:rPr>
          <w:highlight w:val="green"/>
          <w:lang w:val="en-GB"/>
        </w:rPr>
        <w:t xml:space="preserve">responsibilities of a </w:t>
      </w:r>
      <w:r w:rsidRPr="006A54BB">
        <w:rPr>
          <w:b/>
          <w:bCs/>
          <w:highlight w:val="green"/>
          <w:lang w:val="en-GB"/>
        </w:rPr>
        <w:t>sponsor</w:t>
      </w:r>
      <w:r w:rsidRPr="006A54BB">
        <w:rPr>
          <w:highlight w:val="green"/>
          <w:lang w:val="en-GB"/>
        </w:rPr>
        <w:t xml:space="preserve"> are set out in </w:t>
      </w:r>
      <w:r w:rsidR="6FA65AF7" w:rsidRPr="006A54BB">
        <w:rPr>
          <w:b/>
          <w:bCs/>
          <w:highlight w:val="green"/>
          <w:lang w:val="en-GB"/>
        </w:rPr>
        <w:t>UK</w:t>
      </w:r>
      <w:r w:rsidRPr="006A54BB">
        <w:rPr>
          <w:b/>
          <w:bCs/>
          <w:highlight w:val="green"/>
          <w:lang w:val="en-GB"/>
        </w:rPr>
        <w:t>LR</w:t>
      </w:r>
      <w:r w:rsidR="12C9977E" w:rsidRPr="006A54BB">
        <w:rPr>
          <w:b/>
          <w:bCs/>
          <w:highlight w:val="green"/>
          <w:lang w:val="en-GB"/>
        </w:rPr>
        <w:t xml:space="preserve"> </w:t>
      </w:r>
      <w:r w:rsidR="00A14597" w:rsidRPr="006A54BB">
        <w:rPr>
          <w:b/>
          <w:bCs/>
          <w:highlight w:val="green"/>
          <w:lang w:val="en-GB"/>
        </w:rPr>
        <w:t>2</w:t>
      </w:r>
      <w:r w:rsidR="12C9977E" w:rsidRPr="006A54BB">
        <w:rPr>
          <w:b/>
          <w:bCs/>
          <w:highlight w:val="green"/>
          <w:lang w:val="en-GB"/>
        </w:rPr>
        <w:t>4</w:t>
      </w:r>
      <w:r w:rsidRPr="006A54BB">
        <w:rPr>
          <w:b/>
          <w:bCs/>
          <w:highlight w:val="green"/>
          <w:lang w:val="en-GB"/>
        </w:rPr>
        <w:t>.</w:t>
      </w:r>
      <w:r w:rsidR="008761E0" w:rsidRPr="006A54BB">
        <w:rPr>
          <w:b/>
          <w:bCs/>
          <w:highlight w:val="green"/>
          <w:lang w:val="en-GB"/>
        </w:rPr>
        <w:t>2</w:t>
      </w:r>
      <w:r w:rsidR="000F4DFB" w:rsidRPr="006A54BB">
        <w:rPr>
          <w:b/>
          <w:bCs/>
          <w:highlight w:val="green"/>
          <w:lang w:val="en-GB"/>
        </w:rPr>
        <w:t xml:space="preserve"> – 24.</w:t>
      </w:r>
      <w:r w:rsidR="008761E0" w:rsidRPr="006A54BB">
        <w:rPr>
          <w:b/>
          <w:bCs/>
          <w:highlight w:val="green"/>
          <w:lang w:val="en-GB"/>
        </w:rPr>
        <w:t>3</w:t>
      </w:r>
      <w:r w:rsidRPr="6EB79EC1">
        <w:rPr>
          <w:lang w:val="en-GB"/>
        </w:rPr>
        <w:t xml:space="preserve"> </w:t>
      </w:r>
      <w:r w:rsidRPr="006A54BB">
        <w:rPr>
          <w:highlight w:val="yellow"/>
          <w:lang w:val="en-GB"/>
        </w:rPr>
        <w:t>Generally, it will be the sponsor who drives and project-manages the process of applying for a listing</w:t>
      </w:r>
      <w:r w:rsidRPr="6EB79EC1">
        <w:rPr>
          <w:lang w:val="en-GB"/>
        </w:rPr>
        <w:t>.</w:t>
      </w:r>
      <w:r w:rsidR="00722F84">
        <w:rPr>
          <w:lang w:val="en-GB"/>
        </w:rPr>
        <w:t xml:space="preserve"> </w:t>
      </w:r>
      <w:r w:rsidR="0039651D">
        <w:rPr>
          <w:lang w:val="en-GB"/>
        </w:rPr>
        <w:t xml:space="preserve">The sponsor will guide the issuer in understanding and meeting its </w:t>
      </w:r>
      <w:r w:rsidR="00923BBB">
        <w:rPr>
          <w:lang w:val="en-GB"/>
        </w:rPr>
        <w:t>responsibilities</w:t>
      </w:r>
      <w:r w:rsidR="0039651D">
        <w:rPr>
          <w:lang w:val="en-GB"/>
        </w:rPr>
        <w:t xml:space="preserve"> under t</w:t>
      </w:r>
      <w:r w:rsidR="00923BBB">
        <w:rPr>
          <w:lang w:val="en-GB"/>
        </w:rPr>
        <w:t>he UKLRs and the PRRs</w:t>
      </w:r>
    </w:p>
    <w:p w14:paraId="36D16FF6" w14:textId="138FCF36" w:rsidR="00495AFA" w:rsidRDefault="00722F84" w:rsidP="00495AFA">
      <w:pPr>
        <w:rPr>
          <w:lang w:val="en-GB"/>
        </w:rPr>
      </w:pPr>
      <w:r>
        <w:rPr>
          <w:lang w:val="en-GB"/>
        </w:rPr>
        <w:t xml:space="preserve">The sponsor will provide the </w:t>
      </w:r>
      <w:r w:rsidRPr="006A54BB">
        <w:rPr>
          <w:highlight w:val="yellow"/>
          <w:lang w:val="en-GB"/>
        </w:rPr>
        <w:t>FCA with assurances,</w:t>
      </w:r>
      <w:r>
        <w:rPr>
          <w:lang w:val="en-GB"/>
        </w:rPr>
        <w:t xml:space="preserve"> explanations and </w:t>
      </w:r>
      <w:r w:rsidR="00066C66">
        <w:rPr>
          <w:lang w:val="en-GB"/>
        </w:rPr>
        <w:t xml:space="preserve">confirmations regarding </w:t>
      </w:r>
      <w:r w:rsidR="00EF2E07">
        <w:rPr>
          <w:lang w:val="en-GB"/>
        </w:rPr>
        <w:t xml:space="preserve">issuers of equity shares and </w:t>
      </w:r>
      <w:r w:rsidR="00B33C22">
        <w:rPr>
          <w:lang w:val="en-GB"/>
        </w:rPr>
        <w:t>those applying for admission of equity shares</w:t>
      </w:r>
      <w:r w:rsidR="008C5CBB">
        <w:rPr>
          <w:lang w:val="en-GB"/>
        </w:rPr>
        <w:t xml:space="preserve"> under the UKLR</w:t>
      </w:r>
      <w:r w:rsidR="00437C37">
        <w:rPr>
          <w:lang w:val="en-GB"/>
        </w:rPr>
        <w:t>s and the PRRs.</w:t>
      </w:r>
    </w:p>
    <w:p w14:paraId="7CC3D713" w14:textId="5F683AB6" w:rsidR="008D4A3B" w:rsidRPr="00495AFA" w:rsidRDefault="008D4A3B" w:rsidP="00495AFA">
      <w:pPr>
        <w:rPr>
          <w:lang w:val="en-GB"/>
        </w:rPr>
      </w:pPr>
      <w:r w:rsidRPr="008D4A3B">
        <w:t xml:space="preserve">The </w:t>
      </w:r>
      <w:r w:rsidRPr="006A54BB">
        <w:rPr>
          <w:highlight w:val="yellow"/>
        </w:rPr>
        <w:t>FCA sets out the principles for sponsors</w:t>
      </w:r>
      <w:r w:rsidRPr="008D4A3B">
        <w:t xml:space="preserve"> including that they act with </w:t>
      </w:r>
      <w:r w:rsidRPr="006A54BB">
        <w:rPr>
          <w:highlight w:val="yellow"/>
        </w:rPr>
        <w:t>due care and skill,</w:t>
      </w:r>
      <w:r w:rsidRPr="008D4A3B">
        <w:t xml:space="preserve"> honesty and integrity and that they must at all times deal and communicate promptly with all enquiries raised by the FCA. </w:t>
      </w:r>
    </w:p>
    <w:p w14:paraId="7DDD20F2" w14:textId="77777777" w:rsidR="00495AFA" w:rsidRPr="00495AFA" w:rsidRDefault="00495AFA" w:rsidP="00495AFA">
      <w:pPr>
        <w:rPr>
          <w:lang w:val="en-GB"/>
        </w:rPr>
      </w:pPr>
      <w:r w:rsidRPr="00495AFA">
        <w:rPr>
          <w:lang w:val="en-GB"/>
        </w:rPr>
        <w:t xml:space="preserve">Generally, the </w:t>
      </w:r>
      <w:r w:rsidRPr="006A54BB">
        <w:rPr>
          <w:highlight w:val="yellow"/>
          <w:lang w:val="en-GB"/>
        </w:rPr>
        <w:t>sponsor will be either be a broker, the company's investment bank or an independent sponsor.</w:t>
      </w:r>
    </w:p>
    <w:p w14:paraId="5F310B93" w14:textId="77777777" w:rsidR="0040737D" w:rsidRPr="0040737D" w:rsidRDefault="0040737D" w:rsidP="0040737D">
      <w:pPr>
        <w:rPr>
          <w:lang w:val="en-GB"/>
        </w:rPr>
      </w:pPr>
      <w:r w:rsidRPr="0040737D">
        <w:lastRenderedPageBreak/>
        <w:t xml:space="preserve">The </w:t>
      </w:r>
      <w:r w:rsidRPr="006A54BB">
        <w:rPr>
          <w:b/>
          <w:bCs/>
          <w:highlight w:val="yellow"/>
        </w:rPr>
        <w:t xml:space="preserve">legal advisers </w:t>
      </w:r>
      <w:r w:rsidRPr="006A54BB">
        <w:rPr>
          <w:highlight w:val="yellow"/>
        </w:rPr>
        <w:t>to</w:t>
      </w:r>
      <w:r w:rsidRPr="0040737D">
        <w:t xml:space="preserve"> the company will generally be responsible for </w:t>
      </w:r>
      <w:r w:rsidRPr="006A54BB">
        <w:rPr>
          <w:highlight w:val="yellow"/>
        </w:rPr>
        <w:t xml:space="preserve">ensuring the company is prepared for its IPO.  </w:t>
      </w:r>
      <w:r w:rsidRPr="006A54BB">
        <w:t>In particular</w:t>
      </w:r>
      <w:r w:rsidRPr="0040737D">
        <w:t xml:space="preserve">, they will often prepare a </w:t>
      </w:r>
      <w:r w:rsidRPr="006A54BB">
        <w:rPr>
          <w:highlight w:val="yellow"/>
        </w:rPr>
        <w:t>legal due diligence report</w:t>
      </w:r>
      <w:r w:rsidRPr="0040737D">
        <w:t xml:space="preserve"> and will </w:t>
      </w:r>
      <w:r w:rsidRPr="006A54BB">
        <w:rPr>
          <w:highlight w:val="yellow"/>
        </w:rPr>
        <w:t>draft large parts of the prospectus and verify its contents.</w:t>
      </w:r>
      <w:r w:rsidRPr="0040737D">
        <w:t xml:space="preserve">   </w:t>
      </w:r>
    </w:p>
    <w:p w14:paraId="7795FF90" w14:textId="77777777" w:rsidR="0040737D" w:rsidRPr="0040737D" w:rsidRDefault="0040737D" w:rsidP="0040737D">
      <w:pPr>
        <w:rPr>
          <w:lang w:val="en-GB"/>
        </w:rPr>
      </w:pPr>
      <w:r w:rsidRPr="0040737D">
        <w:t xml:space="preserve">Although the </w:t>
      </w:r>
      <w:r w:rsidRPr="006A54BB">
        <w:rPr>
          <w:highlight w:val="yellow"/>
        </w:rPr>
        <w:t>lawyers will generally “hold the pen” on the prospectus (</w:t>
      </w:r>
      <w:r w:rsidRPr="0040737D">
        <w:t>which means that they will have overall editorial control), all of the other advisers are likely to provide their input on the draft prospectus.  Market practice is moving towards using collaborative drafting platforms in order to allow multiple parties to work on drafting prospectuses at once.</w:t>
      </w:r>
    </w:p>
    <w:p w14:paraId="507A1D24" w14:textId="717A2395" w:rsidR="0040737D" w:rsidRPr="0040737D" w:rsidRDefault="0040737D" w:rsidP="0040737D">
      <w:pPr>
        <w:rPr>
          <w:lang w:val="en-GB"/>
        </w:rPr>
      </w:pPr>
      <w:r w:rsidRPr="0040737D">
        <w:t xml:space="preserve">There is likely to be more than one firm of lawyers working on an IPO. In addition to the lawyers advising the company, the </w:t>
      </w:r>
      <w:r w:rsidRPr="006A54BB">
        <w:rPr>
          <w:highlight w:val="yellow"/>
        </w:rPr>
        <w:t>investment bank will have its own legal advisers</w:t>
      </w:r>
      <w:r w:rsidRPr="0040737D">
        <w:t>, who will prepare and review documentation for the investment bank. This will generally involve working with the company’s lawyers on the drafting and verification of the prospectus and preparing and negotiating the underwriting agreement</w:t>
      </w:r>
      <w:r w:rsidR="00E56D58">
        <w:t xml:space="preserve"> </w:t>
      </w:r>
      <w:r w:rsidR="003118D5">
        <w:t>(</w:t>
      </w:r>
      <w:proofErr w:type="gramStart"/>
      <w:r w:rsidR="00B10EB7">
        <w:t>i.e.</w:t>
      </w:r>
      <w:proofErr w:type="gramEnd"/>
      <w:r w:rsidR="00B10EB7">
        <w:t xml:space="preserve"> </w:t>
      </w:r>
      <w:r w:rsidR="00BC5A5E">
        <w:t xml:space="preserve">where </w:t>
      </w:r>
      <w:r w:rsidR="003118D5">
        <w:t>bank</w:t>
      </w:r>
      <w:r w:rsidR="00B10EB7">
        <w:t>s</w:t>
      </w:r>
      <w:r w:rsidR="003118D5">
        <w:t xml:space="preserve"> agree to buy </w:t>
      </w:r>
      <w:r w:rsidR="00B10EB7">
        <w:t>any</w:t>
      </w:r>
      <w:r w:rsidR="003118D5">
        <w:t xml:space="preserve"> shares that are not </w:t>
      </w:r>
      <w:r w:rsidR="00BC5A5E">
        <w:t>taken up</w:t>
      </w:r>
      <w:r w:rsidR="00711245">
        <w:t xml:space="preserve"> by investors</w:t>
      </w:r>
      <w:r w:rsidR="00422676">
        <w:t xml:space="preserve"> on a listing</w:t>
      </w:r>
      <w:r w:rsidR="003118D5">
        <w:t>)</w:t>
      </w:r>
      <w:r w:rsidRPr="0040737D">
        <w:t>.</w:t>
      </w:r>
    </w:p>
    <w:p w14:paraId="44A8AC62" w14:textId="77777777" w:rsidR="00733E43" w:rsidRPr="00733E43" w:rsidRDefault="00733E43" w:rsidP="00733E43">
      <w:pPr>
        <w:rPr>
          <w:lang w:val="en-GB"/>
        </w:rPr>
      </w:pPr>
      <w:r w:rsidRPr="00733E43">
        <w:t>There are a host of other advisers that may be involved in advising a company on an IPO. For example:</w:t>
      </w:r>
    </w:p>
    <w:p w14:paraId="15EA1687" w14:textId="77777777" w:rsidR="00733E43" w:rsidRPr="00733E43" w:rsidRDefault="00733E43" w:rsidP="00733E43">
      <w:pPr>
        <w:numPr>
          <w:ilvl w:val="0"/>
          <w:numId w:val="4"/>
        </w:numPr>
        <w:rPr>
          <w:lang w:val="en-GB"/>
        </w:rPr>
      </w:pPr>
      <w:r w:rsidRPr="006A54BB">
        <w:rPr>
          <w:b/>
          <w:bCs/>
          <w:highlight w:val="yellow"/>
        </w:rPr>
        <w:t>public relations advisers</w:t>
      </w:r>
      <w:r w:rsidRPr="00733E43">
        <w:rPr>
          <w:b/>
          <w:bCs/>
        </w:rPr>
        <w:t xml:space="preserve"> </w:t>
      </w:r>
      <w:r w:rsidRPr="00733E43">
        <w:t xml:space="preserve">are generally </w:t>
      </w:r>
      <w:r w:rsidRPr="006A54BB">
        <w:rPr>
          <w:highlight w:val="yellow"/>
        </w:rPr>
        <w:t>appointed in connection with an IPO</w:t>
      </w:r>
      <w:r w:rsidRPr="00733E43">
        <w:t>, to give advice on the marketing the IPO and corporate messaging;</w:t>
      </w:r>
    </w:p>
    <w:p w14:paraId="506EF43C" w14:textId="77777777" w:rsidR="00733E43" w:rsidRPr="00733E43" w:rsidRDefault="00733E43" w:rsidP="00733E43">
      <w:pPr>
        <w:numPr>
          <w:ilvl w:val="0"/>
          <w:numId w:val="4"/>
        </w:numPr>
        <w:rPr>
          <w:lang w:val="en-GB"/>
        </w:rPr>
      </w:pPr>
      <w:r w:rsidRPr="006A54BB">
        <w:rPr>
          <w:b/>
          <w:bCs/>
          <w:highlight w:val="yellow"/>
        </w:rPr>
        <w:t xml:space="preserve">registrars </w:t>
      </w:r>
      <w:r w:rsidRPr="006A54BB">
        <w:rPr>
          <w:highlight w:val="yellow"/>
        </w:rPr>
        <w:t>usually manage shareholder record-keeping</w:t>
      </w:r>
      <w:r w:rsidRPr="00733E43">
        <w:t xml:space="preserve"> and </w:t>
      </w:r>
      <w:r w:rsidRPr="006A54BB">
        <w:rPr>
          <w:highlight w:val="yellow"/>
        </w:rPr>
        <w:t>administration for listed companies once they have listed</w:t>
      </w:r>
      <w:r w:rsidRPr="00733E43">
        <w:t>, record share transfers on the register, send out notices to shareholders and process dividends; and</w:t>
      </w:r>
    </w:p>
    <w:p w14:paraId="4B9C8EAB" w14:textId="77777777" w:rsidR="00733E43" w:rsidRPr="00733E43" w:rsidRDefault="00733E43" w:rsidP="00733E43">
      <w:pPr>
        <w:numPr>
          <w:ilvl w:val="0"/>
          <w:numId w:val="4"/>
        </w:numPr>
        <w:rPr>
          <w:lang w:val="en-GB"/>
        </w:rPr>
      </w:pPr>
      <w:r w:rsidRPr="006A54BB">
        <w:rPr>
          <w:highlight w:val="yellow"/>
        </w:rPr>
        <w:t>a '</w:t>
      </w:r>
      <w:r w:rsidRPr="006A54BB">
        <w:rPr>
          <w:b/>
          <w:bCs/>
          <w:highlight w:val="yellow"/>
        </w:rPr>
        <w:t>receiving agent</w:t>
      </w:r>
      <w:r w:rsidRPr="006A54BB">
        <w:rPr>
          <w:highlight w:val="yellow"/>
        </w:rPr>
        <w:t>'</w:t>
      </w:r>
      <w:r w:rsidRPr="00733E43">
        <w:t xml:space="preserve"> is often appointed to carry out the large amount of administration involved in receiving applications for the shares that are to be listed, processing those applications, dealing with payments and crediting shares to applicants’ accounts. </w:t>
      </w:r>
    </w:p>
    <w:p w14:paraId="2A065376" w14:textId="77777777" w:rsidR="000E047F" w:rsidRPr="000E047F" w:rsidRDefault="000E047F" w:rsidP="000E047F">
      <w:pPr>
        <w:rPr>
          <w:lang w:val="en-GB"/>
        </w:rPr>
      </w:pPr>
      <w:r w:rsidRPr="000E047F">
        <w:rPr>
          <w:b/>
          <w:bCs/>
          <w:lang w:val="en-GB"/>
        </w:rPr>
        <w:t>Summary</w:t>
      </w:r>
    </w:p>
    <w:p w14:paraId="59752AB2" w14:textId="77777777" w:rsidR="000E047F" w:rsidRPr="000E047F" w:rsidRDefault="000E047F" w:rsidP="000E047F">
      <w:pPr>
        <w:numPr>
          <w:ilvl w:val="0"/>
          <w:numId w:val="5"/>
        </w:numPr>
        <w:rPr>
          <w:lang w:val="en-GB"/>
        </w:rPr>
      </w:pPr>
      <w:r w:rsidRPr="000E047F">
        <w:rPr>
          <w:lang w:val="en-GB"/>
        </w:rPr>
        <w:t>An IPO is an inherently collaborative process.</w:t>
      </w:r>
    </w:p>
    <w:p w14:paraId="7EF3E738" w14:textId="77777777" w:rsidR="000E047F" w:rsidRPr="000E047F" w:rsidRDefault="000E047F" w:rsidP="000E047F">
      <w:pPr>
        <w:numPr>
          <w:ilvl w:val="0"/>
          <w:numId w:val="5"/>
        </w:numPr>
        <w:rPr>
          <w:lang w:val="en-GB"/>
        </w:rPr>
      </w:pPr>
      <w:r w:rsidRPr="000E047F">
        <w:rPr>
          <w:lang w:val="en-GB"/>
        </w:rPr>
        <w:t>Each of the advisers on an IPO has a defined role but many of them work together on different elements of the deal.</w:t>
      </w:r>
    </w:p>
    <w:p w14:paraId="6DFA5982" w14:textId="77777777" w:rsidR="000E047F" w:rsidRPr="000E047F" w:rsidRDefault="000E047F" w:rsidP="000E047F">
      <w:pPr>
        <w:numPr>
          <w:ilvl w:val="0"/>
          <w:numId w:val="5"/>
        </w:numPr>
        <w:rPr>
          <w:lang w:val="en-GB"/>
        </w:rPr>
      </w:pPr>
      <w:r w:rsidRPr="000E047F">
        <w:rPr>
          <w:lang w:val="en-GB"/>
        </w:rPr>
        <w:t>Most of the advisers are engaged by the company but some (for example, its own lawyers) are engaged by the investment bank.</w:t>
      </w:r>
    </w:p>
    <w:p w14:paraId="3848CE55" w14:textId="12BAEB00" w:rsidR="000E047F" w:rsidRPr="000E047F" w:rsidRDefault="000E047F" w:rsidP="000E047F">
      <w:pPr>
        <w:numPr>
          <w:ilvl w:val="0"/>
          <w:numId w:val="5"/>
        </w:numPr>
        <w:rPr>
          <w:lang w:val="en-GB"/>
        </w:rPr>
      </w:pPr>
      <w:r w:rsidRPr="6EB79EC1">
        <w:rPr>
          <w:lang w:val="en-GB"/>
        </w:rPr>
        <w:t xml:space="preserve">The company is obliged to appoint a sponsor under </w:t>
      </w:r>
      <w:r w:rsidR="00D50532">
        <w:rPr>
          <w:lang w:val="en-GB"/>
        </w:rPr>
        <w:t>UK</w:t>
      </w:r>
      <w:r w:rsidRPr="6EB79EC1">
        <w:rPr>
          <w:lang w:val="en-GB"/>
        </w:rPr>
        <w:t xml:space="preserve">LR </w:t>
      </w:r>
      <w:r w:rsidR="062E6589" w:rsidRPr="6EB79EC1">
        <w:rPr>
          <w:lang w:val="en-GB"/>
        </w:rPr>
        <w:t>4</w:t>
      </w:r>
      <w:r w:rsidR="003918E8">
        <w:rPr>
          <w:lang w:val="en-GB"/>
        </w:rPr>
        <w:t xml:space="preserve"> with its role and responsibilities set</w:t>
      </w:r>
      <w:r w:rsidR="00D50532">
        <w:rPr>
          <w:lang w:val="en-GB"/>
        </w:rPr>
        <w:t xml:space="preserve"> out in UKLR 24.</w:t>
      </w:r>
    </w:p>
    <w:p w14:paraId="2C078E63" w14:textId="68F46689" w:rsidR="00E0197F" w:rsidRDefault="00E0197F"/>
    <w:sectPr w:rsidR="00E0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F59"/>
    <w:multiLevelType w:val="hybridMultilevel"/>
    <w:tmpl w:val="3586A270"/>
    <w:lvl w:ilvl="0" w:tplc="2B326FDA">
      <w:start w:val="1"/>
      <w:numFmt w:val="bullet"/>
      <w:lvlText w:val="•"/>
      <w:lvlJc w:val="left"/>
      <w:pPr>
        <w:tabs>
          <w:tab w:val="num" w:pos="720"/>
        </w:tabs>
        <w:ind w:left="720" w:hanging="360"/>
      </w:pPr>
      <w:rPr>
        <w:rFonts w:ascii="Arial" w:hAnsi="Arial" w:hint="default"/>
      </w:rPr>
    </w:lvl>
    <w:lvl w:ilvl="1" w:tplc="7160D1DA" w:tentative="1">
      <w:start w:val="1"/>
      <w:numFmt w:val="bullet"/>
      <w:lvlText w:val="•"/>
      <w:lvlJc w:val="left"/>
      <w:pPr>
        <w:tabs>
          <w:tab w:val="num" w:pos="1440"/>
        </w:tabs>
        <w:ind w:left="1440" w:hanging="360"/>
      </w:pPr>
      <w:rPr>
        <w:rFonts w:ascii="Arial" w:hAnsi="Arial" w:hint="default"/>
      </w:rPr>
    </w:lvl>
    <w:lvl w:ilvl="2" w:tplc="28025042" w:tentative="1">
      <w:start w:val="1"/>
      <w:numFmt w:val="bullet"/>
      <w:lvlText w:val="•"/>
      <w:lvlJc w:val="left"/>
      <w:pPr>
        <w:tabs>
          <w:tab w:val="num" w:pos="2160"/>
        </w:tabs>
        <w:ind w:left="2160" w:hanging="360"/>
      </w:pPr>
      <w:rPr>
        <w:rFonts w:ascii="Arial" w:hAnsi="Arial" w:hint="default"/>
      </w:rPr>
    </w:lvl>
    <w:lvl w:ilvl="3" w:tplc="55F0579C" w:tentative="1">
      <w:start w:val="1"/>
      <w:numFmt w:val="bullet"/>
      <w:lvlText w:val="•"/>
      <w:lvlJc w:val="left"/>
      <w:pPr>
        <w:tabs>
          <w:tab w:val="num" w:pos="2880"/>
        </w:tabs>
        <w:ind w:left="2880" w:hanging="360"/>
      </w:pPr>
      <w:rPr>
        <w:rFonts w:ascii="Arial" w:hAnsi="Arial" w:hint="default"/>
      </w:rPr>
    </w:lvl>
    <w:lvl w:ilvl="4" w:tplc="86365B68" w:tentative="1">
      <w:start w:val="1"/>
      <w:numFmt w:val="bullet"/>
      <w:lvlText w:val="•"/>
      <w:lvlJc w:val="left"/>
      <w:pPr>
        <w:tabs>
          <w:tab w:val="num" w:pos="3600"/>
        </w:tabs>
        <w:ind w:left="3600" w:hanging="360"/>
      </w:pPr>
      <w:rPr>
        <w:rFonts w:ascii="Arial" w:hAnsi="Arial" w:hint="default"/>
      </w:rPr>
    </w:lvl>
    <w:lvl w:ilvl="5" w:tplc="03622014" w:tentative="1">
      <w:start w:val="1"/>
      <w:numFmt w:val="bullet"/>
      <w:lvlText w:val="•"/>
      <w:lvlJc w:val="left"/>
      <w:pPr>
        <w:tabs>
          <w:tab w:val="num" w:pos="4320"/>
        </w:tabs>
        <w:ind w:left="4320" w:hanging="360"/>
      </w:pPr>
      <w:rPr>
        <w:rFonts w:ascii="Arial" w:hAnsi="Arial" w:hint="default"/>
      </w:rPr>
    </w:lvl>
    <w:lvl w:ilvl="6" w:tplc="05E0CF50" w:tentative="1">
      <w:start w:val="1"/>
      <w:numFmt w:val="bullet"/>
      <w:lvlText w:val="•"/>
      <w:lvlJc w:val="left"/>
      <w:pPr>
        <w:tabs>
          <w:tab w:val="num" w:pos="5040"/>
        </w:tabs>
        <w:ind w:left="5040" w:hanging="360"/>
      </w:pPr>
      <w:rPr>
        <w:rFonts w:ascii="Arial" w:hAnsi="Arial" w:hint="default"/>
      </w:rPr>
    </w:lvl>
    <w:lvl w:ilvl="7" w:tplc="AA60B670" w:tentative="1">
      <w:start w:val="1"/>
      <w:numFmt w:val="bullet"/>
      <w:lvlText w:val="•"/>
      <w:lvlJc w:val="left"/>
      <w:pPr>
        <w:tabs>
          <w:tab w:val="num" w:pos="5760"/>
        </w:tabs>
        <w:ind w:left="5760" w:hanging="360"/>
      </w:pPr>
      <w:rPr>
        <w:rFonts w:ascii="Arial" w:hAnsi="Arial" w:hint="default"/>
      </w:rPr>
    </w:lvl>
    <w:lvl w:ilvl="8" w:tplc="67FA60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EE10C1"/>
    <w:multiLevelType w:val="hybridMultilevel"/>
    <w:tmpl w:val="CD46B656"/>
    <w:lvl w:ilvl="0" w:tplc="783294F4">
      <w:start w:val="1"/>
      <w:numFmt w:val="bullet"/>
      <w:lvlText w:val="•"/>
      <w:lvlJc w:val="left"/>
      <w:pPr>
        <w:tabs>
          <w:tab w:val="num" w:pos="720"/>
        </w:tabs>
        <w:ind w:left="720" w:hanging="360"/>
      </w:pPr>
      <w:rPr>
        <w:rFonts w:ascii="Arial" w:hAnsi="Arial" w:hint="default"/>
      </w:rPr>
    </w:lvl>
    <w:lvl w:ilvl="1" w:tplc="E9E8FA68" w:tentative="1">
      <w:start w:val="1"/>
      <w:numFmt w:val="bullet"/>
      <w:lvlText w:val="•"/>
      <w:lvlJc w:val="left"/>
      <w:pPr>
        <w:tabs>
          <w:tab w:val="num" w:pos="1440"/>
        </w:tabs>
        <w:ind w:left="1440" w:hanging="360"/>
      </w:pPr>
      <w:rPr>
        <w:rFonts w:ascii="Arial" w:hAnsi="Arial" w:hint="default"/>
      </w:rPr>
    </w:lvl>
    <w:lvl w:ilvl="2" w:tplc="218C3DB2" w:tentative="1">
      <w:start w:val="1"/>
      <w:numFmt w:val="bullet"/>
      <w:lvlText w:val="•"/>
      <w:lvlJc w:val="left"/>
      <w:pPr>
        <w:tabs>
          <w:tab w:val="num" w:pos="2160"/>
        </w:tabs>
        <w:ind w:left="2160" w:hanging="360"/>
      </w:pPr>
      <w:rPr>
        <w:rFonts w:ascii="Arial" w:hAnsi="Arial" w:hint="default"/>
      </w:rPr>
    </w:lvl>
    <w:lvl w:ilvl="3" w:tplc="5D16A1B2" w:tentative="1">
      <w:start w:val="1"/>
      <w:numFmt w:val="bullet"/>
      <w:lvlText w:val="•"/>
      <w:lvlJc w:val="left"/>
      <w:pPr>
        <w:tabs>
          <w:tab w:val="num" w:pos="2880"/>
        </w:tabs>
        <w:ind w:left="2880" w:hanging="360"/>
      </w:pPr>
      <w:rPr>
        <w:rFonts w:ascii="Arial" w:hAnsi="Arial" w:hint="default"/>
      </w:rPr>
    </w:lvl>
    <w:lvl w:ilvl="4" w:tplc="A5240A4E" w:tentative="1">
      <w:start w:val="1"/>
      <w:numFmt w:val="bullet"/>
      <w:lvlText w:val="•"/>
      <w:lvlJc w:val="left"/>
      <w:pPr>
        <w:tabs>
          <w:tab w:val="num" w:pos="3600"/>
        </w:tabs>
        <w:ind w:left="3600" w:hanging="360"/>
      </w:pPr>
      <w:rPr>
        <w:rFonts w:ascii="Arial" w:hAnsi="Arial" w:hint="default"/>
      </w:rPr>
    </w:lvl>
    <w:lvl w:ilvl="5" w:tplc="C6BCD61C" w:tentative="1">
      <w:start w:val="1"/>
      <w:numFmt w:val="bullet"/>
      <w:lvlText w:val="•"/>
      <w:lvlJc w:val="left"/>
      <w:pPr>
        <w:tabs>
          <w:tab w:val="num" w:pos="4320"/>
        </w:tabs>
        <w:ind w:left="4320" w:hanging="360"/>
      </w:pPr>
      <w:rPr>
        <w:rFonts w:ascii="Arial" w:hAnsi="Arial" w:hint="default"/>
      </w:rPr>
    </w:lvl>
    <w:lvl w:ilvl="6" w:tplc="7DFA611A" w:tentative="1">
      <w:start w:val="1"/>
      <w:numFmt w:val="bullet"/>
      <w:lvlText w:val="•"/>
      <w:lvlJc w:val="left"/>
      <w:pPr>
        <w:tabs>
          <w:tab w:val="num" w:pos="5040"/>
        </w:tabs>
        <w:ind w:left="5040" w:hanging="360"/>
      </w:pPr>
      <w:rPr>
        <w:rFonts w:ascii="Arial" w:hAnsi="Arial" w:hint="default"/>
      </w:rPr>
    </w:lvl>
    <w:lvl w:ilvl="7" w:tplc="BA365F48" w:tentative="1">
      <w:start w:val="1"/>
      <w:numFmt w:val="bullet"/>
      <w:lvlText w:val="•"/>
      <w:lvlJc w:val="left"/>
      <w:pPr>
        <w:tabs>
          <w:tab w:val="num" w:pos="5760"/>
        </w:tabs>
        <w:ind w:left="5760" w:hanging="360"/>
      </w:pPr>
      <w:rPr>
        <w:rFonts w:ascii="Arial" w:hAnsi="Arial" w:hint="default"/>
      </w:rPr>
    </w:lvl>
    <w:lvl w:ilvl="8" w:tplc="DF5ED4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D475A"/>
    <w:multiLevelType w:val="hybridMultilevel"/>
    <w:tmpl w:val="27A42E44"/>
    <w:lvl w:ilvl="0" w:tplc="4DC4CD96">
      <w:start w:val="1"/>
      <w:numFmt w:val="bullet"/>
      <w:lvlText w:val="•"/>
      <w:lvlJc w:val="left"/>
      <w:pPr>
        <w:tabs>
          <w:tab w:val="num" w:pos="720"/>
        </w:tabs>
        <w:ind w:left="720" w:hanging="360"/>
      </w:pPr>
      <w:rPr>
        <w:rFonts w:ascii="Arial" w:hAnsi="Arial" w:hint="default"/>
      </w:rPr>
    </w:lvl>
    <w:lvl w:ilvl="1" w:tplc="8004C136" w:tentative="1">
      <w:start w:val="1"/>
      <w:numFmt w:val="bullet"/>
      <w:lvlText w:val="•"/>
      <w:lvlJc w:val="left"/>
      <w:pPr>
        <w:tabs>
          <w:tab w:val="num" w:pos="1440"/>
        </w:tabs>
        <w:ind w:left="1440" w:hanging="360"/>
      </w:pPr>
      <w:rPr>
        <w:rFonts w:ascii="Arial" w:hAnsi="Arial" w:hint="default"/>
      </w:rPr>
    </w:lvl>
    <w:lvl w:ilvl="2" w:tplc="E524288C" w:tentative="1">
      <w:start w:val="1"/>
      <w:numFmt w:val="bullet"/>
      <w:lvlText w:val="•"/>
      <w:lvlJc w:val="left"/>
      <w:pPr>
        <w:tabs>
          <w:tab w:val="num" w:pos="2160"/>
        </w:tabs>
        <w:ind w:left="2160" w:hanging="360"/>
      </w:pPr>
      <w:rPr>
        <w:rFonts w:ascii="Arial" w:hAnsi="Arial" w:hint="default"/>
      </w:rPr>
    </w:lvl>
    <w:lvl w:ilvl="3" w:tplc="DA964576" w:tentative="1">
      <w:start w:val="1"/>
      <w:numFmt w:val="bullet"/>
      <w:lvlText w:val="•"/>
      <w:lvlJc w:val="left"/>
      <w:pPr>
        <w:tabs>
          <w:tab w:val="num" w:pos="2880"/>
        </w:tabs>
        <w:ind w:left="2880" w:hanging="360"/>
      </w:pPr>
      <w:rPr>
        <w:rFonts w:ascii="Arial" w:hAnsi="Arial" w:hint="default"/>
      </w:rPr>
    </w:lvl>
    <w:lvl w:ilvl="4" w:tplc="2C0C28BE" w:tentative="1">
      <w:start w:val="1"/>
      <w:numFmt w:val="bullet"/>
      <w:lvlText w:val="•"/>
      <w:lvlJc w:val="left"/>
      <w:pPr>
        <w:tabs>
          <w:tab w:val="num" w:pos="3600"/>
        </w:tabs>
        <w:ind w:left="3600" w:hanging="360"/>
      </w:pPr>
      <w:rPr>
        <w:rFonts w:ascii="Arial" w:hAnsi="Arial" w:hint="default"/>
      </w:rPr>
    </w:lvl>
    <w:lvl w:ilvl="5" w:tplc="7630A416" w:tentative="1">
      <w:start w:val="1"/>
      <w:numFmt w:val="bullet"/>
      <w:lvlText w:val="•"/>
      <w:lvlJc w:val="left"/>
      <w:pPr>
        <w:tabs>
          <w:tab w:val="num" w:pos="4320"/>
        </w:tabs>
        <w:ind w:left="4320" w:hanging="360"/>
      </w:pPr>
      <w:rPr>
        <w:rFonts w:ascii="Arial" w:hAnsi="Arial" w:hint="default"/>
      </w:rPr>
    </w:lvl>
    <w:lvl w:ilvl="6" w:tplc="894CA3D2" w:tentative="1">
      <w:start w:val="1"/>
      <w:numFmt w:val="bullet"/>
      <w:lvlText w:val="•"/>
      <w:lvlJc w:val="left"/>
      <w:pPr>
        <w:tabs>
          <w:tab w:val="num" w:pos="5040"/>
        </w:tabs>
        <w:ind w:left="5040" w:hanging="360"/>
      </w:pPr>
      <w:rPr>
        <w:rFonts w:ascii="Arial" w:hAnsi="Arial" w:hint="default"/>
      </w:rPr>
    </w:lvl>
    <w:lvl w:ilvl="7" w:tplc="5ADC01D6" w:tentative="1">
      <w:start w:val="1"/>
      <w:numFmt w:val="bullet"/>
      <w:lvlText w:val="•"/>
      <w:lvlJc w:val="left"/>
      <w:pPr>
        <w:tabs>
          <w:tab w:val="num" w:pos="5760"/>
        </w:tabs>
        <w:ind w:left="5760" w:hanging="360"/>
      </w:pPr>
      <w:rPr>
        <w:rFonts w:ascii="Arial" w:hAnsi="Arial" w:hint="default"/>
      </w:rPr>
    </w:lvl>
    <w:lvl w:ilvl="8" w:tplc="CE02A2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087D83"/>
    <w:multiLevelType w:val="hybridMultilevel"/>
    <w:tmpl w:val="9F3657AE"/>
    <w:lvl w:ilvl="0" w:tplc="1FB85D56">
      <w:start w:val="1"/>
      <w:numFmt w:val="bullet"/>
      <w:lvlText w:val="•"/>
      <w:lvlJc w:val="left"/>
      <w:pPr>
        <w:tabs>
          <w:tab w:val="num" w:pos="720"/>
        </w:tabs>
        <w:ind w:left="720" w:hanging="360"/>
      </w:pPr>
      <w:rPr>
        <w:rFonts w:ascii="Arial" w:hAnsi="Arial" w:hint="default"/>
      </w:rPr>
    </w:lvl>
    <w:lvl w:ilvl="1" w:tplc="2A58C0EA" w:tentative="1">
      <w:start w:val="1"/>
      <w:numFmt w:val="bullet"/>
      <w:lvlText w:val="•"/>
      <w:lvlJc w:val="left"/>
      <w:pPr>
        <w:tabs>
          <w:tab w:val="num" w:pos="1440"/>
        </w:tabs>
        <w:ind w:left="1440" w:hanging="360"/>
      </w:pPr>
      <w:rPr>
        <w:rFonts w:ascii="Arial" w:hAnsi="Arial" w:hint="default"/>
      </w:rPr>
    </w:lvl>
    <w:lvl w:ilvl="2" w:tplc="86280FE0" w:tentative="1">
      <w:start w:val="1"/>
      <w:numFmt w:val="bullet"/>
      <w:lvlText w:val="•"/>
      <w:lvlJc w:val="left"/>
      <w:pPr>
        <w:tabs>
          <w:tab w:val="num" w:pos="2160"/>
        </w:tabs>
        <w:ind w:left="2160" w:hanging="360"/>
      </w:pPr>
      <w:rPr>
        <w:rFonts w:ascii="Arial" w:hAnsi="Arial" w:hint="default"/>
      </w:rPr>
    </w:lvl>
    <w:lvl w:ilvl="3" w:tplc="674C33F2" w:tentative="1">
      <w:start w:val="1"/>
      <w:numFmt w:val="bullet"/>
      <w:lvlText w:val="•"/>
      <w:lvlJc w:val="left"/>
      <w:pPr>
        <w:tabs>
          <w:tab w:val="num" w:pos="2880"/>
        </w:tabs>
        <w:ind w:left="2880" w:hanging="360"/>
      </w:pPr>
      <w:rPr>
        <w:rFonts w:ascii="Arial" w:hAnsi="Arial" w:hint="default"/>
      </w:rPr>
    </w:lvl>
    <w:lvl w:ilvl="4" w:tplc="1EF28BE2" w:tentative="1">
      <w:start w:val="1"/>
      <w:numFmt w:val="bullet"/>
      <w:lvlText w:val="•"/>
      <w:lvlJc w:val="left"/>
      <w:pPr>
        <w:tabs>
          <w:tab w:val="num" w:pos="3600"/>
        </w:tabs>
        <w:ind w:left="3600" w:hanging="360"/>
      </w:pPr>
      <w:rPr>
        <w:rFonts w:ascii="Arial" w:hAnsi="Arial" w:hint="default"/>
      </w:rPr>
    </w:lvl>
    <w:lvl w:ilvl="5" w:tplc="DD129092" w:tentative="1">
      <w:start w:val="1"/>
      <w:numFmt w:val="bullet"/>
      <w:lvlText w:val="•"/>
      <w:lvlJc w:val="left"/>
      <w:pPr>
        <w:tabs>
          <w:tab w:val="num" w:pos="4320"/>
        </w:tabs>
        <w:ind w:left="4320" w:hanging="360"/>
      </w:pPr>
      <w:rPr>
        <w:rFonts w:ascii="Arial" w:hAnsi="Arial" w:hint="default"/>
      </w:rPr>
    </w:lvl>
    <w:lvl w:ilvl="6" w:tplc="929ACC34" w:tentative="1">
      <w:start w:val="1"/>
      <w:numFmt w:val="bullet"/>
      <w:lvlText w:val="•"/>
      <w:lvlJc w:val="left"/>
      <w:pPr>
        <w:tabs>
          <w:tab w:val="num" w:pos="5040"/>
        </w:tabs>
        <w:ind w:left="5040" w:hanging="360"/>
      </w:pPr>
      <w:rPr>
        <w:rFonts w:ascii="Arial" w:hAnsi="Arial" w:hint="default"/>
      </w:rPr>
    </w:lvl>
    <w:lvl w:ilvl="7" w:tplc="78E214BE" w:tentative="1">
      <w:start w:val="1"/>
      <w:numFmt w:val="bullet"/>
      <w:lvlText w:val="•"/>
      <w:lvlJc w:val="left"/>
      <w:pPr>
        <w:tabs>
          <w:tab w:val="num" w:pos="5760"/>
        </w:tabs>
        <w:ind w:left="5760" w:hanging="360"/>
      </w:pPr>
      <w:rPr>
        <w:rFonts w:ascii="Arial" w:hAnsi="Arial" w:hint="default"/>
      </w:rPr>
    </w:lvl>
    <w:lvl w:ilvl="8" w:tplc="34A891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8433FF"/>
    <w:multiLevelType w:val="hybridMultilevel"/>
    <w:tmpl w:val="198207D2"/>
    <w:lvl w:ilvl="0" w:tplc="7A70B120">
      <w:start w:val="1"/>
      <w:numFmt w:val="bullet"/>
      <w:lvlText w:val="•"/>
      <w:lvlJc w:val="left"/>
      <w:pPr>
        <w:tabs>
          <w:tab w:val="num" w:pos="720"/>
        </w:tabs>
        <w:ind w:left="720" w:hanging="360"/>
      </w:pPr>
      <w:rPr>
        <w:rFonts w:ascii="Arial" w:hAnsi="Arial" w:hint="default"/>
      </w:rPr>
    </w:lvl>
    <w:lvl w:ilvl="1" w:tplc="9FF05CAA">
      <w:start w:val="1"/>
      <w:numFmt w:val="bullet"/>
      <w:lvlText w:val="•"/>
      <w:lvlJc w:val="left"/>
      <w:pPr>
        <w:tabs>
          <w:tab w:val="num" w:pos="1440"/>
        </w:tabs>
        <w:ind w:left="1440" w:hanging="360"/>
      </w:pPr>
      <w:rPr>
        <w:rFonts w:ascii="Arial" w:hAnsi="Arial" w:hint="default"/>
      </w:rPr>
    </w:lvl>
    <w:lvl w:ilvl="2" w:tplc="3EA80B80" w:tentative="1">
      <w:start w:val="1"/>
      <w:numFmt w:val="bullet"/>
      <w:lvlText w:val="•"/>
      <w:lvlJc w:val="left"/>
      <w:pPr>
        <w:tabs>
          <w:tab w:val="num" w:pos="2160"/>
        </w:tabs>
        <w:ind w:left="2160" w:hanging="360"/>
      </w:pPr>
      <w:rPr>
        <w:rFonts w:ascii="Arial" w:hAnsi="Arial" w:hint="default"/>
      </w:rPr>
    </w:lvl>
    <w:lvl w:ilvl="3" w:tplc="B0D0CC36" w:tentative="1">
      <w:start w:val="1"/>
      <w:numFmt w:val="bullet"/>
      <w:lvlText w:val="•"/>
      <w:lvlJc w:val="left"/>
      <w:pPr>
        <w:tabs>
          <w:tab w:val="num" w:pos="2880"/>
        </w:tabs>
        <w:ind w:left="2880" w:hanging="360"/>
      </w:pPr>
      <w:rPr>
        <w:rFonts w:ascii="Arial" w:hAnsi="Arial" w:hint="default"/>
      </w:rPr>
    </w:lvl>
    <w:lvl w:ilvl="4" w:tplc="D0D89438" w:tentative="1">
      <w:start w:val="1"/>
      <w:numFmt w:val="bullet"/>
      <w:lvlText w:val="•"/>
      <w:lvlJc w:val="left"/>
      <w:pPr>
        <w:tabs>
          <w:tab w:val="num" w:pos="3600"/>
        </w:tabs>
        <w:ind w:left="3600" w:hanging="360"/>
      </w:pPr>
      <w:rPr>
        <w:rFonts w:ascii="Arial" w:hAnsi="Arial" w:hint="default"/>
      </w:rPr>
    </w:lvl>
    <w:lvl w:ilvl="5" w:tplc="BB80AF4E" w:tentative="1">
      <w:start w:val="1"/>
      <w:numFmt w:val="bullet"/>
      <w:lvlText w:val="•"/>
      <w:lvlJc w:val="left"/>
      <w:pPr>
        <w:tabs>
          <w:tab w:val="num" w:pos="4320"/>
        </w:tabs>
        <w:ind w:left="4320" w:hanging="360"/>
      </w:pPr>
      <w:rPr>
        <w:rFonts w:ascii="Arial" w:hAnsi="Arial" w:hint="default"/>
      </w:rPr>
    </w:lvl>
    <w:lvl w:ilvl="6" w:tplc="D700BC80" w:tentative="1">
      <w:start w:val="1"/>
      <w:numFmt w:val="bullet"/>
      <w:lvlText w:val="•"/>
      <w:lvlJc w:val="left"/>
      <w:pPr>
        <w:tabs>
          <w:tab w:val="num" w:pos="5040"/>
        </w:tabs>
        <w:ind w:left="5040" w:hanging="360"/>
      </w:pPr>
      <w:rPr>
        <w:rFonts w:ascii="Arial" w:hAnsi="Arial" w:hint="default"/>
      </w:rPr>
    </w:lvl>
    <w:lvl w:ilvl="7" w:tplc="1E12E32C" w:tentative="1">
      <w:start w:val="1"/>
      <w:numFmt w:val="bullet"/>
      <w:lvlText w:val="•"/>
      <w:lvlJc w:val="left"/>
      <w:pPr>
        <w:tabs>
          <w:tab w:val="num" w:pos="5760"/>
        </w:tabs>
        <w:ind w:left="5760" w:hanging="360"/>
      </w:pPr>
      <w:rPr>
        <w:rFonts w:ascii="Arial" w:hAnsi="Arial" w:hint="default"/>
      </w:rPr>
    </w:lvl>
    <w:lvl w:ilvl="8" w:tplc="9226456A" w:tentative="1">
      <w:start w:val="1"/>
      <w:numFmt w:val="bullet"/>
      <w:lvlText w:val="•"/>
      <w:lvlJc w:val="left"/>
      <w:pPr>
        <w:tabs>
          <w:tab w:val="num" w:pos="6480"/>
        </w:tabs>
        <w:ind w:left="6480" w:hanging="360"/>
      </w:pPr>
      <w:rPr>
        <w:rFonts w:ascii="Arial" w:hAnsi="Arial" w:hint="default"/>
      </w:rPr>
    </w:lvl>
  </w:abstractNum>
  <w:num w:numId="1" w16cid:durableId="258754308">
    <w:abstractNumId w:val="3"/>
  </w:num>
  <w:num w:numId="2" w16cid:durableId="821460832">
    <w:abstractNumId w:val="2"/>
  </w:num>
  <w:num w:numId="3" w16cid:durableId="1514413961">
    <w:abstractNumId w:val="4"/>
  </w:num>
  <w:num w:numId="4" w16cid:durableId="744844262">
    <w:abstractNumId w:val="1"/>
  </w:num>
  <w:num w:numId="5" w16cid:durableId="137045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990161"/>
    <w:rsid w:val="00052293"/>
    <w:rsid w:val="00066C66"/>
    <w:rsid w:val="00076BB1"/>
    <w:rsid w:val="000A22A0"/>
    <w:rsid w:val="000A4C04"/>
    <w:rsid w:val="000E047F"/>
    <w:rsid w:val="000F4B88"/>
    <w:rsid w:val="000F4DFB"/>
    <w:rsid w:val="001159ED"/>
    <w:rsid w:val="00134AB5"/>
    <w:rsid w:val="0016443D"/>
    <w:rsid w:val="001C1976"/>
    <w:rsid w:val="00261A22"/>
    <w:rsid w:val="0029736B"/>
    <w:rsid w:val="003118D5"/>
    <w:rsid w:val="003210C1"/>
    <w:rsid w:val="0034005F"/>
    <w:rsid w:val="00375A9E"/>
    <w:rsid w:val="003918E8"/>
    <w:rsid w:val="00396114"/>
    <w:rsid w:val="0039651D"/>
    <w:rsid w:val="003A3A54"/>
    <w:rsid w:val="003B550E"/>
    <w:rsid w:val="003C0384"/>
    <w:rsid w:val="003C5250"/>
    <w:rsid w:val="003E1518"/>
    <w:rsid w:val="004062A0"/>
    <w:rsid w:val="0040737D"/>
    <w:rsid w:val="00422557"/>
    <w:rsid w:val="00422676"/>
    <w:rsid w:val="00437C37"/>
    <w:rsid w:val="00492C48"/>
    <w:rsid w:val="00495AFA"/>
    <w:rsid w:val="004A3A81"/>
    <w:rsid w:val="004B7452"/>
    <w:rsid w:val="004C45F6"/>
    <w:rsid w:val="004D45B0"/>
    <w:rsid w:val="00546D2B"/>
    <w:rsid w:val="00566668"/>
    <w:rsid w:val="00582C3D"/>
    <w:rsid w:val="00585F61"/>
    <w:rsid w:val="005E3864"/>
    <w:rsid w:val="006175DB"/>
    <w:rsid w:val="0063154B"/>
    <w:rsid w:val="006A54BB"/>
    <w:rsid w:val="00711245"/>
    <w:rsid w:val="00722F84"/>
    <w:rsid w:val="00733E43"/>
    <w:rsid w:val="00754B65"/>
    <w:rsid w:val="007A25F5"/>
    <w:rsid w:val="007A3060"/>
    <w:rsid w:val="007D3934"/>
    <w:rsid w:val="007D40B0"/>
    <w:rsid w:val="00824F2A"/>
    <w:rsid w:val="008761E0"/>
    <w:rsid w:val="00895E95"/>
    <w:rsid w:val="008C5CBB"/>
    <w:rsid w:val="008D4A3B"/>
    <w:rsid w:val="008F13B5"/>
    <w:rsid w:val="008F656F"/>
    <w:rsid w:val="00917F18"/>
    <w:rsid w:val="00923596"/>
    <w:rsid w:val="00923BBB"/>
    <w:rsid w:val="00956EFE"/>
    <w:rsid w:val="00997707"/>
    <w:rsid w:val="00997FAC"/>
    <w:rsid w:val="00A14597"/>
    <w:rsid w:val="00A269FF"/>
    <w:rsid w:val="00A638CF"/>
    <w:rsid w:val="00A94CD0"/>
    <w:rsid w:val="00AE771E"/>
    <w:rsid w:val="00B10EB7"/>
    <w:rsid w:val="00B33C22"/>
    <w:rsid w:val="00B364C0"/>
    <w:rsid w:val="00B81E51"/>
    <w:rsid w:val="00BC5A5E"/>
    <w:rsid w:val="00BD3ADA"/>
    <w:rsid w:val="00BF325A"/>
    <w:rsid w:val="00C1223B"/>
    <w:rsid w:val="00C4338B"/>
    <w:rsid w:val="00C73D30"/>
    <w:rsid w:val="00CB0327"/>
    <w:rsid w:val="00CD634B"/>
    <w:rsid w:val="00CE0BEB"/>
    <w:rsid w:val="00CF1672"/>
    <w:rsid w:val="00D11D80"/>
    <w:rsid w:val="00D4724D"/>
    <w:rsid w:val="00D50532"/>
    <w:rsid w:val="00D61BC4"/>
    <w:rsid w:val="00DF6DF6"/>
    <w:rsid w:val="00E0197F"/>
    <w:rsid w:val="00E200C6"/>
    <w:rsid w:val="00E32F06"/>
    <w:rsid w:val="00E56D58"/>
    <w:rsid w:val="00EB6C75"/>
    <w:rsid w:val="00EC3F13"/>
    <w:rsid w:val="00EF04AF"/>
    <w:rsid w:val="00EF2E07"/>
    <w:rsid w:val="00F35BC4"/>
    <w:rsid w:val="00F46DA9"/>
    <w:rsid w:val="0187B063"/>
    <w:rsid w:val="062E6589"/>
    <w:rsid w:val="0655C430"/>
    <w:rsid w:val="0F5CDA2A"/>
    <w:rsid w:val="10D5C5FF"/>
    <w:rsid w:val="12C9977E"/>
    <w:rsid w:val="170F1978"/>
    <w:rsid w:val="1D668A91"/>
    <w:rsid w:val="1F203501"/>
    <w:rsid w:val="1F590D7D"/>
    <w:rsid w:val="3046E506"/>
    <w:rsid w:val="32FAB69A"/>
    <w:rsid w:val="351AF997"/>
    <w:rsid w:val="3A59CD24"/>
    <w:rsid w:val="3A9BF149"/>
    <w:rsid w:val="3D3DBBA6"/>
    <w:rsid w:val="3E054504"/>
    <w:rsid w:val="65E102C9"/>
    <w:rsid w:val="67816FEA"/>
    <w:rsid w:val="6EB79EC1"/>
    <w:rsid w:val="6FA65AF7"/>
    <w:rsid w:val="70990161"/>
    <w:rsid w:val="752060EC"/>
    <w:rsid w:val="7A76E4D6"/>
    <w:rsid w:val="7A84C494"/>
    <w:rsid w:val="7F88C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AEA9"/>
  <w15:chartTrackingRefBased/>
  <w15:docId w15:val="{9C0515DD-B946-4E48-A685-A58FD8E7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B88"/>
    <w:pPr>
      <w:ind w:left="720"/>
      <w:contextualSpacing/>
    </w:pPr>
  </w:style>
  <w:style w:type="paragraph" w:styleId="NormalWeb">
    <w:name w:val="Normal (Web)"/>
    <w:basedOn w:val="Normal"/>
    <w:uiPriority w:val="99"/>
    <w:semiHidden/>
    <w:unhideWhenUsed/>
    <w:rsid w:val="000F4B8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vision">
    <w:name w:val="Revision"/>
    <w:hidden/>
    <w:uiPriority w:val="99"/>
    <w:semiHidden/>
    <w:rsid w:val="00AE7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586">
      <w:bodyDiv w:val="1"/>
      <w:marLeft w:val="0"/>
      <w:marRight w:val="0"/>
      <w:marTop w:val="0"/>
      <w:marBottom w:val="0"/>
      <w:divBdr>
        <w:top w:val="none" w:sz="0" w:space="0" w:color="auto"/>
        <w:left w:val="none" w:sz="0" w:space="0" w:color="auto"/>
        <w:bottom w:val="none" w:sz="0" w:space="0" w:color="auto"/>
        <w:right w:val="none" w:sz="0" w:space="0" w:color="auto"/>
      </w:divBdr>
    </w:div>
    <w:div w:id="302925843">
      <w:bodyDiv w:val="1"/>
      <w:marLeft w:val="0"/>
      <w:marRight w:val="0"/>
      <w:marTop w:val="0"/>
      <w:marBottom w:val="0"/>
      <w:divBdr>
        <w:top w:val="none" w:sz="0" w:space="0" w:color="auto"/>
        <w:left w:val="none" w:sz="0" w:space="0" w:color="auto"/>
        <w:bottom w:val="none" w:sz="0" w:space="0" w:color="auto"/>
        <w:right w:val="none" w:sz="0" w:space="0" w:color="auto"/>
      </w:divBdr>
      <w:divsChild>
        <w:div w:id="77365058">
          <w:marLeft w:val="547"/>
          <w:marRight w:val="0"/>
          <w:marTop w:val="200"/>
          <w:marBottom w:val="0"/>
          <w:divBdr>
            <w:top w:val="none" w:sz="0" w:space="0" w:color="auto"/>
            <w:left w:val="none" w:sz="0" w:space="0" w:color="auto"/>
            <w:bottom w:val="none" w:sz="0" w:space="0" w:color="auto"/>
            <w:right w:val="none" w:sz="0" w:space="0" w:color="auto"/>
          </w:divBdr>
        </w:div>
        <w:div w:id="258565898">
          <w:marLeft w:val="547"/>
          <w:marRight w:val="0"/>
          <w:marTop w:val="200"/>
          <w:marBottom w:val="0"/>
          <w:divBdr>
            <w:top w:val="none" w:sz="0" w:space="0" w:color="auto"/>
            <w:left w:val="none" w:sz="0" w:space="0" w:color="auto"/>
            <w:bottom w:val="none" w:sz="0" w:space="0" w:color="auto"/>
            <w:right w:val="none" w:sz="0" w:space="0" w:color="auto"/>
          </w:divBdr>
        </w:div>
        <w:div w:id="1262686725">
          <w:marLeft w:val="547"/>
          <w:marRight w:val="0"/>
          <w:marTop w:val="200"/>
          <w:marBottom w:val="0"/>
          <w:divBdr>
            <w:top w:val="none" w:sz="0" w:space="0" w:color="auto"/>
            <w:left w:val="none" w:sz="0" w:space="0" w:color="auto"/>
            <w:bottom w:val="none" w:sz="0" w:space="0" w:color="auto"/>
            <w:right w:val="none" w:sz="0" w:space="0" w:color="auto"/>
          </w:divBdr>
        </w:div>
        <w:div w:id="1896163461">
          <w:marLeft w:val="547"/>
          <w:marRight w:val="0"/>
          <w:marTop w:val="200"/>
          <w:marBottom w:val="0"/>
          <w:divBdr>
            <w:top w:val="none" w:sz="0" w:space="0" w:color="auto"/>
            <w:left w:val="none" w:sz="0" w:space="0" w:color="auto"/>
            <w:bottom w:val="none" w:sz="0" w:space="0" w:color="auto"/>
            <w:right w:val="none" w:sz="0" w:space="0" w:color="auto"/>
          </w:divBdr>
        </w:div>
      </w:divsChild>
    </w:div>
    <w:div w:id="350230731">
      <w:bodyDiv w:val="1"/>
      <w:marLeft w:val="0"/>
      <w:marRight w:val="0"/>
      <w:marTop w:val="0"/>
      <w:marBottom w:val="0"/>
      <w:divBdr>
        <w:top w:val="none" w:sz="0" w:space="0" w:color="auto"/>
        <w:left w:val="none" w:sz="0" w:space="0" w:color="auto"/>
        <w:bottom w:val="none" w:sz="0" w:space="0" w:color="auto"/>
        <w:right w:val="none" w:sz="0" w:space="0" w:color="auto"/>
      </w:divBdr>
    </w:div>
    <w:div w:id="363141440">
      <w:bodyDiv w:val="1"/>
      <w:marLeft w:val="0"/>
      <w:marRight w:val="0"/>
      <w:marTop w:val="0"/>
      <w:marBottom w:val="0"/>
      <w:divBdr>
        <w:top w:val="none" w:sz="0" w:space="0" w:color="auto"/>
        <w:left w:val="none" w:sz="0" w:space="0" w:color="auto"/>
        <w:bottom w:val="none" w:sz="0" w:space="0" w:color="auto"/>
        <w:right w:val="none" w:sz="0" w:space="0" w:color="auto"/>
      </w:divBdr>
      <w:divsChild>
        <w:div w:id="157426028">
          <w:marLeft w:val="547"/>
          <w:marRight w:val="0"/>
          <w:marTop w:val="0"/>
          <w:marBottom w:val="240"/>
          <w:divBdr>
            <w:top w:val="none" w:sz="0" w:space="0" w:color="auto"/>
            <w:left w:val="none" w:sz="0" w:space="0" w:color="auto"/>
            <w:bottom w:val="none" w:sz="0" w:space="0" w:color="auto"/>
            <w:right w:val="none" w:sz="0" w:space="0" w:color="auto"/>
          </w:divBdr>
        </w:div>
        <w:div w:id="1041056913">
          <w:marLeft w:val="547"/>
          <w:marRight w:val="0"/>
          <w:marTop w:val="0"/>
          <w:marBottom w:val="240"/>
          <w:divBdr>
            <w:top w:val="none" w:sz="0" w:space="0" w:color="auto"/>
            <w:left w:val="none" w:sz="0" w:space="0" w:color="auto"/>
            <w:bottom w:val="none" w:sz="0" w:space="0" w:color="auto"/>
            <w:right w:val="none" w:sz="0" w:space="0" w:color="auto"/>
          </w:divBdr>
        </w:div>
        <w:div w:id="1386876337">
          <w:marLeft w:val="547"/>
          <w:marRight w:val="0"/>
          <w:marTop w:val="200"/>
          <w:marBottom w:val="240"/>
          <w:divBdr>
            <w:top w:val="none" w:sz="0" w:space="0" w:color="auto"/>
            <w:left w:val="none" w:sz="0" w:space="0" w:color="auto"/>
            <w:bottom w:val="none" w:sz="0" w:space="0" w:color="auto"/>
            <w:right w:val="none" w:sz="0" w:space="0" w:color="auto"/>
          </w:divBdr>
        </w:div>
        <w:div w:id="1620992573">
          <w:marLeft w:val="547"/>
          <w:marRight w:val="0"/>
          <w:marTop w:val="0"/>
          <w:marBottom w:val="240"/>
          <w:divBdr>
            <w:top w:val="none" w:sz="0" w:space="0" w:color="auto"/>
            <w:left w:val="none" w:sz="0" w:space="0" w:color="auto"/>
            <w:bottom w:val="none" w:sz="0" w:space="0" w:color="auto"/>
            <w:right w:val="none" w:sz="0" w:space="0" w:color="auto"/>
          </w:divBdr>
        </w:div>
        <w:div w:id="1975911480">
          <w:marLeft w:val="547"/>
          <w:marRight w:val="0"/>
          <w:marTop w:val="0"/>
          <w:marBottom w:val="240"/>
          <w:divBdr>
            <w:top w:val="none" w:sz="0" w:space="0" w:color="auto"/>
            <w:left w:val="none" w:sz="0" w:space="0" w:color="auto"/>
            <w:bottom w:val="none" w:sz="0" w:space="0" w:color="auto"/>
            <w:right w:val="none" w:sz="0" w:space="0" w:color="auto"/>
          </w:divBdr>
        </w:div>
      </w:divsChild>
    </w:div>
    <w:div w:id="413207653">
      <w:bodyDiv w:val="1"/>
      <w:marLeft w:val="0"/>
      <w:marRight w:val="0"/>
      <w:marTop w:val="0"/>
      <w:marBottom w:val="0"/>
      <w:divBdr>
        <w:top w:val="none" w:sz="0" w:space="0" w:color="auto"/>
        <w:left w:val="none" w:sz="0" w:space="0" w:color="auto"/>
        <w:bottom w:val="none" w:sz="0" w:space="0" w:color="auto"/>
        <w:right w:val="none" w:sz="0" w:space="0" w:color="auto"/>
      </w:divBdr>
    </w:div>
    <w:div w:id="618685654">
      <w:bodyDiv w:val="1"/>
      <w:marLeft w:val="0"/>
      <w:marRight w:val="0"/>
      <w:marTop w:val="0"/>
      <w:marBottom w:val="0"/>
      <w:divBdr>
        <w:top w:val="none" w:sz="0" w:space="0" w:color="auto"/>
        <w:left w:val="none" w:sz="0" w:space="0" w:color="auto"/>
        <w:bottom w:val="none" w:sz="0" w:space="0" w:color="auto"/>
        <w:right w:val="none" w:sz="0" w:space="0" w:color="auto"/>
      </w:divBdr>
      <w:divsChild>
        <w:div w:id="593779142">
          <w:marLeft w:val="446"/>
          <w:marRight w:val="0"/>
          <w:marTop w:val="0"/>
          <w:marBottom w:val="0"/>
          <w:divBdr>
            <w:top w:val="none" w:sz="0" w:space="0" w:color="auto"/>
            <w:left w:val="none" w:sz="0" w:space="0" w:color="auto"/>
            <w:bottom w:val="none" w:sz="0" w:space="0" w:color="auto"/>
            <w:right w:val="none" w:sz="0" w:space="0" w:color="auto"/>
          </w:divBdr>
        </w:div>
        <w:div w:id="742608243">
          <w:marLeft w:val="446"/>
          <w:marRight w:val="0"/>
          <w:marTop w:val="0"/>
          <w:marBottom w:val="0"/>
          <w:divBdr>
            <w:top w:val="none" w:sz="0" w:space="0" w:color="auto"/>
            <w:left w:val="none" w:sz="0" w:space="0" w:color="auto"/>
            <w:bottom w:val="none" w:sz="0" w:space="0" w:color="auto"/>
            <w:right w:val="none" w:sz="0" w:space="0" w:color="auto"/>
          </w:divBdr>
        </w:div>
        <w:div w:id="819347173">
          <w:marLeft w:val="446"/>
          <w:marRight w:val="0"/>
          <w:marTop w:val="0"/>
          <w:marBottom w:val="0"/>
          <w:divBdr>
            <w:top w:val="none" w:sz="0" w:space="0" w:color="auto"/>
            <w:left w:val="none" w:sz="0" w:space="0" w:color="auto"/>
            <w:bottom w:val="none" w:sz="0" w:space="0" w:color="auto"/>
            <w:right w:val="none" w:sz="0" w:space="0" w:color="auto"/>
          </w:divBdr>
        </w:div>
        <w:div w:id="1066026519">
          <w:marLeft w:val="446"/>
          <w:marRight w:val="0"/>
          <w:marTop w:val="0"/>
          <w:marBottom w:val="0"/>
          <w:divBdr>
            <w:top w:val="none" w:sz="0" w:space="0" w:color="auto"/>
            <w:left w:val="none" w:sz="0" w:space="0" w:color="auto"/>
            <w:bottom w:val="none" w:sz="0" w:space="0" w:color="auto"/>
            <w:right w:val="none" w:sz="0" w:space="0" w:color="auto"/>
          </w:divBdr>
        </w:div>
      </w:divsChild>
    </w:div>
    <w:div w:id="794296358">
      <w:bodyDiv w:val="1"/>
      <w:marLeft w:val="0"/>
      <w:marRight w:val="0"/>
      <w:marTop w:val="0"/>
      <w:marBottom w:val="0"/>
      <w:divBdr>
        <w:top w:val="none" w:sz="0" w:space="0" w:color="auto"/>
        <w:left w:val="none" w:sz="0" w:space="0" w:color="auto"/>
        <w:bottom w:val="none" w:sz="0" w:space="0" w:color="auto"/>
        <w:right w:val="none" w:sz="0" w:space="0" w:color="auto"/>
      </w:divBdr>
      <w:divsChild>
        <w:div w:id="820468960">
          <w:marLeft w:val="547"/>
          <w:marRight w:val="0"/>
          <w:marTop w:val="0"/>
          <w:marBottom w:val="240"/>
          <w:divBdr>
            <w:top w:val="none" w:sz="0" w:space="0" w:color="auto"/>
            <w:left w:val="none" w:sz="0" w:space="0" w:color="auto"/>
            <w:bottom w:val="none" w:sz="0" w:space="0" w:color="auto"/>
            <w:right w:val="none" w:sz="0" w:space="0" w:color="auto"/>
          </w:divBdr>
        </w:div>
        <w:div w:id="1278676041">
          <w:marLeft w:val="547"/>
          <w:marRight w:val="0"/>
          <w:marTop w:val="0"/>
          <w:marBottom w:val="240"/>
          <w:divBdr>
            <w:top w:val="none" w:sz="0" w:space="0" w:color="auto"/>
            <w:left w:val="none" w:sz="0" w:space="0" w:color="auto"/>
            <w:bottom w:val="none" w:sz="0" w:space="0" w:color="auto"/>
            <w:right w:val="none" w:sz="0" w:space="0" w:color="auto"/>
          </w:divBdr>
        </w:div>
        <w:div w:id="1440877163">
          <w:marLeft w:val="547"/>
          <w:marRight w:val="0"/>
          <w:marTop w:val="0"/>
          <w:marBottom w:val="240"/>
          <w:divBdr>
            <w:top w:val="none" w:sz="0" w:space="0" w:color="auto"/>
            <w:left w:val="none" w:sz="0" w:space="0" w:color="auto"/>
            <w:bottom w:val="none" w:sz="0" w:space="0" w:color="auto"/>
            <w:right w:val="none" w:sz="0" w:space="0" w:color="auto"/>
          </w:divBdr>
        </w:div>
        <w:div w:id="1842160256">
          <w:marLeft w:val="547"/>
          <w:marRight w:val="0"/>
          <w:marTop w:val="0"/>
          <w:marBottom w:val="240"/>
          <w:divBdr>
            <w:top w:val="none" w:sz="0" w:space="0" w:color="auto"/>
            <w:left w:val="none" w:sz="0" w:space="0" w:color="auto"/>
            <w:bottom w:val="none" w:sz="0" w:space="0" w:color="auto"/>
            <w:right w:val="none" w:sz="0" w:space="0" w:color="auto"/>
          </w:divBdr>
        </w:div>
        <w:div w:id="2034257309">
          <w:marLeft w:val="547"/>
          <w:marRight w:val="0"/>
          <w:marTop w:val="0"/>
          <w:marBottom w:val="240"/>
          <w:divBdr>
            <w:top w:val="none" w:sz="0" w:space="0" w:color="auto"/>
            <w:left w:val="none" w:sz="0" w:space="0" w:color="auto"/>
            <w:bottom w:val="none" w:sz="0" w:space="0" w:color="auto"/>
            <w:right w:val="none" w:sz="0" w:space="0" w:color="auto"/>
          </w:divBdr>
        </w:div>
      </w:divsChild>
    </w:div>
    <w:div w:id="815803473">
      <w:bodyDiv w:val="1"/>
      <w:marLeft w:val="0"/>
      <w:marRight w:val="0"/>
      <w:marTop w:val="0"/>
      <w:marBottom w:val="0"/>
      <w:divBdr>
        <w:top w:val="none" w:sz="0" w:space="0" w:color="auto"/>
        <w:left w:val="none" w:sz="0" w:space="0" w:color="auto"/>
        <w:bottom w:val="none" w:sz="0" w:space="0" w:color="auto"/>
        <w:right w:val="none" w:sz="0" w:space="0" w:color="auto"/>
      </w:divBdr>
    </w:div>
    <w:div w:id="846600179">
      <w:bodyDiv w:val="1"/>
      <w:marLeft w:val="0"/>
      <w:marRight w:val="0"/>
      <w:marTop w:val="0"/>
      <w:marBottom w:val="0"/>
      <w:divBdr>
        <w:top w:val="none" w:sz="0" w:space="0" w:color="auto"/>
        <w:left w:val="none" w:sz="0" w:space="0" w:color="auto"/>
        <w:bottom w:val="none" w:sz="0" w:space="0" w:color="auto"/>
        <w:right w:val="none" w:sz="0" w:space="0" w:color="auto"/>
      </w:divBdr>
    </w:div>
    <w:div w:id="861893095">
      <w:bodyDiv w:val="1"/>
      <w:marLeft w:val="0"/>
      <w:marRight w:val="0"/>
      <w:marTop w:val="0"/>
      <w:marBottom w:val="0"/>
      <w:divBdr>
        <w:top w:val="none" w:sz="0" w:space="0" w:color="auto"/>
        <w:left w:val="none" w:sz="0" w:space="0" w:color="auto"/>
        <w:bottom w:val="none" w:sz="0" w:space="0" w:color="auto"/>
        <w:right w:val="none" w:sz="0" w:space="0" w:color="auto"/>
      </w:divBdr>
    </w:div>
    <w:div w:id="929392381">
      <w:bodyDiv w:val="1"/>
      <w:marLeft w:val="0"/>
      <w:marRight w:val="0"/>
      <w:marTop w:val="0"/>
      <w:marBottom w:val="0"/>
      <w:divBdr>
        <w:top w:val="none" w:sz="0" w:space="0" w:color="auto"/>
        <w:left w:val="none" w:sz="0" w:space="0" w:color="auto"/>
        <w:bottom w:val="none" w:sz="0" w:space="0" w:color="auto"/>
        <w:right w:val="none" w:sz="0" w:space="0" w:color="auto"/>
      </w:divBdr>
    </w:div>
    <w:div w:id="967974151">
      <w:bodyDiv w:val="1"/>
      <w:marLeft w:val="0"/>
      <w:marRight w:val="0"/>
      <w:marTop w:val="0"/>
      <w:marBottom w:val="0"/>
      <w:divBdr>
        <w:top w:val="none" w:sz="0" w:space="0" w:color="auto"/>
        <w:left w:val="none" w:sz="0" w:space="0" w:color="auto"/>
        <w:bottom w:val="none" w:sz="0" w:space="0" w:color="auto"/>
        <w:right w:val="none" w:sz="0" w:space="0" w:color="auto"/>
      </w:divBdr>
    </w:div>
    <w:div w:id="1179344631">
      <w:bodyDiv w:val="1"/>
      <w:marLeft w:val="0"/>
      <w:marRight w:val="0"/>
      <w:marTop w:val="0"/>
      <w:marBottom w:val="0"/>
      <w:divBdr>
        <w:top w:val="none" w:sz="0" w:space="0" w:color="auto"/>
        <w:left w:val="none" w:sz="0" w:space="0" w:color="auto"/>
        <w:bottom w:val="none" w:sz="0" w:space="0" w:color="auto"/>
        <w:right w:val="none" w:sz="0" w:space="0" w:color="auto"/>
      </w:divBdr>
      <w:divsChild>
        <w:div w:id="93287157">
          <w:marLeft w:val="547"/>
          <w:marRight w:val="0"/>
          <w:marTop w:val="200"/>
          <w:marBottom w:val="0"/>
          <w:divBdr>
            <w:top w:val="none" w:sz="0" w:space="0" w:color="auto"/>
            <w:left w:val="none" w:sz="0" w:space="0" w:color="auto"/>
            <w:bottom w:val="none" w:sz="0" w:space="0" w:color="auto"/>
            <w:right w:val="none" w:sz="0" w:space="0" w:color="auto"/>
          </w:divBdr>
        </w:div>
        <w:div w:id="1240098282">
          <w:marLeft w:val="547"/>
          <w:marRight w:val="0"/>
          <w:marTop w:val="200"/>
          <w:marBottom w:val="0"/>
          <w:divBdr>
            <w:top w:val="none" w:sz="0" w:space="0" w:color="auto"/>
            <w:left w:val="none" w:sz="0" w:space="0" w:color="auto"/>
            <w:bottom w:val="none" w:sz="0" w:space="0" w:color="auto"/>
            <w:right w:val="none" w:sz="0" w:space="0" w:color="auto"/>
          </w:divBdr>
        </w:div>
        <w:div w:id="1291664884">
          <w:marLeft w:val="547"/>
          <w:marRight w:val="0"/>
          <w:marTop w:val="200"/>
          <w:marBottom w:val="0"/>
          <w:divBdr>
            <w:top w:val="none" w:sz="0" w:space="0" w:color="auto"/>
            <w:left w:val="none" w:sz="0" w:space="0" w:color="auto"/>
            <w:bottom w:val="none" w:sz="0" w:space="0" w:color="auto"/>
            <w:right w:val="none" w:sz="0" w:space="0" w:color="auto"/>
          </w:divBdr>
        </w:div>
        <w:div w:id="1960646261">
          <w:marLeft w:val="547"/>
          <w:marRight w:val="0"/>
          <w:marTop w:val="200"/>
          <w:marBottom w:val="0"/>
          <w:divBdr>
            <w:top w:val="none" w:sz="0" w:space="0" w:color="auto"/>
            <w:left w:val="none" w:sz="0" w:space="0" w:color="auto"/>
            <w:bottom w:val="none" w:sz="0" w:space="0" w:color="auto"/>
            <w:right w:val="none" w:sz="0" w:space="0" w:color="auto"/>
          </w:divBdr>
        </w:div>
      </w:divsChild>
    </w:div>
    <w:div w:id="1274481311">
      <w:bodyDiv w:val="1"/>
      <w:marLeft w:val="0"/>
      <w:marRight w:val="0"/>
      <w:marTop w:val="0"/>
      <w:marBottom w:val="0"/>
      <w:divBdr>
        <w:top w:val="none" w:sz="0" w:space="0" w:color="auto"/>
        <w:left w:val="none" w:sz="0" w:space="0" w:color="auto"/>
        <w:bottom w:val="none" w:sz="0" w:space="0" w:color="auto"/>
        <w:right w:val="none" w:sz="0" w:space="0" w:color="auto"/>
      </w:divBdr>
    </w:div>
    <w:div w:id="1450471008">
      <w:bodyDiv w:val="1"/>
      <w:marLeft w:val="0"/>
      <w:marRight w:val="0"/>
      <w:marTop w:val="0"/>
      <w:marBottom w:val="0"/>
      <w:divBdr>
        <w:top w:val="none" w:sz="0" w:space="0" w:color="auto"/>
        <w:left w:val="none" w:sz="0" w:space="0" w:color="auto"/>
        <w:bottom w:val="none" w:sz="0" w:space="0" w:color="auto"/>
        <w:right w:val="none" w:sz="0" w:space="0" w:color="auto"/>
      </w:divBdr>
      <w:divsChild>
        <w:div w:id="6830205">
          <w:marLeft w:val="547"/>
          <w:marRight w:val="0"/>
          <w:marTop w:val="0"/>
          <w:marBottom w:val="0"/>
          <w:divBdr>
            <w:top w:val="none" w:sz="0" w:space="0" w:color="auto"/>
            <w:left w:val="none" w:sz="0" w:space="0" w:color="auto"/>
            <w:bottom w:val="none" w:sz="0" w:space="0" w:color="auto"/>
            <w:right w:val="none" w:sz="0" w:space="0" w:color="auto"/>
          </w:divBdr>
        </w:div>
        <w:div w:id="960451303">
          <w:marLeft w:val="547"/>
          <w:marRight w:val="0"/>
          <w:marTop w:val="0"/>
          <w:marBottom w:val="0"/>
          <w:divBdr>
            <w:top w:val="none" w:sz="0" w:space="0" w:color="auto"/>
            <w:left w:val="none" w:sz="0" w:space="0" w:color="auto"/>
            <w:bottom w:val="none" w:sz="0" w:space="0" w:color="auto"/>
            <w:right w:val="none" w:sz="0" w:space="0" w:color="auto"/>
          </w:divBdr>
        </w:div>
        <w:div w:id="1409111215">
          <w:marLeft w:val="547"/>
          <w:marRight w:val="0"/>
          <w:marTop w:val="0"/>
          <w:marBottom w:val="0"/>
          <w:divBdr>
            <w:top w:val="none" w:sz="0" w:space="0" w:color="auto"/>
            <w:left w:val="none" w:sz="0" w:space="0" w:color="auto"/>
            <w:bottom w:val="none" w:sz="0" w:space="0" w:color="auto"/>
            <w:right w:val="none" w:sz="0" w:space="0" w:color="auto"/>
          </w:divBdr>
        </w:div>
      </w:divsChild>
    </w:div>
    <w:div w:id="1504080140">
      <w:bodyDiv w:val="1"/>
      <w:marLeft w:val="0"/>
      <w:marRight w:val="0"/>
      <w:marTop w:val="0"/>
      <w:marBottom w:val="0"/>
      <w:divBdr>
        <w:top w:val="none" w:sz="0" w:space="0" w:color="auto"/>
        <w:left w:val="none" w:sz="0" w:space="0" w:color="auto"/>
        <w:bottom w:val="none" w:sz="0" w:space="0" w:color="auto"/>
        <w:right w:val="none" w:sz="0" w:space="0" w:color="auto"/>
      </w:divBdr>
    </w:div>
    <w:div w:id="1641694663">
      <w:bodyDiv w:val="1"/>
      <w:marLeft w:val="0"/>
      <w:marRight w:val="0"/>
      <w:marTop w:val="0"/>
      <w:marBottom w:val="0"/>
      <w:divBdr>
        <w:top w:val="none" w:sz="0" w:space="0" w:color="auto"/>
        <w:left w:val="none" w:sz="0" w:space="0" w:color="auto"/>
        <w:bottom w:val="none" w:sz="0" w:space="0" w:color="auto"/>
        <w:right w:val="none" w:sz="0" w:space="0" w:color="auto"/>
      </w:divBdr>
    </w:div>
    <w:div w:id="1719551301">
      <w:bodyDiv w:val="1"/>
      <w:marLeft w:val="0"/>
      <w:marRight w:val="0"/>
      <w:marTop w:val="0"/>
      <w:marBottom w:val="0"/>
      <w:divBdr>
        <w:top w:val="none" w:sz="0" w:space="0" w:color="auto"/>
        <w:left w:val="none" w:sz="0" w:space="0" w:color="auto"/>
        <w:bottom w:val="none" w:sz="0" w:space="0" w:color="auto"/>
        <w:right w:val="none" w:sz="0" w:space="0" w:color="auto"/>
      </w:divBdr>
    </w:div>
    <w:div w:id="1830092935">
      <w:bodyDiv w:val="1"/>
      <w:marLeft w:val="0"/>
      <w:marRight w:val="0"/>
      <w:marTop w:val="0"/>
      <w:marBottom w:val="0"/>
      <w:divBdr>
        <w:top w:val="none" w:sz="0" w:space="0" w:color="auto"/>
        <w:left w:val="none" w:sz="0" w:space="0" w:color="auto"/>
        <w:bottom w:val="none" w:sz="0" w:space="0" w:color="auto"/>
        <w:right w:val="none" w:sz="0" w:space="0" w:color="auto"/>
      </w:divBdr>
    </w:div>
    <w:div w:id="1902252961">
      <w:bodyDiv w:val="1"/>
      <w:marLeft w:val="0"/>
      <w:marRight w:val="0"/>
      <w:marTop w:val="0"/>
      <w:marBottom w:val="0"/>
      <w:divBdr>
        <w:top w:val="none" w:sz="0" w:space="0" w:color="auto"/>
        <w:left w:val="none" w:sz="0" w:space="0" w:color="auto"/>
        <w:bottom w:val="none" w:sz="0" w:space="0" w:color="auto"/>
        <w:right w:val="none" w:sz="0" w:space="0" w:color="auto"/>
      </w:divBdr>
    </w:div>
    <w:div w:id="1976174933">
      <w:bodyDiv w:val="1"/>
      <w:marLeft w:val="0"/>
      <w:marRight w:val="0"/>
      <w:marTop w:val="0"/>
      <w:marBottom w:val="0"/>
      <w:divBdr>
        <w:top w:val="none" w:sz="0" w:space="0" w:color="auto"/>
        <w:left w:val="none" w:sz="0" w:space="0" w:color="auto"/>
        <w:bottom w:val="none" w:sz="0" w:space="0" w:color="auto"/>
        <w:right w:val="none" w:sz="0" w:space="0" w:color="auto"/>
      </w:divBdr>
    </w:div>
    <w:div w:id="2013484020">
      <w:bodyDiv w:val="1"/>
      <w:marLeft w:val="0"/>
      <w:marRight w:val="0"/>
      <w:marTop w:val="0"/>
      <w:marBottom w:val="0"/>
      <w:divBdr>
        <w:top w:val="none" w:sz="0" w:space="0" w:color="auto"/>
        <w:left w:val="none" w:sz="0" w:space="0" w:color="auto"/>
        <w:bottom w:val="none" w:sz="0" w:space="0" w:color="auto"/>
        <w:right w:val="none" w:sz="0" w:space="0" w:color="auto"/>
      </w:divBdr>
    </w:div>
    <w:div w:id="2077163867">
      <w:bodyDiv w:val="1"/>
      <w:marLeft w:val="0"/>
      <w:marRight w:val="0"/>
      <w:marTop w:val="0"/>
      <w:marBottom w:val="0"/>
      <w:divBdr>
        <w:top w:val="none" w:sz="0" w:space="0" w:color="auto"/>
        <w:left w:val="none" w:sz="0" w:space="0" w:color="auto"/>
        <w:bottom w:val="none" w:sz="0" w:space="0" w:color="auto"/>
        <w:right w:val="none" w:sz="0" w:space="0" w:color="auto"/>
      </w:divBdr>
    </w:div>
    <w:div w:id="212364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F0631F-8936-494D-9834-769B75543FAF}">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2.xml><?xml version="1.0" encoding="utf-8"?>
<ds:datastoreItem xmlns:ds="http://schemas.openxmlformats.org/officeDocument/2006/customXml" ds:itemID="{D8930F96-F8F7-40EC-8CA8-991FFC14D077}">
  <ds:schemaRefs>
    <ds:schemaRef ds:uri="http://schemas.microsoft.com/sharepoint/v3/contenttype/forms"/>
  </ds:schemaRefs>
</ds:datastoreItem>
</file>

<file path=customXml/itemProps3.xml><?xml version="1.0" encoding="utf-8"?>
<ds:datastoreItem xmlns:ds="http://schemas.openxmlformats.org/officeDocument/2006/customXml" ds:itemID="{1155B10C-B411-49EF-BB5C-DA1D63910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Lawson</dc:creator>
  <cp:keywords/>
  <dc:description/>
  <cp:lastModifiedBy>Giulia Ricci</cp:lastModifiedBy>
  <cp:revision>95</cp:revision>
  <dcterms:created xsi:type="dcterms:W3CDTF">2023-01-20T17:37:00Z</dcterms:created>
  <dcterms:modified xsi:type="dcterms:W3CDTF">2025-08-03T07:20:00Z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22492300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