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D4B4" w14:textId="589A126F" w:rsidR="11D41187" w:rsidRDefault="11D41187" w:rsidP="02E33721">
      <w:pPr>
        <w:spacing w:before="240" w:after="240"/>
        <w:rPr>
          <w:rFonts w:ascii="Calibri" w:eastAsia="Calibri" w:hAnsi="Calibri" w:cs="Calibri"/>
          <w:b/>
          <w:bCs/>
        </w:rPr>
      </w:pPr>
      <w:r w:rsidRPr="02E33721">
        <w:rPr>
          <w:rFonts w:ascii="Calibri" w:eastAsia="Calibri" w:hAnsi="Calibri" w:cs="Calibri"/>
          <w:b/>
          <w:bCs/>
        </w:rPr>
        <w:t>Research in the context of an IPO</w:t>
      </w:r>
    </w:p>
    <w:p w14:paraId="14FF456C" w14:textId="78BBB9CA" w:rsidR="0066667B" w:rsidRPr="00D01F8B" w:rsidRDefault="00726AC7" w:rsidP="02E33721">
      <w:pPr>
        <w:spacing w:before="240" w:after="240"/>
        <w:rPr>
          <w:lang w:val="en-GB"/>
        </w:rPr>
      </w:pPr>
      <w:r w:rsidRPr="00726AC7">
        <w:rPr>
          <w:lang w:val="en-GB"/>
        </w:rPr>
        <w:t>This element explains the importance of research reports and how they are produced.</w:t>
      </w:r>
    </w:p>
    <w:p w14:paraId="738D1B1C" w14:textId="59E012B1" w:rsidR="11D41187" w:rsidRPr="00D01F8B" w:rsidRDefault="11D41187" w:rsidP="02E33721">
      <w:pPr>
        <w:spacing w:before="240" w:after="240"/>
        <w:rPr>
          <w:b/>
          <w:bCs/>
        </w:rPr>
      </w:pPr>
      <w:r w:rsidRPr="00D01F8B">
        <w:rPr>
          <w:rFonts w:ascii="Calibri" w:eastAsia="Calibri" w:hAnsi="Calibri" w:cs="Calibri"/>
          <w:b/>
          <w:bCs/>
        </w:rPr>
        <w:t>Research reports</w:t>
      </w:r>
    </w:p>
    <w:p w14:paraId="7863D5D8" w14:textId="13D0F3CD" w:rsidR="11D41187" w:rsidRDefault="11D41187" w:rsidP="02E33721">
      <w:pPr>
        <w:spacing w:before="240" w:after="240"/>
      </w:pPr>
      <w:r w:rsidRPr="007A480B">
        <w:rPr>
          <w:rFonts w:ascii="Calibri" w:eastAsia="Calibri" w:hAnsi="Calibri" w:cs="Calibri"/>
          <w:highlight w:val="yellow"/>
        </w:rPr>
        <w:t>Research reports</w:t>
      </w:r>
      <w:r w:rsidRPr="02E33721">
        <w:rPr>
          <w:rFonts w:ascii="Calibri" w:eastAsia="Calibri" w:hAnsi="Calibri" w:cs="Calibri"/>
        </w:rPr>
        <w:t xml:space="preserve"> on listed companies are regularly produced by </w:t>
      </w:r>
      <w:r w:rsidR="00E20EB7" w:rsidRPr="007A480B">
        <w:rPr>
          <w:rFonts w:ascii="Calibri" w:eastAsia="Calibri" w:hAnsi="Calibri" w:cs="Calibri"/>
          <w:highlight w:val="yellow"/>
        </w:rPr>
        <w:t>‘</w:t>
      </w:r>
      <w:r w:rsidRPr="007A480B">
        <w:rPr>
          <w:rFonts w:ascii="Calibri" w:eastAsia="Calibri" w:hAnsi="Calibri" w:cs="Calibri"/>
          <w:b/>
          <w:bCs/>
          <w:highlight w:val="yellow"/>
        </w:rPr>
        <w:t xml:space="preserve">research </w:t>
      </w:r>
      <w:proofErr w:type="gramStart"/>
      <w:r w:rsidRPr="007A480B">
        <w:rPr>
          <w:rFonts w:ascii="Calibri" w:eastAsia="Calibri" w:hAnsi="Calibri" w:cs="Calibri"/>
          <w:b/>
          <w:bCs/>
          <w:highlight w:val="yellow"/>
        </w:rPr>
        <w:t>analysts</w:t>
      </w:r>
      <w:r w:rsidR="00E20EB7" w:rsidRPr="007A480B">
        <w:rPr>
          <w:rFonts w:ascii="Calibri" w:eastAsia="Calibri" w:hAnsi="Calibri" w:cs="Calibri"/>
          <w:highlight w:val="yellow"/>
        </w:rPr>
        <w:t>’</w:t>
      </w:r>
      <w:proofErr w:type="gramEnd"/>
      <w:r w:rsidRPr="02E33721">
        <w:rPr>
          <w:rFonts w:ascii="Calibri" w:eastAsia="Calibri" w:hAnsi="Calibri" w:cs="Calibri"/>
        </w:rPr>
        <w:t xml:space="preserve">. These analysts are generally </w:t>
      </w:r>
      <w:r w:rsidRPr="007A480B">
        <w:rPr>
          <w:rFonts w:ascii="Calibri" w:eastAsia="Calibri" w:hAnsi="Calibri" w:cs="Calibri"/>
          <w:highlight w:val="yellow"/>
        </w:rPr>
        <w:t>employed by investment banks or corporate brokers</w:t>
      </w:r>
      <w:r w:rsidRPr="02E33721">
        <w:rPr>
          <w:rFonts w:ascii="Calibri" w:eastAsia="Calibri" w:hAnsi="Calibri" w:cs="Calibri"/>
        </w:rPr>
        <w:t xml:space="preserve"> who work behind an information barrier so that they remain independent of colleagues who may be advising the companies themselves. </w:t>
      </w:r>
    </w:p>
    <w:p w14:paraId="17E87D82" w14:textId="47C66913" w:rsidR="11D41187" w:rsidRDefault="11D41187" w:rsidP="02E33721">
      <w:pPr>
        <w:spacing w:before="240" w:after="240"/>
      </w:pPr>
      <w:r w:rsidRPr="02E33721">
        <w:rPr>
          <w:rFonts w:ascii="Calibri" w:eastAsia="Calibri" w:hAnsi="Calibri" w:cs="Calibri"/>
        </w:rPr>
        <w:t xml:space="preserve">Research is: </w:t>
      </w:r>
    </w:p>
    <w:p w14:paraId="678B37DF" w14:textId="5225B02D" w:rsidR="11D41187" w:rsidRPr="007A480B" w:rsidRDefault="11D41187" w:rsidP="00D01F8B">
      <w:pPr>
        <w:pStyle w:val="ListParagraph"/>
        <w:numPr>
          <w:ilvl w:val="0"/>
          <w:numId w:val="4"/>
        </w:numPr>
        <w:spacing w:before="240" w:after="240"/>
        <w:rPr>
          <w:highlight w:val="yellow"/>
        </w:rPr>
      </w:pPr>
      <w:r w:rsidRPr="00D01F8B">
        <w:rPr>
          <w:rFonts w:ascii="Calibri" w:eastAsia="Calibri" w:hAnsi="Calibri" w:cs="Calibri"/>
        </w:rPr>
        <w:t xml:space="preserve">intended to provide an </w:t>
      </w:r>
      <w:r w:rsidRPr="007A480B">
        <w:rPr>
          <w:rFonts w:ascii="Calibri" w:eastAsia="Calibri" w:hAnsi="Calibri" w:cs="Calibri"/>
          <w:highlight w:val="yellow"/>
        </w:rPr>
        <w:t>independent view</w:t>
      </w:r>
      <w:r w:rsidRPr="00D01F8B">
        <w:rPr>
          <w:rFonts w:ascii="Calibri" w:eastAsia="Calibri" w:hAnsi="Calibri" w:cs="Calibri"/>
        </w:rPr>
        <w:t xml:space="preserve"> (including forecasts</w:t>
      </w:r>
      <w:r w:rsidRPr="007A480B">
        <w:rPr>
          <w:rFonts w:ascii="Calibri" w:eastAsia="Calibri" w:hAnsi="Calibri" w:cs="Calibri"/>
          <w:highlight w:val="yellow"/>
        </w:rPr>
        <w:t xml:space="preserve">) of the business and prospects of a listed company; and </w:t>
      </w:r>
    </w:p>
    <w:p w14:paraId="0DFEF938" w14:textId="0AE4963D" w:rsidR="11D41187" w:rsidRDefault="11D41187" w:rsidP="00D01F8B">
      <w:pPr>
        <w:pStyle w:val="ListParagraph"/>
        <w:numPr>
          <w:ilvl w:val="0"/>
          <w:numId w:val="4"/>
        </w:numPr>
        <w:spacing w:before="240" w:after="240"/>
      </w:pPr>
      <w:r w:rsidRPr="00D01F8B">
        <w:rPr>
          <w:rFonts w:ascii="Calibri" w:eastAsia="Calibri" w:hAnsi="Calibri" w:cs="Calibri"/>
        </w:rPr>
        <w:t xml:space="preserve">may include a </w:t>
      </w:r>
      <w:r w:rsidRPr="007A480B">
        <w:rPr>
          <w:rFonts w:ascii="Calibri" w:eastAsia="Calibri" w:hAnsi="Calibri" w:cs="Calibri"/>
          <w:highlight w:val="yellow"/>
        </w:rPr>
        <w:t>recommendation of whether investors should buy, sell or hold</w:t>
      </w:r>
      <w:r w:rsidRPr="00D01F8B">
        <w:rPr>
          <w:rFonts w:ascii="Calibri" w:eastAsia="Calibri" w:hAnsi="Calibri" w:cs="Calibri"/>
        </w:rPr>
        <w:t xml:space="preserve"> the listed company’s issued securities. </w:t>
      </w:r>
    </w:p>
    <w:p w14:paraId="7065A55C" w14:textId="3A163E30" w:rsidR="11D41187" w:rsidRDefault="11D41187" w:rsidP="02E33721">
      <w:pPr>
        <w:spacing w:before="240" w:after="240"/>
        <w:rPr>
          <w:rFonts w:ascii="Calibri" w:eastAsia="Calibri" w:hAnsi="Calibri" w:cs="Calibri"/>
        </w:rPr>
      </w:pPr>
      <w:r w:rsidRPr="007A480B">
        <w:rPr>
          <w:rFonts w:ascii="Calibri" w:eastAsia="Calibri" w:hAnsi="Calibri" w:cs="Calibri"/>
          <w:highlight w:val="yellow"/>
        </w:rPr>
        <w:t>Since 2018, it has been obligatory for an issuer to publish either a registration document or a full prospectus before any research is released to analysts</w:t>
      </w:r>
      <w:r w:rsidRPr="02E33721">
        <w:rPr>
          <w:rFonts w:ascii="Calibri" w:eastAsia="Calibri" w:hAnsi="Calibri" w:cs="Calibri"/>
        </w:rPr>
        <w:t>.</w:t>
      </w:r>
    </w:p>
    <w:p w14:paraId="7793FFB4" w14:textId="77777777" w:rsidR="00705ADD" w:rsidRDefault="00705ADD" w:rsidP="00D36ECA">
      <w:pPr>
        <w:spacing w:before="240" w:after="240"/>
        <w:rPr>
          <w:rFonts w:ascii="Calibri" w:eastAsia="Calibri" w:hAnsi="Calibri" w:cs="Calibri"/>
          <w:b/>
          <w:bCs/>
        </w:rPr>
      </w:pPr>
    </w:p>
    <w:p w14:paraId="38C74367" w14:textId="3A730D32" w:rsidR="00D36ECA" w:rsidRDefault="00D36ECA" w:rsidP="02E33721">
      <w:pPr>
        <w:spacing w:before="240" w:after="240"/>
      </w:pPr>
      <w:r w:rsidRPr="007A480B">
        <w:rPr>
          <w:rFonts w:ascii="Calibri" w:eastAsia="Calibri" w:hAnsi="Calibri" w:cs="Calibri"/>
          <w:b/>
          <w:bCs/>
          <w:highlight w:val="green"/>
        </w:rPr>
        <w:t>Role of research in an IPO</w:t>
      </w:r>
    </w:p>
    <w:p w14:paraId="64B68369" w14:textId="6006884C" w:rsidR="11D41187" w:rsidRDefault="11D41187" w:rsidP="02E33721">
      <w:pPr>
        <w:spacing w:before="240" w:after="240"/>
      </w:pPr>
      <w:r w:rsidRPr="02E33721">
        <w:rPr>
          <w:rFonts w:ascii="Calibri" w:eastAsia="Calibri" w:hAnsi="Calibri" w:cs="Calibri"/>
        </w:rPr>
        <w:t xml:space="preserve">The publication of research on an applicant for listing is one of the </w:t>
      </w:r>
      <w:r w:rsidRPr="007A480B">
        <w:rPr>
          <w:rFonts w:ascii="Calibri" w:eastAsia="Calibri" w:hAnsi="Calibri" w:cs="Calibri"/>
          <w:highlight w:val="yellow"/>
        </w:rPr>
        <w:t>key marketing tools</w:t>
      </w:r>
      <w:r w:rsidRPr="02E33721">
        <w:rPr>
          <w:rFonts w:ascii="Calibri" w:eastAsia="Calibri" w:hAnsi="Calibri" w:cs="Calibri"/>
        </w:rPr>
        <w:t xml:space="preserve"> used in an IPO. Research is </w:t>
      </w:r>
      <w:r w:rsidRPr="007A480B">
        <w:rPr>
          <w:rFonts w:ascii="Calibri" w:eastAsia="Calibri" w:hAnsi="Calibri" w:cs="Calibri"/>
          <w:highlight w:val="yellow"/>
        </w:rPr>
        <w:t>not a statutory or regulatory requirement</w:t>
      </w:r>
      <w:r w:rsidRPr="02E33721">
        <w:rPr>
          <w:rFonts w:ascii="Calibri" w:eastAsia="Calibri" w:hAnsi="Calibri" w:cs="Calibri"/>
        </w:rPr>
        <w:t xml:space="preserve"> but, from a commercial perspective, it is often </w:t>
      </w:r>
      <w:r w:rsidRPr="007A480B">
        <w:rPr>
          <w:rFonts w:ascii="Calibri" w:eastAsia="Calibri" w:hAnsi="Calibri" w:cs="Calibri"/>
          <w:highlight w:val="yellow"/>
        </w:rPr>
        <w:t>considered vital to the success of any IPO.</w:t>
      </w:r>
      <w:r w:rsidRPr="02E33721">
        <w:rPr>
          <w:rFonts w:ascii="Calibri" w:eastAsia="Calibri" w:hAnsi="Calibri" w:cs="Calibri"/>
        </w:rPr>
        <w:t xml:space="preserve"> </w:t>
      </w:r>
    </w:p>
    <w:p w14:paraId="62E64A27" w14:textId="06D9803A" w:rsidR="11D41187" w:rsidRDefault="11D41187" w:rsidP="02E33721">
      <w:pPr>
        <w:spacing w:before="240" w:after="240"/>
      </w:pPr>
      <w:r w:rsidRPr="02E33721">
        <w:rPr>
          <w:rFonts w:ascii="Calibri" w:eastAsia="Calibri" w:hAnsi="Calibri" w:cs="Calibri"/>
        </w:rPr>
        <w:t xml:space="preserve">On the one hand, the </w:t>
      </w:r>
      <w:r w:rsidRPr="007A480B">
        <w:rPr>
          <w:rFonts w:ascii="Calibri" w:eastAsia="Calibri" w:hAnsi="Calibri" w:cs="Calibri"/>
          <w:highlight w:val="yellow"/>
        </w:rPr>
        <w:t>prospectus is a formal document prepared by the issuer</w:t>
      </w:r>
      <w:r w:rsidRPr="02E33721">
        <w:rPr>
          <w:rFonts w:ascii="Calibri" w:eastAsia="Calibri" w:hAnsi="Calibri" w:cs="Calibri"/>
        </w:rPr>
        <w:t xml:space="preserve"> which contains </w:t>
      </w:r>
      <w:r w:rsidRPr="007A480B">
        <w:rPr>
          <w:rFonts w:ascii="Calibri" w:eastAsia="Calibri" w:hAnsi="Calibri" w:cs="Calibri"/>
          <w:highlight w:val="yellow"/>
        </w:rPr>
        <w:t>regulatory disclosures a</w:t>
      </w:r>
      <w:r w:rsidRPr="02E33721">
        <w:rPr>
          <w:rFonts w:ascii="Calibri" w:eastAsia="Calibri" w:hAnsi="Calibri" w:cs="Calibri"/>
        </w:rPr>
        <w:t xml:space="preserve">s well as the </w:t>
      </w:r>
      <w:r w:rsidRPr="007A480B">
        <w:rPr>
          <w:rFonts w:ascii="Calibri" w:eastAsia="Calibri" w:hAnsi="Calibri" w:cs="Calibri"/>
          <w:highlight w:val="yellow"/>
        </w:rPr>
        <w:t>commercial justification for the IPO.</w:t>
      </w:r>
      <w:r w:rsidRPr="02E33721">
        <w:rPr>
          <w:rFonts w:ascii="Calibri" w:eastAsia="Calibri" w:hAnsi="Calibri" w:cs="Calibri"/>
        </w:rPr>
        <w:t xml:space="preserve"> On the other hand, a </w:t>
      </w:r>
      <w:r w:rsidRPr="007A480B">
        <w:rPr>
          <w:rFonts w:ascii="Calibri" w:eastAsia="Calibri" w:hAnsi="Calibri" w:cs="Calibri"/>
          <w:highlight w:val="yellow"/>
        </w:rPr>
        <w:t>research report contains an analyst’s independent opinio</w:t>
      </w:r>
      <w:r w:rsidRPr="02E33721">
        <w:rPr>
          <w:rFonts w:ascii="Calibri" w:eastAsia="Calibri" w:hAnsi="Calibri" w:cs="Calibri"/>
        </w:rPr>
        <w:t xml:space="preserve">n (including in relation to the forecasts) on whether the issuer’s shares would make </w:t>
      </w:r>
      <w:r w:rsidRPr="007A480B">
        <w:rPr>
          <w:rFonts w:ascii="Calibri" w:eastAsia="Calibri" w:hAnsi="Calibri" w:cs="Calibri"/>
          <w:highlight w:val="yellow"/>
        </w:rPr>
        <w:t>a good investment</w:t>
      </w:r>
      <w:r w:rsidRPr="02E33721">
        <w:rPr>
          <w:rFonts w:ascii="Calibri" w:eastAsia="Calibri" w:hAnsi="Calibri" w:cs="Calibri"/>
        </w:rPr>
        <w:t xml:space="preserve">. </w:t>
      </w:r>
    </w:p>
    <w:p w14:paraId="4657350F" w14:textId="642BBF64" w:rsidR="11D41187" w:rsidRDefault="11D41187" w:rsidP="02E33721">
      <w:pPr>
        <w:spacing w:before="240" w:after="240"/>
      </w:pPr>
      <w:r w:rsidRPr="02E33721">
        <w:rPr>
          <w:rFonts w:ascii="Calibri" w:eastAsia="Calibri" w:hAnsi="Calibri" w:cs="Calibri"/>
        </w:rPr>
        <w:t xml:space="preserve">Investors understandably often see the </w:t>
      </w:r>
      <w:r w:rsidRPr="007A480B">
        <w:rPr>
          <w:rFonts w:ascii="Calibri" w:eastAsia="Calibri" w:hAnsi="Calibri" w:cs="Calibri"/>
          <w:highlight w:val="yellow"/>
        </w:rPr>
        <w:t>research report as a very important</w:t>
      </w:r>
      <w:r w:rsidRPr="02E33721">
        <w:rPr>
          <w:rFonts w:ascii="Calibri" w:eastAsia="Calibri" w:hAnsi="Calibri" w:cs="Calibri"/>
        </w:rPr>
        <w:t xml:space="preserve"> measure of whether they should invest in the company and at what price. </w:t>
      </w:r>
    </w:p>
    <w:p w14:paraId="2C3FA6E2" w14:textId="232F3FDC" w:rsidR="11D41187" w:rsidRPr="00D01F8B" w:rsidRDefault="11D41187" w:rsidP="02E33721">
      <w:pPr>
        <w:spacing w:before="240" w:after="240"/>
        <w:rPr>
          <w:b/>
          <w:bCs/>
        </w:rPr>
      </w:pPr>
      <w:r w:rsidRPr="00D01F8B">
        <w:rPr>
          <w:rFonts w:ascii="Calibri" w:eastAsia="Calibri" w:hAnsi="Calibri" w:cs="Calibri"/>
          <w:b/>
          <w:bCs/>
        </w:rPr>
        <w:t xml:space="preserve">Production of research </w:t>
      </w:r>
    </w:p>
    <w:p w14:paraId="7ED05B0A" w14:textId="51ACCC58" w:rsidR="11D41187" w:rsidRDefault="00454FEE" w:rsidP="02E33721">
      <w:pPr>
        <w:spacing w:before="240" w:after="240"/>
      </w:pPr>
      <w:r>
        <w:rPr>
          <w:rFonts w:ascii="Calibri" w:eastAsia="Calibri" w:hAnsi="Calibri" w:cs="Calibri"/>
        </w:rPr>
        <w:t>I</w:t>
      </w:r>
      <w:r w:rsidR="11D41187" w:rsidRPr="02E33721">
        <w:rPr>
          <w:rFonts w:ascii="Calibri" w:eastAsia="Calibri" w:hAnsi="Calibri" w:cs="Calibri"/>
        </w:rPr>
        <w:t xml:space="preserve">n order to produce a research report, an </w:t>
      </w:r>
      <w:r w:rsidR="11D41187" w:rsidRPr="007A480B">
        <w:rPr>
          <w:rFonts w:ascii="Calibri" w:eastAsia="Calibri" w:hAnsi="Calibri" w:cs="Calibri"/>
          <w:highlight w:val="yellow"/>
        </w:rPr>
        <w:t>analyst requires access to information about the company</w:t>
      </w:r>
      <w:r w:rsidR="11D41187" w:rsidRPr="02E33721">
        <w:rPr>
          <w:rFonts w:ascii="Calibri" w:eastAsia="Calibri" w:hAnsi="Calibri" w:cs="Calibri"/>
        </w:rPr>
        <w:t xml:space="preserve">. The key source of information is </w:t>
      </w:r>
      <w:r w:rsidR="11D41187" w:rsidRPr="007A480B">
        <w:rPr>
          <w:rFonts w:ascii="Calibri" w:eastAsia="Calibri" w:hAnsi="Calibri" w:cs="Calibri"/>
          <w:highlight w:val="yellow"/>
        </w:rPr>
        <w:t>generally a comprehensive presentation by management, based on a set of detailed slides, followed by a lengthy question and answer session (</w:t>
      </w:r>
      <w:r w:rsidR="11D41187" w:rsidRPr="02E33721">
        <w:rPr>
          <w:rFonts w:ascii="Calibri" w:eastAsia="Calibri" w:hAnsi="Calibri" w:cs="Calibri"/>
        </w:rPr>
        <w:t xml:space="preserve">the </w:t>
      </w:r>
      <w:r w:rsidR="00E20EB7">
        <w:rPr>
          <w:rFonts w:ascii="Calibri" w:eastAsia="Calibri" w:hAnsi="Calibri" w:cs="Calibri"/>
        </w:rPr>
        <w:t>‘</w:t>
      </w:r>
      <w:r w:rsidR="11D41187" w:rsidRPr="00D01F8B">
        <w:rPr>
          <w:rFonts w:ascii="Calibri" w:eastAsia="Calibri" w:hAnsi="Calibri" w:cs="Calibri"/>
          <w:b/>
          <w:bCs/>
        </w:rPr>
        <w:t>Analysts’</w:t>
      </w:r>
      <w:r w:rsidR="11D41187" w:rsidRPr="02E33721">
        <w:rPr>
          <w:rFonts w:ascii="Calibri" w:eastAsia="Calibri" w:hAnsi="Calibri" w:cs="Calibri"/>
        </w:rPr>
        <w:t xml:space="preserve"> </w:t>
      </w:r>
      <w:r w:rsidR="11D41187" w:rsidRPr="00D01F8B">
        <w:rPr>
          <w:rFonts w:ascii="Calibri" w:eastAsia="Calibri" w:hAnsi="Calibri" w:cs="Calibri"/>
          <w:b/>
          <w:bCs/>
        </w:rPr>
        <w:t>Presentation</w:t>
      </w:r>
      <w:r w:rsidR="00E20EB7">
        <w:rPr>
          <w:rFonts w:ascii="Calibri" w:eastAsia="Calibri" w:hAnsi="Calibri" w:cs="Calibri"/>
        </w:rPr>
        <w:t>’</w:t>
      </w:r>
      <w:r w:rsidR="11D41187" w:rsidRPr="02E33721">
        <w:rPr>
          <w:rFonts w:ascii="Calibri" w:eastAsia="Calibri" w:hAnsi="Calibri" w:cs="Calibri"/>
        </w:rPr>
        <w:t xml:space="preserve">). The analyst will use this information to draw its own conclusions about the prospects for the new issuer. </w:t>
      </w:r>
    </w:p>
    <w:p w14:paraId="32DA84D2" w14:textId="7A27231B" w:rsidR="11D41187" w:rsidRDefault="11D41187" w:rsidP="02E33721">
      <w:pPr>
        <w:spacing w:before="240" w:after="240"/>
      </w:pPr>
      <w:r w:rsidRPr="02E33721">
        <w:rPr>
          <w:rFonts w:ascii="Calibri" w:eastAsia="Calibri" w:hAnsi="Calibri" w:cs="Calibri"/>
        </w:rPr>
        <w:t xml:space="preserve">Research can be produced by </w:t>
      </w:r>
      <w:r w:rsidRPr="00D01F8B">
        <w:rPr>
          <w:rFonts w:ascii="Calibri" w:eastAsia="Calibri" w:hAnsi="Calibri" w:cs="Calibri"/>
          <w:b/>
          <w:bCs/>
        </w:rPr>
        <w:t>connected</w:t>
      </w:r>
      <w:r w:rsidRPr="02E33721">
        <w:rPr>
          <w:rFonts w:ascii="Calibri" w:eastAsia="Calibri" w:hAnsi="Calibri" w:cs="Calibri"/>
        </w:rPr>
        <w:t xml:space="preserve"> </w:t>
      </w:r>
      <w:r w:rsidRPr="00D01F8B">
        <w:rPr>
          <w:rFonts w:ascii="Calibri" w:eastAsia="Calibri" w:hAnsi="Calibri" w:cs="Calibri"/>
          <w:b/>
          <w:bCs/>
        </w:rPr>
        <w:t>analysts</w:t>
      </w:r>
      <w:r w:rsidRPr="02E33721">
        <w:rPr>
          <w:rFonts w:ascii="Calibri" w:eastAsia="Calibri" w:hAnsi="Calibri" w:cs="Calibri"/>
        </w:rPr>
        <w:t xml:space="preserve"> or </w:t>
      </w:r>
      <w:r w:rsidRPr="00D01F8B">
        <w:rPr>
          <w:rFonts w:ascii="Calibri" w:eastAsia="Calibri" w:hAnsi="Calibri" w:cs="Calibri"/>
          <w:b/>
          <w:bCs/>
        </w:rPr>
        <w:t>unconnected</w:t>
      </w:r>
      <w:r w:rsidRPr="02E33721">
        <w:rPr>
          <w:rFonts w:ascii="Calibri" w:eastAsia="Calibri" w:hAnsi="Calibri" w:cs="Calibri"/>
        </w:rPr>
        <w:t xml:space="preserve"> </w:t>
      </w:r>
      <w:r w:rsidRPr="00D01F8B">
        <w:rPr>
          <w:rFonts w:ascii="Calibri" w:eastAsia="Calibri" w:hAnsi="Calibri" w:cs="Calibri"/>
          <w:b/>
          <w:bCs/>
        </w:rPr>
        <w:t>analysts</w:t>
      </w:r>
      <w:r w:rsidRPr="02E33721">
        <w:rPr>
          <w:rFonts w:ascii="Calibri" w:eastAsia="Calibri" w:hAnsi="Calibri" w:cs="Calibri"/>
        </w:rPr>
        <w:t xml:space="preserve">, as explained on the following pages. </w:t>
      </w:r>
    </w:p>
    <w:p w14:paraId="3A0E83BB" w14:textId="43DF576A" w:rsidR="11D41187" w:rsidRDefault="11D41187" w:rsidP="02E33721">
      <w:pPr>
        <w:spacing w:before="240" w:after="240"/>
      </w:pPr>
      <w:r w:rsidRPr="02E33721">
        <w:rPr>
          <w:rFonts w:ascii="Calibri" w:eastAsia="Calibri" w:hAnsi="Calibri" w:cs="Calibri"/>
        </w:rPr>
        <w:lastRenderedPageBreak/>
        <w:t>[DIAGRAM]</w:t>
      </w:r>
    </w:p>
    <w:p w14:paraId="278E3482" w14:textId="08851463" w:rsidR="02E33721" w:rsidRDefault="11D41187" w:rsidP="02E33721">
      <w:pPr>
        <w:spacing w:before="240" w:after="240"/>
      </w:pPr>
      <w:r w:rsidRPr="02E33721">
        <w:rPr>
          <w:rFonts w:ascii="Calibri" w:eastAsia="Calibri" w:hAnsi="Calibri" w:cs="Calibri"/>
        </w:rPr>
        <w:t xml:space="preserve">The </w:t>
      </w:r>
      <w:r w:rsidR="00E20EB7">
        <w:rPr>
          <w:rFonts w:ascii="Calibri" w:eastAsia="Calibri" w:hAnsi="Calibri" w:cs="Calibri"/>
        </w:rPr>
        <w:t>‘</w:t>
      </w:r>
      <w:r w:rsidRPr="00D01F8B">
        <w:rPr>
          <w:rFonts w:ascii="Calibri" w:eastAsia="Calibri" w:hAnsi="Calibri" w:cs="Calibri"/>
          <w:b/>
          <w:bCs/>
        </w:rPr>
        <w:t>Analysts’</w:t>
      </w:r>
      <w:r w:rsidRPr="02E33721">
        <w:rPr>
          <w:rFonts w:ascii="Calibri" w:eastAsia="Calibri" w:hAnsi="Calibri" w:cs="Calibri"/>
        </w:rPr>
        <w:t xml:space="preserve"> </w:t>
      </w:r>
      <w:r w:rsidRPr="00D01F8B">
        <w:rPr>
          <w:rFonts w:ascii="Calibri" w:eastAsia="Calibri" w:hAnsi="Calibri" w:cs="Calibri"/>
          <w:b/>
          <w:bCs/>
        </w:rPr>
        <w:t>Presentation</w:t>
      </w:r>
      <w:r w:rsidR="00E20EB7">
        <w:rPr>
          <w:rFonts w:ascii="Calibri" w:eastAsia="Calibri" w:hAnsi="Calibri" w:cs="Calibri"/>
        </w:rPr>
        <w:t>’</w:t>
      </w:r>
      <w:r w:rsidRPr="02E33721">
        <w:rPr>
          <w:rFonts w:ascii="Calibri" w:eastAsia="Calibri" w:hAnsi="Calibri" w:cs="Calibri"/>
        </w:rPr>
        <w:t xml:space="preserve"> </w:t>
      </w:r>
    </w:p>
    <w:p w14:paraId="181A0304" w14:textId="33F343A7" w:rsidR="11D41187" w:rsidRDefault="11D41187" w:rsidP="02E33721">
      <w:pPr>
        <w:spacing w:before="240" w:after="240"/>
      </w:pPr>
      <w:r w:rsidRPr="02E33721">
        <w:rPr>
          <w:rFonts w:ascii="Calibri" w:eastAsia="Calibri" w:hAnsi="Calibri" w:cs="Calibri"/>
        </w:rPr>
        <w:t xml:space="preserve">Presentation based on slides - arrow to - Question and answer session </w:t>
      </w:r>
    </w:p>
    <w:p w14:paraId="57194F44" w14:textId="3CE512B0" w:rsidR="02E33721" w:rsidRDefault="02E33721" w:rsidP="02E33721">
      <w:pPr>
        <w:spacing w:before="240" w:after="240"/>
      </w:pPr>
    </w:p>
    <w:p w14:paraId="25DB0956" w14:textId="445DF7B6" w:rsidR="11D41187" w:rsidRDefault="11D41187" w:rsidP="02E33721">
      <w:pPr>
        <w:spacing w:before="240" w:after="240"/>
      </w:pPr>
      <w:r w:rsidRPr="02E33721">
        <w:rPr>
          <w:rFonts w:ascii="Calibri" w:eastAsia="Calibri" w:hAnsi="Calibri" w:cs="Calibri"/>
          <w:b/>
          <w:bCs/>
        </w:rPr>
        <w:t>Analysts</w:t>
      </w:r>
    </w:p>
    <w:p w14:paraId="2454F0CF" w14:textId="4264E393" w:rsidR="02E33721" w:rsidRDefault="11D41187" w:rsidP="02E33721">
      <w:pPr>
        <w:spacing w:before="240" w:after="240"/>
      </w:pPr>
      <w:r w:rsidRPr="02E33721">
        <w:rPr>
          <w:rFonts w:ascii="Calibri" w:eastAsia="Calibri" w:hAnsi="Calibri" w:cs="Calibri"/>
        </w:rPr>
        <w:t xml:space="preserve">Key word or definition: </w:t>
      </w:r>
      <w:r w:rsidR="00E20EB7">
        <w:rPr>
          <w:rFonts w:ascii="Calibri" w:eastAsia="Calibri" w:hAnsi="Calibri" w:cs="Calibri"/>
        </w:rPr>
        <w:t>‘</w:t>
      </w:r>
      <w:r w:rsidRPr="007A480B">
        <w:rPr>
          <w:rFonts w:ascii="Calibri" w:eastAsia="Calibri" w:hAnsi="Calibri" w:cs="Calibri"/>
          <w:b/>
          <w:bCs/>
          <w:highlight w:val="yellow"/>
        </w:rPr>
        <w:t>Connected analysts</w:t>
      </w:r>
      <w:r w:rsidR="00E20EB7" w:rsidRPr="007A480B">
        <w:rPr>
          <w:rFonts w:ascii="Calibri" w:eastAsia="Calibri" w:hAnsi="Calibri" w:cs="Calibri"/>
          <w:highlight w:val="yellow"/>
        </w:rPr>
        <w:t>’</w:t>
      </w:r>
      <w:r w:rsidRPr="007A480B">
        <w:rPr>
          <w:rFonts w:ascii="Calibri" w:eastAsia="Calibri" w:hAnsi="Calibri" w:cs="Calibri"/>
          <w:highlight w:val="yellow"/>
        </w:rPr>
        <w:t xml:space="preserve"> are analysts who are employed in the same group as the brokers/investment advisers/underwriters who are acting for the issuer. Despite this connection, they are required to remain independent of the issuer.</w:t>
      </w:r>
      <w:r w:rsidRPr="02E33721">
        <w:rPr>
          <w:rFonts w:ascii="Calibri" w:eastAsia="Calibri" w:hAnsi="Calibri" w:cs="Calibri"/>
        </w:rPr>
        <w:t xml:space="preserve"> </w:t>
      </w:r>
    </w:p>
    <w:p w14:paraId="6EE34E2B" w14:textId="27A78989" w:rsidR="11D41187" w:rsidRDefault="11D41187" w:rsidP="02E33721">
      <w:pPr>
        <w:spacing w:before="240" w:after="240"/>
      </w:pPr>
      <w:r w:rsidRPr="02E33721">
        <w:rPr>
          <w:rFonts w:ascii="Calibri" w:eastAsia="Calibri" w:hAnsi="Calibri" w:cs="Calibri"/>
        </w:rPr>
        <w:t xml:space="preserve">Key word or definition: </w:t>
      </w:r>
      <w:r w:rsidR="00E20EB7">
        <w:rPr>
          <w:rFonts w:ascii="Calibri" w:eastAsia="Calibri" w:hAnsi="Calibri" w:cs="Calibri"/>
        </w:rPr>
        <w:t>‘</w:t>
      </w:r>
      <w:r w:rsidRPr="007A480B">
        <w:rPr>
          <w:rFonts w:ascii="Calibri" w:eastAsia="Calibri" w:hAnsi="Calibri" w:cs="Calibri"/>
          <w:b/>
          <w:bCs/>
          <w:highlight w:val="yellow"/>
        </w:rPr>
        <w:t>Unconnected analysts</w:t>
      </w:r>
      <w:r w:rsidR="00E20EB7" w:rsidRPr="007A480B">
        <w:rPr>
          <w:rFonts w:ascii="Calibri" w:eastAsia="Calibri" w:hAnsi="Calibri" w:cs="Calibri"/>
          <w:highlight w:val="yellow"/>
        </w:rPr>
        <w:t>’</w:t>
      </w:r>
      <w:r w:rsidRPr="007A480B">
        <w:rPr>
          <w:rFonts w:ascii="Calibri" w:eastAsia="Calibri" w:hAnsi="Calibri" w:cs="Calibri"/>
          <w:highlight w:val="yellow"/>
        </w:rPr>
        <w:t xml:space="preserve"> are independent research analysts</w:t>
      </w:r>
      <w:r w:rsidRPr="02E33721">
        <w:rPr>
          <w:rFonts w:ascii="Calibri" w:eastAsia="Calibri" w:hAnsi="Calibri" w:cs="Calibri"/>
        </w:rPr>
        <w:t xml:space="preserve">, who do not have a connection to any of the advisers to the issuer. </w:t>
      </w:r>
    </w:p>
    <w:p w14:paraId="38F13CB0" w14:textId="1B8DB2D9" w:rsidR="02E33721" w:rsidRDefault="02E33721" w:rsidP="02E33721">
      <w:pPr>
        <w:spacing w:before="240" w:after="240"/>
      </w:pPr>
    </w:p>
    <w:p w14:paraId="760E8769" w14:textId="4BA29929" w:rsidR="11D41187" w:rsidRDefault="11D41187" w:rsidP="02E33721">
      <w:pPr>
        <w:spacing w:before="240" w:after="240"/>
      </w:pPr>
      <w:r w:rsidRPr="02E33721">
        <w:rPr>
          <w:rFonts w:ascii="Calibri" w:eastAsia="Calibri" w:hAnsi="Calibri" w:cs="Calibri"/>
          <w:b/>
          <w:bCs/>
        </w:rPr>
        <w:t xml:space="preserve">Conduct of Business sourcebook </w:t>
      </w:r>
    </w:p>
    <w:p w14:paraId="6BA96190" w14:textId="7448C11E" w:rsidR="11D41187" w:rsidRDefault="11D41187" w:rsidP="02E33721">
      <w:pPr>
        <w:spacing w:before="240" w:after="240"/>
      </w:pPr>
      <w:r w:rsidRPr="02E33721">
        <w:rPr>
          <w:rFonts w:ascii="Calibri" w:eastAsia="Calibri" w:hAnsi="Calibri" w:cs="Calibri"/>
        </w:rPr>
        <w:t xml:space="preserve">These requirements are enforced through the Conduct of Business sourcebook (the </w:t>
      </w:r>
      <w:r w:rsidR="00E20EB7">
        <w:rPr>
          <w:rFonts w:ascii="Calibri" w:eastAsia="Calibri" w:hAnsi="Calibri" w:cs="Calibri"/>
        </w:rPr>
        <w:t>‘</w:t>
      </w:r>
      <w:r w:rsidRPr="00D01F8B">
        <w:rPr>
          <w:rFonts w:ascii="Calibri" w:eastAsia="Calibri" w:hAnsi="Calibri" w:cs="Calibri"/>
          <w:b/>
          <w:bCs/>
        </w:rPr>
        <w:t>COBS</w:t>
      </w:r>
      <w:r w:rsidR="00E20EB7">
        <w:rPr>
          <w:rFonts w:ascii="Calibri" w:eastAsia="Calibri" w:hAnsi="Calibri" w:cs="Calibri"/>
        </w:rPr>
        <w:t>’</w:t>
      </w:r>
      <w:r w:rsidRPr="02E33721">
        <w:rPr>
          <w:rFonts w:ascii="Calibri" w:eastAsia="Calibri" w:hAnsi="Calibri" w:cs="Calibri"/>
        </w:rPr>
        <w:t xml:space="preserve">), rather than the LPDT Rules. The COBS rules control how a regulated person is required to carry on its regulated business; they include rules on how analysts must carry on their business of producing research. </w:t>
      </w:r>
    </w:p>
    <w:p w14:paraId="1ABEDFF0" w14:textId="3DBA8F2A" w:rsidR="02E33721" w:rsidRDefault="02E33721" w:rsidP="02E33721">
      <w:pPr>
        <w:spacing w:before="240" w:after="240"/>
      </w:pPr>
    </w:p>
    <w:p w14:paraId="53B74DA4" w14:textId="71131138" w:rsidR="02E33721" w:rsidRDefault="11D41187" w:rsidP="02E33721">
      <w:pPr>
        <w:spacing w:before="240" w:after="240"/>
      </w:pPr>
      <w:r w:rsidRPr="007A480B">
        <w:rPr>
          <w:rFonts w:ascii="Calibri" w:eastAsia="Calibri" w:hAnsi="Calibri" w:cs="Calibri"/>
          <w:b/>
          <w:bCs/>
          <w:highlight w:val="yellow"/>
        </w:rPr>
        <w:t>The first key provision</w:t>
      </w:r>
      <w:r w:rsidRPr="02E33721">
        <w:rPr>
          <w:rFonts w:ascii="Calibri" w:eastAsia="Calibri" w:hAnsi="Calibri" w:cs="Calibri"/>
        </w:rPr>
        <w:t xml:space="preserve"> in these rules is that </w:t>
      </w:r>
      <w:r w:rsidRPr="007A480B">
        <w:rPr>
          <w:rFonts w:ascii="Calibri" w:eastAsia="Calibri" w:hAnsi="Calibri" w:cs="Calibri"/>
          <w:highlight w:val="yellow"/>
        </w:rPr>
        <w:t xml:space="preserve">no research on an applicant in an equity IPO may be disseminated by analysts until a specified time period has elapsed after the applicant has published </w:t>
      </w:r>
      <w:r w:rsidRPr="007A480B">
        <w:rPr>
          <w:rFonts w:ascii="Calibri" w:eastAsia="Calibri" w:hAnsi="Calibri" w:cs="Calibri"/>
          <w:highlight w:val="green"/>
        </w:rPr>
        <w:t xml:space="preserve">either a prospectus or a registration document that has been approved </w:t>
      </w:r>
      <w:r w:rsidRPr="007A480B">
        <w:rPr>
          <w:rFonts w:ascii="Calibri" w:eastAsia="Calibri" w:hAnsi="Calibri" w:cs="Calibri"/>
          <w:highlight w:val="yellow"/>
        </w:rPr>
        <w:t>by the FCA.</w:t>
      </w:r>
      <w:r w:rsidRPr="02E33721">
        <w:rPr>
          <w:rFonts w:ascii="Calibri" w:eastAsia="Calibri" w:hAnsi="Calibri" w:cs="Calibri"/>
        </w:rPr>
        <w:t xml:space="preserve"> A </w:t>
      </w:r>
      <w:r w:rsidRPr="007A480B">
        <w:rPr>
          <w:rFonts w:ascii="Calibri" w:eastAsia="Calibri" w:hAnsi="Calibri" w:cs="Calibri"/>
          <w:highlight w:val="green"/>
        </w:rPr>
        <w:t>registration document is one of the three documents that can make up a tripartite prospectus</w:t>
      </w:r>
      <w:r w:rsidRPr="02E33721">
        <w:rPr>
          <w:rFonts w:ascii="Calibri" w:eastAsia="Calibri" w:hAnsi="Calibri" w:cs="Calibri"/>
        </w:rPr>
        <w:t xml:space="preserve"> and contains </w:t>
      </w:r>
      <w:r w:rsidRPr="007A480B">
        <w:rPr>
          <w:rFonts w:ascii="Calibri" w:eastAsia="Calibri" w:hAnsi="Calibri" w:cs="Calibri"/>
          <w:highlight w:val="green"/>
        </w:rPr>
        <w:t>information about the business and prospects of the issuer</w:t>
      </w:r>
      <w:r w:rsidRPr="02E33721">
        <w:rPr>
          <w:rFonts w:ascii="Calibri" w:eastAsia="Calibri" w:hAnsi="Calibri" w:cs="Calibri"/>
        </w:rPr>
        <w:t xml:space="preserve"> (see element entitled ‘The content of the prospectus’). </w:t>
      </w:r>
    </w:p>
    <w:p w14:paraId="46521758" w14:textId="036EABD7" w:rsidR="02E33721" w:rsidRDefault="11D41187" w:rsidP="02E33721">
      <w:pPr>
        <w:spacing w:before="240" w:after="240"/>
      </w:pPr>
      <w:r w:rsidRPr="007A480B">
        <w:rPr>
          <w:rFonts w:ascii="Calibri" w:eastAsia="Calibri" w:hAnsi="Calibri" w:cs="Calibri"/>
          <w:b/>
          <w:bCs/>
          <w:highlight w:val="yellow"/>
        </w:rPr>
        <w:t>The second key provision</w:t>
      </w:r>
      <w:r w:rsidRPr="007A480B">
        <w:rPr>
          <w:rFonts w:ascii="Calibri" w:eastAsia="Calibri" w:hAnsi="Calibri" w:cs="Calibri"/>
          <w:highlight w:val="yellow"/>
        </w:rPr>
        <w:t xml:space="preserve"> is that an applicant in an equity IPO must now make an early decision on whether connected analysts will still be given earlier access to management than unconnected analysts</w:t>
      </w:r>
      <w:r w:rsidRPr="02E33721">
        <w:rPr>
          <w:rFonts w:ascii="Calibri" w:eastAsia="Calibri" w:hAnsi="Calibri" w:cs="Calibri"/>
        </w:rPr>
        <w:t xml:space="preserve">, or </w:t>
      </w:r>
      <w:r w:rsidRPr="007A480B">
        <w:rPr>
          <w:rFonts w:ascii="Calibri" w:eastAsia="Calibri" w:hAnsi="Calibri" w:cs="Calibri"/>
          <w:highlight w:val="yellow"/>
        </w:rPr>
        <w:t>whether unconnected analysts will also be invited at an early stage</w:t>
      </w:r>
      <w:r w:rsidRPr="02E33721">
        <w:rPr>
          <w:rFonts w:ascii="Calibri" w:eastAsia="Calibri" w:hAnsi="Calibri" w:cs="Calibri"/>
        </w:rPr>
        <w:t xml:space="preserve"> to attend the same Analysts’ Presentation. </w:t>
      </w:r>
      <w:r w:rsidRPr="007A480B">
        <w:rPr>
          <w:rFonts w:ascii="Calibri" w:eastAsia="Calibri" w:hAnsi="Calibri" w:cs="Calibri"/>
          <w:highlight w:val="yellow"/>
        </w:rPr>
        <w:t>If unconnected analysts are invited alongside the connected analysts</w:t>
      </w:r>
      <w:r w:rsidRPr="02E33721">
        <w:rPr>
          <w:rFonts w:ascii="Calibri" w:eastAsia="Calibri" w:hAnsi="Calibri" w:cs="Calibri"/>
        </w:rPr>
        <w:t xml:space="preserve">, the </w:t>
      </w:r>
      <w:r w:rsidRPr="007A480B">
        <w:rPr>
          <w:rFonts w:ascii="Calibri" w:eastAsia="Calibri" w:hAnsi="Calibri" w:cs="Calibri"/>
          <w:highlight w:val="yellow"/>
        </w:rPr>
        <w:t>earliest any research may be released is one day after the publication of the prospectus or registration document</w:t>
      </w:r>
      <w:r w:rsidRPr="02E33721">
        <w:rPr>
          <w:rFonts w:ascii="Calibri" w:eastAsia="Calibri" w:hAnsi="Calibri" w:cs="Calibri"/>
        </w:rPr>
        <w:t xml:space="preserve">. </w:t>
      </w:r>
    </w:p>
    <w:p w14:paraId="285E83F4" w14:textId="77777777" w:rsidR="00D01F8B" w:rsidRDefault="00D01F8B" w:rsidP="02E33721">
      <w:pPr>
        <w:spacing w:before="240" w:after="240"/>
        <w:rPr>
          <w:rFonts w:ascii="Calibri" w:eastAsia="Calibri" w:hAnsi="Calibri" w:cs="Calibri"/>
        </w:rPr>
      </w:pPr>
    </w:p>
    <w:p w14:paraId="3B3EFF8B" w14:textId="03888B8E" w:rsidR="2B2DB044" w:rsidRDefault="2B2DB044" w:rsidP="02E33721">
      <w:pPr>
        <w:spacing w:before="240" w:after="240"/>
      </w:pPr>
      <w:r w:rsidRPr="02E33721">
        <w:rPr>
          <w:rFonts w:ascii="Calibri" w:eastAsia="Calibri" w:hAnsi="Calibri" w:cs="Calibri"/>
        </w:rPr>
        <w:t>I</w:t>
      </w:r>
      <w:r w:rsidR="11D41187" w:rsidRPr="02E33721">
        <w:rPr>
          <w:rFonts w:ascii="Calibri" w:eastAsia="Calibri" w:hAnsi="Calibri" w:cs="Calibri"/>
        </w:rPr>
        <w:t xml:space="preserve">f connected analysts are instead given exclusive access to the initial Analysts’ Presentation (and unconnected analysts only receive access to information when the registration document or prospectus is published), the earliest release date for research is instead </w:t>
      </w:r>
      <w:r w:rsidR="11D41187" w:rsidRPr="00D01F8B">
        <w:rPr>
          <w:rFonts w:ascii="Calibri" w:eastAsia="Calibri" w:hAnsi="Calibri" w:cs="Calibri"/>
          <w:b/>
          <w:bCs/>
        </w:rPr>
        <w:t>seven</w:t>
      </w:r>
      <w:r w:rsidR="11D41187" w:rsidRPr="02E33721">
        <w:rPr>
          <w:rFonts w:ascii="Calibri" w:eastAsia="Calibri" w:hAnsi="Calibri" w:cs="Calibri"/>
        </w:rPr>
        <w:t xml:space="preserve"> </w:t>
      </w:r>
      <w:r w:rsidR="11D41187" w:rsidRPr="00D01F8B">
        <w:rPr>
          <w:rFonts w:ascii="Calibri" w:eastAsia="Calibri" w:hAnsi="Calibri" w:cs="Calibri"/>
          <w:b/>
          <w:bCs/>
        </w:rPr>
        <w:t>days</w:t>
      </w:r>
      <w:r w:rsidR="11D41187" w:rsidRPr="02E33721">
        <w:rPr>
          <w:rFonts w:ascii="Calibri" w:eastAsia="Calibri" w:hAnsi="Calibri" w:cs="Calibri"/>
        </w:rPr>
        <w:t xml:space="preserve"> after the publication of the prospectus/registration document. </w:t>
      </w:r>
    </w:p>
    <w:p w14:paraId="680A2C94" w14:textId="5D2EB66C" w:rsidR="11D41187" w:rsidRDefault="11D41187" w:rsidP="02E33721">
      <w:pPr>
        <w:spacing w:before="240" w:after="240"/>
      </w:pPr>
      <w:r w:rsidRPr="02E33721">
        <w:rPr>
          <w:rFonts w:ascii="Calibri" w:eastAsia="Calibri" w:hAnsi="Calibri" w:cs="Calibri"/>
        </w:rPr>
        <w:lastRenderedPageBreak/>
        <w:t xml:space="preserve">During this </w:t>
      </w:r>
      <w:proofErr w:type="gramStart"/>
      <w:r w:rsidRPr="02E33721">
        <w:rPr>
          <w:rFonts w:ascii="Calibri" w:eastAsia="Calibri" w:hAnsi="Calibri" w:cs="Calibri"/>
        </w:rPr>
        <w:t>seven day</w:t>
      </w:r>
      <w:proofErr w:type="gramEnd"/>
      <w:r w:rsidRPr="02E33721">
        <w:rPr>
          <w:rFonts w:ascii="Calibri" w:eastAsia="Calibri" w:hAnsi="Calibri" w:cs="Calibri"/>
        </w:rPr>
        <w:t xml:space="preserve"> period, unconnected analysts must be given access to all the information that the connected analysts previously received; the rules require them to be given the same information as the connected analysts, including the answers to any Q&amp;A. This can be achieved by giving unconnected analysts a chance to attend their own presentation, or otherwise by giving them a written record of the information given to the connected analysts. </w:t>
      </w:r>
    </w:p>
    <w:p w14:paraId="0B708263" w14:textId="70D942F3" w:rsidR="11D41187" w:rsidRPr="00D01F8B" w:rsidRDefault="11D41187" w:rsidP="02E33721">
      <w:pPr>
        <w:spacing w:before="240" w:after="240"/>
        <w:rPr>
          <w:b/>
          <w:bCs/>
        </w:rPr>
      </w:pPr>
      <w:r w:rsidRPr="00D01F8B">
        <w:rPr>
          <w:rFonts w:ascii="Calibri" w:eastAsia="Calibri" w:hAnsi="Calibri" w:cs="Calibri"/>
          <w:b/>
          <w:bCs/>
        </w:rPr>
        <w:t xml:space="preserve">In compliance with these rules, market practice is for issuers to publish a registration document early in the IPO process, rather than a full prospectus. General market practice is also for issuers to choose the seven-day option, which brings unconnected analysts into the process only after the registration document has been published. </w:t>
      </w:r>
    </w:p>
    <w:p w14:paraId="40A2E5CA" w14:textId="72424B85" w:rsidR="11D41187" w:rsidRDefault="11D41187" w:rsidP="02E33721">
      <w:pPr>
        <w:spacing w:before="240" w:after="240"/>
      </w:pPr>
      <w:r w:rsidRPr="02E33721">
        <w:rPr>
          <w:rFonts w:ascii="Calibri" w:eastAsia="Calibri" w:hAnsi="Calibri" w:cs="Calibri"/>
        </w:rPr>
        <w:t xml:space="preserve">The full set of rules relating to the provision of information to analysts and the dissemination of research is contained in paragraphs 11A.1.4A – 4F of the Conduct of Business sourcebook. </w:t>
      </w:r>
    </w:p>
    <w:p w14:paraId="64AE7315" w14:textId="1EE2D910" w:rsidR="02E33721" w:rsidRDefault="02E33721" w:rsidP="02E33721">
      <w:pPr>
        <w:spacing w:before="240" w:after="240"/>
      </w:pPr>
    </w:p>
    <w:p w14:paraId="67C919B0" w14:textId="09C5FB82" w:rsidR="11D41187" w:rsidRDefault="11D41187" w:rsidP="02E33721">
      <w:pPr>
        <w:spacing w:before="240" w:after="240"/>
      </w:pPr>
      <w:r w:rsidRPr="02E33721">
        <w:rPr>
          <w:rFonts w:ascii="Calibri" w:eastAsia="Calibri" w:hAnsi="Calibri" w:cs="Calibri"/>
          <w:b/>
          <w:bCs/>
        </w:rPr>
        <w:t>Association for Financial Markets in Europe (</w:t>
      </w:r>
      <w:r w:rsidR="00E20EB7">
        <w:rPr>
          <w:rFonts w:ascii="Calibri" w:eastAsia="Calibri" w:hAnsi="Calibri" w:cs="Calibri"/>
          <w:b/>
          <w:bCs/>
        </w:rPr>
        <w:t>‘</w:t>
      </w:r>
      <w:r w:rsidR="00726B7B">
        <w:rPr>
          <w:rFonts w:ascii="Calibri" w:eastAsia="Calibri" w:hAnsi="Calibri" w:cs="Calibri"/>
          <w:b/>
          <w:bCs/>
        </w:rPr>
        <w:t>’</w:t>
      </w:r>
      <w:r w:rsidRPr="02E33721">
        <w:rPr>
          <w:rFonts w:ascii="Calibri" w:eastAsia="Calibri" w:hAnsi="Calibri" w:cs="Calibri"/>
          <w:b/>
          <w:bCs/>
        </w:rPr>
        <w:t>AFME</w:t>
      </w:r>
      <w:r w:rsidR="00726B7B">
        <w:rPr>
          <w:rFonts w:ascii="Calibri" w:eastAsia="Calibri" w:hAnsi="Calibri" w:cs="Calibri"/>
          <w:b/>
          <w:bCs/>
        </w:rPr>
        <w:t>’</w:t>
      </w:r>
      <w:r w:rsidR="00E20EB7">
        <w:rPr>
          <w:rFonts w:ascii="Calibri" w:eastAsia="Calibri" w:hAnsi="Calibri" w:cs="Calibri"/>
          <w:b/>
          <w:bCs/>
        </w:rPr>
        <w:t>’</w:t>
      </w:r>
      <w:r w:rsidRPr="02E33721">
        <w:rPr>
          <w:rFonts w:ascii="Calibri" w:eastAsia="Calibri" w:hAnsi="Calibri" w:cs="Calibri"/>
          <w:b/>
          <w:bCs/>
        </w:rPr>
        <w:t xml:space="preserve">) </w:t>
      </w:r>
    </w:p>
    <w:p w14:paraId="6DBB945C" w14:textId="28CF9E58" w:rsidR="11D41187" w:rsidRDefault="11D41187" w:rsidP="02E33721">
      <w:pPr>
        <w:spacing w:before="240" w:after="240"/>
      </w:pPr>
      <w:r w:rsidRPr="02E33721">
        <w:rPr>
          <w:rFonts w:ascii="Calibri" w:eastAsia="Calibri" w:hAnsi="Calibri" w:cs="Calibri"/>
        </w:rPr>
        <w:t xml:space="preserve">AFME is an association that represents the leading global and European banks and other significant capital market players. It has published a number of standard forms and documents for use in equity market transactions, which are widely adopted: including an agreement regulating the relations between underwriters and some model research guidelines. </w:t>
      </w:r>
    </w:p>
    <w:p w14:paraId="60E9598A" w14:textId="02120EF1" w:rsidR="11D41187" w:rsidRDefault="11D41187" w:rsidP="02E33721">
      <w:pPr>
        <w:spacing w:before="240" w:after="240"/>
      </w:pPr>
      <w:r w:rsidRPr="02E33721">
        <w:rPr>
          <w:rFonts w:ascii="Calibri" w:eastAsia="Calibri" w:hAnsi="Calibri" w:cs="Calibri"/>
        </w:rPr>
        <w:t xml:space="preserve">In response to the changes in the COBS rules, AFME has published a number of additional industry guidelines relating to the new processes to be followed during an IPO. These include a process document and guidelines for unconnected analysts seeking to access information from prospective issuers: this sets out a process by which issuers/banks can facilitate access for unconnected analysts and includes guidelines to be signed by those unconnected analysts who are given access to a prospective issuer. These are commonly adopted by participants in the UK IPO market. </w:t>
      </w:r>
    </w:p>
    <w:p w14:paraId="64A5ED84" w14:textId="364A8EF6" w:rsidR="11D41187" w:rsidRDefault="11D41187" w:rsidP="02E33721">
      <w:pPr>
        <w:spacing w:before="240" w:after="240"/>
      </w:pPr>
      <w:r w:rsidRPr="02E33721">
        <w:rPr>
          <w:rFonts w:ascii="Calibri" w:eastAsia="Calibri" w:hAnsi="Calibri" w:cs="Calibri"/>
          <w:b/>
          <w:bCs/>
        </w:rPr>
        <w:t>Summary</w:t>
      </w:r>
    </w:p>
    <w:p w14:paraId="1C08F76A" w14:textId="6C71C423" w:rsidR="11D41187" w:rsidRDefault="11D41187" w:rsidP="02E33721">
      <w:pPr>
        <w:spacing w:before="240" w:after="240"/>
      </w:pPr>
      <w:r w:rsidRPr="02E33721">
        <w:rPr>
          <w:rFonts w:ascii="Calibri" w:eastAsia="Calibri" w:hAnsi="Calibri" w:cs="Calibri"/>
        </w:rPr>
        <w:t xml:space="preserve">Research reports on listed companies provide an independent view of the business and may include a recommendation of whether investors should buy / sell / hold securities. </w:t>
      </w:r>
    </w:p>
    <w:p w14:paraId="11E43A88" w14:textId="3918389C" w:rsidR="11D41187" w:rsidRDefault="11D41187" w:rsidP="02E33721">
      <w:pPr>
        <w:spacing w:before="240" w:after="240"/>
      </w:pPr>
      <w:r w:rsidRPr="02E33721">
        <w:rPr>
          <w:rFonts w:ascii="Calibri" w:eastAsia="Calibri" w:hAnsi="Calibri" w:cs="Calibri"/>
        </w:rPr>
        <w:t>Analysts prepare research reports using information gained from a presentation and Q&amp;A session called the ‘</w:t>
      </w:r>
      <w:r w:rsidRPr="00D01F8B">
        <w:rPr>
          <w:rFonts w:ascii="Calibri" w:eastAsia="Calibri" w:hAnsi="Calibri" w:cs="Calibri"/>
          <w:b/>
          <w:bCs/>
        </w:rPr>
        <w:t>Analysts’ Presentation</w:t>
      </w:r>
      <w:r w:rsidRPr="02E33721">
        <w:rPr>
          <w:rFonts w:ascii="Calibri" w:eastAsia="Calibri" w:hAnsi="Calibri" w:cs="Calibri"/>
        </w:rPr>
        <w:t xml:space="preserve">’. </w:t>
      </w:r>
    </w:p>
    <w:p w14:paraId="4DE34AEA" w14:textId="5C044608" w:rsidR="11D41187" w:rsidRDefault="00E20EB7" w:rsidP="02E33721">
      <w:pPr>
        <w:spacing w:before="240" w:after="240"/>
      </w:pPr>
      <w:r>
        <w:rPr>
          <w:rFonts w:ascii="Calibri" w:eastAsia="Calibri" w:hAnsi="Calibri" w:cs="Calibri"/>
        </w:rPr>
        <w:t>‘</w:t>
      </w:r>
      <w:r w:rsidR="11D41187" w:rsidRPr="00D01F8B">
        <w:rPr>
          <w:rFonts w:ascii="Calibri" w:eastAsia="Calibri" w:hAnsi="Calibri" w:cs="Calibri"/>
          <w:b/>
          <w:bCs/>
        </w:rPr>
        <w:t>Connected analysts</w:t>
      </w:r>
      <w:r>
        <w:rPr>
          <w:rFonts w:ascii="Calibri" w:eastAsia="Calibri" w:hAnsi="Calibri" w:cs="Calibri"/>
        </w:rPr>
        <w:t>’</w:t>
      </w:r>
      <w:r w:rsidR="11D41187" w:rsidRPr="02E33721">
        <w:rPr>
          <w:rFonts w:ascii="Calibri" w:eastAsia="Calibri" w:hAnsi="Calibri" w:cs="Calibri"/>
        </w:rPr>
        <w:t xml:space="preserve"> are employed in the same group as the brokers/investment advisers/underwriters but must still remain independent of the issuer. </w:t>
      </w:r>
      <w:r>
        <w:rPr>
          <w:rFonts w:ascii="Calibri" w:eastAsia="Calibri" w:hAnsi="Calibri" w:cs="Calibri"/>
        </w:rPr>
        <w:t>‘</w:t>
      </w:r>
      <w:r w:rsidR="11D41187" w:rsidRPr="00D01F8B">
        <w:rPr>
          <w:rFonts w:ascii="Calibri" w:eastAsia="Calibri" w:hAnsi="Calibri" w:cs="Calibri"/>
          <w:b/>
          <w:bCs/>
        </w:rPr>
        <w:t>Unconnected</w:t>
      </w:r>
      <w:r w:rsidR="11D41187" w:rsidRPr="02E33721">
        <w:rPr>
          <w:rFonts w:ascii="Calibri" w:eastAsia="Calibri" w:hAnsi="Calibri" w:cs="Calibri"/>
        </w:rPr>
        <w:t xml:space="preserve"> </w:t>
      </w:r>
      <w:r w:rsidR="11D41187" w:rsidRPr="00D01F8B">
        <w:rPr>
          <w:rFonts w:ascii="Calibri" w:eastAsia="Calibri" w:hAnsi="Calibri" w:cs="Calibri"/>
          <w:b/>
          <w:bCs/>
        </w:rPr>
        <w:t>analysts</w:t>
      </w:r>
      <w:r>
        <w:rPr>
          <w:rFonts w:ascii="Calibri" w:eastAsia="Calibri" w:hAnsi="Calibri" w:cs="Calibri"/>
        </w:rPr>
        <w:t>’</w:t>
      </w:r>
      <w:r w:rsidR="11D41187" w:rsidRPr="02E33721">
        <w:rPr>
          <w:rFonts w:ascii="Calibri" w:eastAsia="Calibri" w:hAnsi="Calibri" w:cs="Calibri"/>
        </w:rPr>
        <w:t xml:space="preserve"> have no such connection. </w:t>
      </w:r>
    </w:p>
    <w:p w14:paraId="4B7770AE" w14:textId="55425D6E" w:rsidR="11D41187" w:rsidRDefault="11D41187" w:rsidP="02E33721">
      <w:pPr>
        <w:spacing w:before="240" w:after="240"/>
      </w:pPr>
      <w:r w:rsidRPr="02E33721">
        <w:rPr>
          <w:rFonts w:ascii="Calibri" w:eastAsia="Calibri" w:hAnsi="Calibri" w:cs="Calibri"/>
        </w:rPr>
        <w:t xml:space="preserve">The COBS regulates research, in particular preventing dissemination of research until a specified time after publication of either prospectus or registration document. </w:t>
      </w:r>
    </w:p>
    <w:p w14:paraId="3AEB63B0" w14:textId="69701A2C" w:rsidR="02E33721" w:rsidRDefault="00215D3B" w:rsidP="00CF63A6">
      <w:pPr>
        <w:spacing w:before="240" w:after="240"/>
      </w:pPr>
      <w:r>
        <w:rPr>
          <w:rFonts w:ascii="Calibri" w:eastAsia="Calibri" w:hAnsi="Calibri" w:cs="Calibri"/>
        </w:rPr>
        <w:t>AFME</w:t>
      </w:r>
      <w:r w:rsidR="11D41187" w:rsidRPr="02E33721">
        <w:rPr>
          <w:rFonts w:ascii="Calibri" w:eastAsia="Calibri" w:hAnsi="Calibri" w:cs="Calibri"/>
        </w:rPr>
        <w:t xml:space="preserve"> has also published guidelines in this area which are commonly adopted by participants in the UK IPO market.</w:t>
      </w:r>
    </w:p>
    <w:sectPr w:rsidR="02E3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1B9"/>
    <w:multiLevelType w:val="hybridMultilevel"/>
    <w:tmpl w:val="EF30C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BF454D"/>
    <w:multiLevelType w:val="hybridMultilevel"/>
    <w:tmpl w:val="BC8619F0"/>
    <w:lvl w:ilvl="0" w:tplc="63A2ABD4">
      <w:start w:val="1"/>
      <w:numFmt w:val="bullet"/>
      <w:lvlText w:val="•"/>
      <w:lvlJc w:val="left"/>
      <w:pPr>
        <w:tabs>
          <w:tab w:val="num" w:pos="720"/>
        </w:tabs>
        <w:ind w:left="720" w:hanging="360"/>
      </w:pPr>
      <w:rPr>
        <w:rFonts w:ascii="Arial" w:hAnsi="Arial" w:hint="default"/>
      </w:rPr>
    </w:lvl>
    <w:lvl w:ilvl="1" w:tplc="5818EF1A" w:tentative="1">
      <w:start w:val="1"/>
      <w:numFmt w:val="bullet"/>
      <w:lvlText w:val="•"/>
      <w:lvlJc w:val="left"/>
      <w:pPr>
        <w:tabs>
          <w:tab w:val="num" w:pos="1440"/>
        </w:tabs>
        <w:ind w:left="1440" w:hanging="360"/>
      </w:pPr>
      <w:rPr>
        <w:rFonts w:ascii="Arial" w:hAnsi="Arial" w:hint="default"/>
      </w:rPr>
    </w:lvl>
    <w:lvl w:ilvl="2" w:tplc="45AE975E" w:tentative="1">
      <w:start w:val="1"/>
      <w:numFmt w:val="bullet"/>
      <w:lvlText w:val="•"/>
      <w:lvlJc w:val="left"/>
      <w:pPr>
        <w:tabs>
          <w:tab w:val="num" w:pos="2160"/>
        </w:tabs>
        <w:ind w:left="2160" w:hanging="360"/>
      </w:pPr>
      <w:rPr>
        <w:rFonts w:ascii="Arial" w:hAnsi="Arial" w:hint="default"/>
      </w:rPr>
    </w:lvl>
    <w:lvl w:ilvl="3" w:tplc="5E042D5C" w:tentative="1">
      <w:start w:val="1"/>
      <w:numFmt w:val="bullet"/>
      <w:lvlText w:val="•"/>
      <w:lvlJc w:val="left"/>
      <w:pPr>
        <w:tabs>
          <w:tab w:val="num" w:pos="2880"/>
        </w:tabs>
        <w:ind w:left="2880" w:hanging="360"/>
      </w:pPr>
      <w:rPr>
        <w:rFonts w:ascii="Arial" w:hAnsi="Arial" w:hint="default"/>
      </w:rPr>
    </w:lvl>
    <w:lvl w:ilvl="4" w:tplc="927650C6" w:tentative="1">
      <w:start w:val="1"/>
      <w:numFmt w:val="bullet"/>
      <w:lvlText w:val="•"/>
      <w:lvlJc w:val="left"/>
      <w:pPr>
        <w:tabs>
          <w:tab w:val="num" w:pos="3600"/>
        </w:tabs>
        <w:ind w:left="3600" w:hanging="360"/>
      </w:pPr>
      <w:rPr>
        <w:rFonts w:ascii="Arial" w:hAnsi="Arial" w:hint="default"/>
      </w:rPr>
    </w:lvl>
    <w:lvl w:ilvl="5" w:tplc="2FE4BF8E" w:tentative="1">
      <w:start w:val="1"/>
      <w:numFmt w:val="bullet"/>
      <w:lvlText w:val="•"/>
      <w:lvlJc w:val="left"/>
      <w:pPr>
        <w:tabs>
          <w:tab w:val="num" w:pos="4320"/>
        </w:tabs>
        <w:ind w:left="4320" w:hanging="360"/>
      </w:pPr>
      <w:rPr>
        <w:rFonts w:ascii="Arial" w:hAnsi="Arial" w:hint="default"/>
      </w:rPr>
    </w:lvl>
    <w:lvl w:ilvl="6" w:tplc="5BDEACD2" w:tentative="1">
      <w:start w:val="1"/>
      <w:numFmt w:val="bullet"/>
      <w:lvlText w:val="•"/>
      <w:lvlJc w:val="left"/>
      <w:pPr>
        <w:tabs>
          <w:tab w:val="num" w:pos="5040"/>
        </w:tabs>
        <w:ind w:left="5040" w:hanging="360"/>
      </w:pPr>
      <w:rPr>
        <w:rFonts w:ascii="Arial" w:hAnsi="Arial" w:hint="default"/>
      </w:rPr>
    </w:lvl>
    <w:lvl w:ilvl="7" w:tplc="71CAD63E" w:tentative="1">
      <w:start w:val="1"/>
      <w:numFmt w:val="bullet"/>
      <w:lvlText w:val="•"/>
      <w:lvlJc w:val="left"/>
      <w:pPr>
        <w:tabs>
          <w:tab w:val="num" w:pos="5760"/>
        </w:tabs>
        <w:ind w:left="5760" w:hanging="360"/>
      </w:pPr>
      <w:rPr>
        <w:rFonts w:ascii="Arial" w:hAnsi="Arial" w:hint="default"/>
      </w:rPr>
    </w:lvl>
    <w:lvl w:ilvl="8" w:tplc="BAB4FA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981B70"/>
    <w:multiLevelType w:val="hybridMultilevel"/>
    <w:tmpl w:val="B4325BB6"/>
    <w:lvl w:ilvl="0" w:tplc="C234D99A">
      <w:start w:val="1"/>
      <w:numFmt w:val="bullet"/>
      <w:lvlText w:val="•"/>
      <w:lvlJc w:val="left"/>
      <w:pPr>
        <w:tabs>
          <w:tab w:val="num" w:pos="720"/>
        </w:tabs>
        <w:ind w:left="720" w:hanging="360"/>
      </w:pPr>
      <w:rPr>
        <w:rFonts w:ascii="Arial" w:hAnsi="Arial" w:hint="default"/>
      </w:rPr>
    </w:lvl>
    <w:lvl w:ilvl="1" w:tplc="8CB47C16" w:tentative="1">
      <w:start w:val="1"/>
      <w:numFmt w:val="bullet"/>
      <w:lvlText w:val="•"/>
      <w:lvlJc w:val="left"/>
      <w:pPr>
        <w:tabs>
          <w:tab w:val="num" w:pos="1440"/>
        </w:tabs>
        <w:ind w:left="1440" w:hanging="360"/>
      </w:pPr>
      <w:rPr>
        <w:rFonts w:ascii="Arial" w:hAnsi="Arial" w:hint="default"/>
      </w:rPr>
    </w:lvl>
    <w:lvl w:ilvl="2" w:tplc="EEC0C99C" w:tentative="1">
      <w:start w:val="1"/>
      <w:numFmt w:val="bullet"/>
      <w:lvlText w:val="•"/>
      <w:lvlJc w:val="left"/>
      <w:pPr>
        <w:tabs>
          <w:tab w:val="num" w:pos="2160"/>
        </w:tabs>
        <w:ind w:left="2160" w:hanging="360"/>
      </w:pPr>
      <w:rPr>
        <w:rFonts w:ascii="Arial" w:hAnsi="Arial" w:hint="default"/>
      </w:rPr>
    </w:lvl>
    <w:lvl w:ilvl="3" w:tplc="E87442A6" w:tentative="1">
      <w:start w:val="1"/>
      <w:numFmt w:val="bullet"/>
      <w:lvlText w:val="•"/>
      <w:lvlJc w:val="left"/>
      <w:pPr>
        <w:tabs>
          <w:tab w:val="num" w:pos="2880"/>
        </w:tabs>
        <w:ind w:left="2880" w:hanging="360"/>
      </w:pPr>
      <w:rPr>
        <w:rFonts w:ascii="Arial" w:hAnsi="Arial" w:hint="default"/>
      </w:rPr>
    </w:lvl>
    <w:lvl w:ilvl="4" w:tplc="4A56123A" w:tentative="1">
      <w:start w:val="1"/>
      <w:numFmt w:val="bullet"/>
      <w:lvlText w:val="•"/>
      <w:lvlJc w:val="left"/>
      <w:pPr>
        <w:tabs>
          <w:tab w:val="num" w:pos="3600"/>
        </w:tabs>
        <w:ind w:left="3600" w:hanging="360"/>
      </w:pPr>
      <w:rPr>
        <w:rFonts w:ascii="Arial" w:hAnsi="Arial" w:hint="default"/>
      </w:rPr>
    </w:lvl>
    <w:lvl w:ilvl="5" w:tplc="8B78E6DA" w:tentative="1">
      <w:start w:val="1"/>
      <w:numFmt w:val="bullet"/>
      <w:lvlText w:val="•"/>
      <w:lvlJc w:val="left"/>
      <w:pPr>
        <w:tabs>
          <w:tab w:val="num" w:pos="4320"/>
        </w:tabs>
        <w:ind w:left="4320" w:hanging="360"/>
      </w:pPr>
      <w:rPr>
        <w:rFonts w:ascii="Arial" w:hAnsi="Arial" w:hint="default"/>
      </w:rPr>
    </w:lvl>
    <w:lvl w:ilvl="6" w:tplc="B7BC3DF6" w:tentative="1">
      <w:start w:val="1"/>
      <w:numFmt w:val="bullet"/>
      <w:lvlText w:val="•"/>
      <w:lvlJc w:val="left"/>
      <w:pPr>
        <w:tabs>
          <w:tab w:val="num" w:pos="5040"/>
        </w:tabs>
        <w:ind w:left="5040" w:hanging="360"/>
      </w:pPr>
      <w:rPr>
        <w:rFonts w:ascii="Arial" w:hAnsi="Arial" w:hint="default"/>
      </w:rPr>
    </w:lvl>
    <w:lvl w:ilvl="7" w:tplc="8A207556" w:tentative="1">
      <w:start w:val="1"/>
      <w:numFmt w:val="bullet"/>
      <w:lvlText w:val="•"/>
      <w:lvlJc w:val="left"/>
      <w:pPr>
        <w:tabs>
          <w:tab w:val="num" w:pos="5760"/>
        </w:tabs>
        <w:ind w:left="5760" w:hanging="360"/>
      </w:pPr>
      <w:rPr>
        <w:rFonts w:ascii="Arial" w:hAnsi="Arial" w:hint="default"/>
      </w:rPr>
    </w:lvl>
    <w:lvl w:ilvl="8" w:tplc="C15A2E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A360BE"/>
    <w:multiLevelType w:val="hybridMultilevel"/>
    <w:tmpl w:val="2A2EAE00"/>
    <w:lvl w:ilvl="0" w:tplc="A9662C50">
      <w:start w:val="1"/>
      <w:numFmt w:val="bullet"/>
      <w:lvlText w:val="•"/>
      <w:lvlJc w:val="left"/>
      <w:pPr>
        <w:tabs>
          <w:tab w:val="num" w:pos="720"/>
        </w:tabs>
        <w:ind w:left="720" w:hanging="360"/>
      </w:pPr>
      <w:rPr>
        <w:rFonts w:ascii="Arial" w:hAnsi="Arial" w:hint="default"/>
      </w:rPr>
    </w:lvl>
    <w:lvl w:ilvl="1" w:tplc="6546B922" w:tentative="1">
      <w:start w:val="1"/>
      <w:numFmt w:val="bullet"/>
      <w:lvlText w:val="•"/>
      <w:lvlJc w:val="left"/>
      <w:pPr>
        <w:tabs>
          <w:tab w:val="num" w:pos="1440"/>
        </w:tabs>
        <w:ind w:left="1440" w:hanging="360"/>
      </w:pPr>
      <w:rPr>
        <w:rFonts w:ascii="Arial" w:hAnsi="Arial" w:hint="default"/>
      </w:rPr>
    </w:lvl>
    <w:lvl w:ilvl="2" w:tplc="D7268388" w:tentative="1">
      <w:start w:val="1"/>
      <w:numFmt w:val="bullet"/>
      <w:lvlText w:val="•"/>
      <w:lvlJc w:val="left"/>
      <w:pPr>
        <w:tabs>
          <w:tab w:val="num" w:pos="2160"/>
        </w:tabs>
        <w:ind w:left="2160" w:hanging="360"/>
      </w:pPr>
      <w:rPr>
        <w:rFonts w:ascii="Arial" w:hAnsi="Arial" w:hint="default"/>
      </w:rPr>
    </w:lvl>
    <w:lvl w:ilvl="3" w:tplc="A2144718" w:tentative="1">
      <w:start w:val="1"/>
      <w:numFmt w:val="bullet"/>
      <w:lvlText w:val="•"/>
      <w:lvlJc w:val="left"/>
      <w:pPr>
        <w:tabs>
          <w:tab w:val="num" w:pos="2880"/>
        </w:tabs>
        <w:ind w:left="2880" w:hanging="360"/>
      </w:pPr>
      <w:rPr>
        <w:rFonts w:ascii="Arial" w:hAnsi="Arial" w:hint="default"/>
      </w:rPr>
    </w:lvl>
    <w:lvl w:ilvl="4" w:tplc="D05281FA" w:tentative="1">
      <w:start w:val="1"/>
      <w:numFmt w:val="bullet"/>
      <w:lvlText w:val="•"/>
      <w:lvlJc w:val="left"/>
      <w:pPr>
        <w:tabs>
          <w:tab w:val="num" w:pos="3600"/>
        </w:tabs>
        <w:ind w:left="3600" w:hanging="360"/>
      </w:pPr>
      <w:rPr>
        <w:rFonts w:ascii="Arial" w:hAnsi="Arial" w:hint="default"/>
      </w:rPr>
    </w:lvl>
    <w:lvl w:ilvl="5" w:tplc="EA0C5A10" w:tentative="1">
      <w:start w:val="1"/>
      <w:numFmt w:val="bullet"/>
      <w:lvlText w:val="•"/>
      <w:lvlJc w:val="left"/>
      <w:pPr>
        <w:tabs>
          <w:tab w:val="num" w:pos="4320"/>
        </w:tabs>
        <w:ind w:left="4320" w:hanging="360"/>
      </w:pPr>
      <w:rPr>
        <w:rFonts w:ascii="Arial" w:hAnsi="Arial" w:hint="default"/>
      </w:rPr>
    </w:lvl>
    <w:lvl w:ilvl="6" w:tplc="77660C96" w:tentative="1">
      <w:start w:val="1"/>
      <w:numFmt w:val="bullet"/>
      <w:lvlText w:val="•"/>
      <w:lvlJc w:val="left"/>
      <w:pPr>
        <w:tabs>
          <w:tab w:val="num" w:pos="5040"/>
        </w:tabs>
        <w:ind w:left="5040" w:hanging="360"/>
      </w:pPr>
      <w:rPr>
        <w:rFonts w:ascii="Arial" w:hAnsi="Arial" w:hint="default"/>
      </w:rPr>
    </w:lvl>
    <w:lvl w:ilvl="7" w:tplc="441683CC" w:tentative="1">
      <w:start w:val="1"/>
      <w:numFmt w:val="bullet"/>
      <w:lvlText w:val="•"/>
      <w:lvlJc w:val="left"/>
      <w:pPr>
        <w:tabs>
          <w:tab w:val="num" w:pos="5760"/>
        </w:tabs>
        <w:ind w:left="5760" w:hanging="360"/>
      </w:pPr>
      <w:rPr>
        <w:rFonts w:ascii="Arial" w:hAnsi="Arial" w:hint="default"/>
      </w:rPr>
    </w:lvl>
    <w:lvl w:ilvl="8" w:tplc="A1F6C8FE" w:tentative="1">
      <w:start w:val="1"/>
      <w:numFmt w:val="bullet"/>
      <w:lvlText w:val="•"/>
      <w:lvlJc w:val="left"/>
      <w:pPr>
        <w:tabs>
          <w:tab w:val="num" w:pos="6480"/>
        </w:tabs>
        <w:ind w:left="6480" w:hanging="360"/>
      </w:pPr>
      <w:rPr>
        <w:rFonts w:ascii="Arial" w:hAnsi="Arial" w:hint="default"/>
      </w:rPr>
    </w:lvl>
  </w:abstractNum>
  <w:num w:numId="1" w16cid:durableId="485514391">
    <w:abstractNumId w:val="2"/>
  </w:num>
  <w:num w:numId="2" w16cid:durableId="874391992">
    <w:abstractNumId w:val="3"/>
  </w:num>
  <w:num w:numId="3" w16cid:durableId="2055108589">
    <w:abstractNumId w:val="1"/>
  </w:num>
  <w:num w:numId="4" w16cid:durableId="84477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200F3A"/>
    <w:rsid w:val="00036C8E"/>
    <w:rsid w:val="000E74A9"/>
    <w:rsid w:val="001037FF"/>
    <w:rsid w:val="002132B5"/>
    <w:rsid w:val="00215D3B"/>
    <w:rsid w:val="00251D1C"/>
    <w:rsid w:val="00266699"/>
    <w:rsid w:val="00275898"/>
    <w:rsid w:val="00280074"/>
    <w:rsid w:val="002F5326"/>
    <w:rsid w:val="003007F4"/>
    <w:rsid w:val="003F03C1"/>
    <w:rsid w:val="00454FEE"/>
    <w:rsid w:val="0048494C"/>
    <w:rsid w:val="004D28DE"/>
    <w:rsid w:val="00521901"/>
    <w:rsid w:val="00543955"/>
    <w:rsid w:val="00632995"/>
    <w:rsid w:val="00651DC1"/>
    <w:rsid w:val="0066667B"/>
    <w:rsid w:val="00693FA9"/>
    <w:rsid w:val="006F0E80"/>
    <w:rsid w:val="00705ADD"/>
    <w:rsid w:val="00726AC7"/>
    <w:rsid w:val="00726B7B"/>
    <w:rsid w:val="0073579F"/>
    <w:rsid w:val="00790E43"/>
    <w:rsid w:val="00793F79"/>
    <w:rsid w:val="007A480B"/>
    <w:rsid w:val="0089313E"/>
    <w:rsid w:val="008A2D03"/>
    <w:rsid w:val="008E4314"/>
    <w:rsid w:val="008E4E3E"/>
    <w:rsid w:val="009F3C1B"/>
    <w:rsid w:val="00AD397F"/>
    <w:rsid w:val="00AE781A"/>
    <w:rsid w:val="00B4203E"/>
    <w:rsid w:val="00B57D48"/>
    <w:rsid w:val="00CA2A07"/>
    <w:rsid w:val="00CE05F2"/>
    <w:rsid w:val="00CF63A6"/>
    <w:rsid w:val="00CF6662"/>
    <w:rsid w:val="00D00FBF"/>
    <w:rsid w:val="00D01F8B"/>
    <w:rsid w:val="00D03198"/>
    <w:rsid w:val="00D30AB4"/>
    <w:rsid w:val="00D36ECA"/>
    <w:rsid w:val="00D70E7D"/>
    <w:rsid w:val="00D90DEF"/>
    <w:rsid w:val="00DB6D02"/>
    <w:rsid w:val="00E20EB7"/>
    <w:rsid w:val="00E65C18"/>
    <w:rsid w:val="00F93264"/>
    <w:rsid w:val="00FA4F64"/>
    <w:rsid w:val="00FE4BDE"/>
    <w:rsid w:val="0116E5CF"/>
    <w:rsid w:val="02E33721"/>
    <w:rsid w:val="1102930B"/>
    <w:rsid w:val="11D41187"/>
    <w:rsid w:val="18200F3A"/>
    <w:rsid w:val="2B2DB044"/>
    <w:rsid w:val="2DC21184"/>
    <w:rsid w:val="32CC8869"/>
    <w:rsid w:val="7FEB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0F3A"/>
  <w15:chartTrackingRefBased/>
  <w15:docId w15:val="{12368468-F4EA-4622-839C-44862782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F64"/>
    <w:pPr>
      <w:ind w:left="720"/>
      <w:contextualSpacing/>
    </w:pPr>
  </w:style>
  <w:style w:type="paragraph" w:styleId="Revision">
    <w:name w:val="Revision"/>
    <w:hidden/>
    <w:uiPriority w:val="99"/>
    <w:semiHidden/>
    <w:rsid w:val="00D36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5681">
      <w:bodyDiv w:val="1"/>
      <w:marLeft w:val="0"/>
      <w:marRight w:val="0"/>
      <w:marTop w:val="0"/>
      <w:marBottom w:val="0"/>
      <w:divBdr>
        <w:top w:val="none" w:sz="0" w:space="0" w:color="auto"/>
        <w:left w:val="none" w:sz="0" w:space="0" w:color="auto"/>
        <w:bottom w:val="none" w:sz="0" w:space="0" w:color="auto"/>
        <w:right w:val="none" w:sz="0" w:space="0" w:color="auto"/>
      </w:divBdr>
      <w:divsChild>
        <w:div w:id="1796093872">
          <w:marLeft w:val="547"/>
          <w:marRight w:val="0"/>
          <w:marTop w:val="200"/>
          <w:marBottom w:val="0"/>
          <w:divBdr>
            <w:top w:val="none" w:sz="0" w:space="0" w:color="auto"/>
            <w:left w:val="none" w:sz="0" w:space="0" w:color="auto"/>
            <w:bottom w:val="none" w:sz="0" w:space="0" w:color="auto"/>
            <w:right w:val="none" w:sz="0" w:space="0" w:color="auto"/>
          </w:divBdr>
        </w:div>
      </w:divsChild>
    </w:div>
    <w:div w:id="88699548">
      <w:bodyDiv w:val="1"/>
      <w:marLeft w:val="0"/>
      <w:marRight w:val="0"/>
      <w:marTop w:val="0"/>
      <w:marBottom w:val="0"/>
      <w:divBdr>
        <w:top w:val="none" w:sz="0" w:space="0" w:color="auto"/>
        <w:left w:val="none" w:sz="0" w:space="0" w:color="auto"/>
        <w:bottom w:val="none" w:sz="0" w:space="0" w:color="auto"/>
        <w:right w:val="none" w:sz="0" w:space="0" w:color="auto"/>
      </w:divBdr>
    </w:div>
    <w:div w:id="226039611">
      <w:bodyDiv w:val="1"/>
      <w:marLeft w:val="0"/>
      <w:marRight w:val="0"/>
      <w:marTop w:val="0"/>
      <w:marBottom w:val="0"/>
      <w:divBdr>
        <w:top w:val="none" w:sz="0" w:space="0" w:color="auto"/>
        <w:left w:val="none" w:sz="0" w:space="0" w:color="auto"/>
        <w:bottom w:val="none" w:sz="0" w:space="0" w:color="auto"/>
        <w:right w:val="none" w:sz="0" w:space="0" w:color="auto"/>
      </w:divBdr>
    </w:div>
    <w:div w:id="297999492">
      <w:bodyDiv w:val="1"/>
      <w:marLeft w:val="0"/>
      <w:marRight w:val="0"/>
      <w:marTop w:val="0"/>
      <w:marBottom w:val="0"/>
      <w:divBdr>
        <w:top w:val="none" w:sz="0" w:space="0" w:color="auto"/>
        <w:left w:val="none" w:sz="0" w:space="0" w:color="auto"/>
        <w:bottom w:val="none" w:sz="0" w:space="0" w:color="auto"/>
        <w:right w:val="none" w:sz="0" w:space="0" w:color="auto"/>
      </w:divBdr>
    </w:div>
    <w:div w:id="313996038">
      <w:bodyDiv w:val="1"/>
      <w:marLeft w:val="0"/>
      <w:marRight w:val="0"/>
      <w:marTop w:val="0"/>
      <w:marBottom w:val="0"/>
      <w:divBdr>
        <w:top w:val="none" w:sz="0" w:space="0" w:color="auto"/>
        <w:left w:val="none" w:sz="0" w:space="0" w:color="auto"/>
        <w:bottom w:val="none" w:sz="0" w:space="0" w:color="auto"/>
        <w:right w:val="none" w:sz="0" w:space="0" w:color="auto"/>
      </w:divBdr>
    </w:div>
    <w:div w:id="324747810">
      <w:bodyDiv w:val="1"/>
      <w:marLeft w:val="0"/>
      <w:marRight w:val="0"/>
      <w:marTop w:val="0"/>
      <w:marBottom w:val="0"/>
      <w:divBdr>
        <w:top w:val="none" w:sz="0" w:space="0" w:color="auto"/>
        <w:left w:val="none" w:sz="0" w:space="0" w:color="auto"/>
        <w:bottom w:val="none" w:sz="0" w:space="0" w:color="auto"/>
        <w:right w:val="none" w:sz="0" w:space="0" w:color="auto"/>
      </w:divBdr>
    </w:div>
    <w:div w:id="327367273">
      <w:bodyDiv w:val="1"/>
      <w:marLeft w:val="0"/>
      <w:marRight w:val="0"/>
      <w:marTop w:val="0"/>
      <w:marBottom w:val="0"/>
      <w:divBdr>
        <w:top w:val="none" w:sz="0" w:space="0" w:color="auto"/>
        <w:left w:val="none" w:sz="0" w:space="0" w:color="auto"/>
        <w:bottom w:val="none" w:sz="0" w:space="0" w:color="auto"/>
        <w:right w:val="none" w:sz="0" w:space="0" w:color="auto"/>
      </w:divBdr>
    </w:div>
    <w:div w:id="345208376">
      <w:bodyDiv w:val="1"/>
      <w:marLeft w:val="0"/>
      <w:marRight w:val="0"/>
      <w:marTop w:val="0"/>
      <w:marBottom w:val="0"/>
      <w:divBdr>
        <w:top w:val="none" w:sz="0" w:space="0" w:color="auto"/>
        <w:left w:val="none" w:sz="0" w:space="0" w:color="auto"/>
        <w:bottom w:val="none" w:sz="0" w:space="0" w:color="auto"/>
        <w:right w:val="none" w:sz="0" w:space="0" w:color="auto"/>
      </w:divBdr>
    </w:div>
    <w:div w:id="345836676">
      <w:bodyDiv w:val="1"/>
      <w:marLeft w:val="0"/>
      <w:marRight w:val="0"/>
      <w:marTop w:val="0"/>
      <w:marBottom w:val="0"/>
      <w:divBdr>
        <w:top w:val="none" w:sz="0" w:space="0" w:color="auto"/>
        <w:left w:val="none" w:sz="0" w:space="0" w:color="auto"/>
        <w:bottom w:val="none" w:sz="0" w:space="0" w:color="auto"/>
        <w:right w:val="none" w:sz="0" w:space="0" w:color="auto"/>
      </w:divBdr>
    </w:div>
    <w:div w:id="493302867">
      <w:bodyDiv w:val="1"/>
      <w:marLeft w:val="0"/>
      <w:marRight w:val="0"/>
      <w:marTop w:val="0"/>
      <w:marBottom w:val="0"/>
      <w:divBdr>
        <w:top w:val="none" w:sz="0" w:space="0" w:color="auto"/>
        <w:left w:val="none" w:sz="0" w:space="0" w:color="auto"/>
        <w:bottom w:val="none" w:sz="0" w:space="0" w:color="auto"/>
        <w:right w:val="none" w:sz="0" w:space="0" w:color="auto"/>
      </w:divBdr>
      <w:divsChild>
        <w:div w:id="105931903">
          <w:marLeft w:val="547"/>
          <w:marRight w:val="0"/>
          <w:marTop w:val="200"/>
          <w:marBottom w:val="0"/>
          <w:divBdr>
            <w:top w:val="none" w:sz="0" w:space="0" w:color="auto"/>
            <w:left w:val="none" w:sz="0" w:space="0" w:color="auto"/>
            <w:bottom w:val="none" w:sz="0" w:space="0" w:color="auto"/>
            <w:right w:val="none" w:sz="0" w:space="0" w:color="auto"/>
          </w:divBdr>
        </w:div>
        <w:div w:id="1146900233">
          <w:marLeft w:val="547"/>
          <w:marRight w:val="0"/>
          <w:marTop w:val="200"/>
          <w:marBottom w:val="0"/>
          <w:divBdr>
            <w:top w:val="none" w:sz="0" w:space="0" w:color="auto"/>
            <w:left w:val="none" w:sz="0" w:space="0" w:color="auto"/>
            <w:bottom w:val="none" w:sz="0" w:space="0" w:color="auto"/>
            <w:right w:val="none" w:sz="0" w:space="0" w:color="auto"/>
          </w:divBdr>
        </w:div>
      </w:divsChild>
    </w:div>
    <w:div w:id="780338977">
      <w:bodyDiv w:val="1"/>
      <w:marLeft w:val="0"/>
      <w:marRight w:val="0"/>
      <w:marTop w:val="0"/>
      <w:marBottom w:val="0"/>
      <w:divBdr>
        <w:top w:val="none" w:sz="0" w:space="0" w:color="auto"/>
        <w:left w:val="none" w:sz="0" w:space="0" w:color="auto"/>
        <w:bottom w:val="none" w:sz="0" w:space="0" w:color="auto"/>
        <w:right w:val="none" w:sz="0" w:space="0" w:color="auto"/>
      </w:divBdr>
    </w:div>
    <w:div w:id="810026044">
      <w:bodyDiv w:val="1"/>
      <w:marLeft w:val="0"/>
      <w:marRight w:val="0"/>
      <w:marTop w:val="0"/>
      <w:marBottom w:val="0"/>
      <w:divBdr>
        <w:top w:val="none" w:sz="0" w:space="0" w:color="auto"/>
        <w:left w:val="none" w:sz="0" w:space="0" w:color="auto"/>
        <w:bottom w:val="none" w:sz="0" w:space="0" w:color="auto"/>
        <w:right w:val="none" w:sz="0" w:space="0" w:color="auto"/>
      </w:divBdr>
    </w:div>
    <w:div w:id="817108453">
      <w:bodyDiv w:val="1"/>
      <w:marLeft w:val="0"/>
      <w:marRight w:val="0"/>
      <w:marTop w:val="0"/>
      <w:marBottom w:val="0"/>
      <w:divBdr>
        <w:top w:val="none" w:sz="0" w:space="0" w:color="auto"/>
        <w:left w:val="none" w:sz="0" w:space="0" w:color="auto"/>
        <w:bottom w:val="none" w:sz="0" w:space="0" w:color="auto"/>
        <w:right w:val="none" w:sz="0" w:space="0" w:color="auto"/>
      </w:divBdr>
    </w:div>
    <w:div w:id="850070653">
      <w:bodyDiv w:val="1"/>
      <w:marLeft w:val="0"/>
      <w:marRight w:val="0"/>
      <w:marTop w:val="0"/>
      <w:marBottom w:val="0"/>
      <w:divBdr>
        <w:top w:val="none" w:sz="0" w:space="0" w:color="auto"/>
        <w:left w:val="none" w:sz="0" w:space="0" w:color="auto"/>
        <w:bottom w:val="none" w:sz="0" w:space="0" w:color="auto"/>
        <w:right w:val="none" w:sz="0" w:space="0" w:color="auto"/>
      </w:divBdr>
    </w:div>
    <w:div w:id="955792980">
      <w:bodyDiv w:val="1"/>
      <w:marLeft w:val="0"/>
      <w:marRight w:val="0"/>
      <w:marTop w:val="0"/>
      <w:marBottom w:val="0"/>
      <w:divBdr>
        <w:top w:val="none" w:sz="0" w:space="0" w:color="auto"/>
        <w:left w:val="none" w:sz="0" w:space="0" w:color="auto"/>
        <w:bottom w:val="none" w:sz="0" w:space="0" w:color="auto"/>
        <w:right w:val="none" w:sz="0" w:space="0" w:color="auto"/>
      </w:divBdr>
    </w:div>
    <w:div w:id="1061516151">
      <w:bodyDiv w:val="1"/>
      <w:marLeft w:val="0"/>
      <w:marRight w:val="0"/>
      <w:marTop w:val="0"/>
      <w:marBottom w:val="0"/>
      <w:divBdr>
        <w:top w:val="none" w:sz="0" w:space="0" w:color="auto"/>
        <w:left w:val="none" w:sz="0" w:space="0" w:color="auto"/>
        <w:bottom w:val="none" w:sz="0" w:space="0" w:color="auto"/>
        <w:right w:val="none" w:sz="0" w:space="0" w:color="auto"/>
      </w:divBdr>
    </w:div>
    <w:div w:id="1298292415">
      <w:bodyDiv w:val="1"/>
      <w:marLeft w:val="0"/>
      <w:marRight w:val="0"/>
      <w:marTop w:val="0"/>
      <w:marBottom w:val="0"/>
      <w:divBdr>
        <w:top w:val="none" w:sz="0" w:space="0" w:color="auto"/>
        <w:left w:val="none" w:sz="0" w:space="0" w:color="auto"/>
        <w:bottom w:val="none" w:sz="0" w:space="0" w:color="auto"/>
        <w:right w:val="none" w:sz="0" w:space="0" w:color="auto"/>
      </w:divBdr>
    </w:div>
    <w:div w:id="1401368350">
      <w:bodyDiv w:val="1"/>
      <w:marLeft w:val="0"/>
      <w:marRight w:val="0"/>
      <w:marTop w:val="0"/>
      <w:marBottom w:val="0"/>
      <w:divBdr>
        <w:top w:val="none" w:sz="0" w:space="0" w:color="auto"/>
        <w:left w:val="none" w:sz="0" w:space="0" w:color="auto"/>
        <w:bottom w:val="none" w:sz="0" w:space="0" w:color="auto"/>
        <w:right w:val="none" w:sz="0" w:space="0" w:color="auto"/>
      </w:divBdr>
    </w:div>
    <w:div w:id="1515723139">
      <w:bodyDiv w:val="1"/>
      <w:marLeft w:val="0"/>
      <w:marRight w:val="0"/>
      <w:marTop w:val="0"/>
      <w:marBottom w:val="0"/>
      <w:divBdr>
        <w:top w:val="none" w:sz="0" w:space="0" w:color="auto"/>
        <w:left w:val="none" w:sz="0" w:space="0" w:color="auto"/>
        <w:bottom w:val="none" w:sz="0" w:space="0" w:color="auto"/>
        <w:right w:val="none" w:sz="0" w:space="0" w:color="auto"/>
      </w:divBdr>
    </w:div>
    <w:div w:id="1552884828">
      <w:bodyDiv w:val="1"/>
      <w:marLeft w:val="0"/>
      <w:marRight w:val="0"/>
      <w:marTop w:val="0"/>
      <w:marBottom w:val="0"/>
      <w:divBdr>
        <w:top w:val="none" w:sz="0" w:space="0" w:color="auto"/>
        <w:left w:val="none" w:sz="0" w:space="0" w:color="auto"/>
        <w:bottom w:val="none" w:sz="0" w:space="0" w:color="auto"/>
        <w:right w:val="none" w:sz="0" w:space="0" w:color="auto"/>
      </w:divBdr>
    </w:div>
    <w:div w:id="1581527328">
      <w:bodyDiv w:val="1"/>
      <w:marLeft w:val="0"/>
      <w:marRight w:val="0"/>
      <w:marTop w:val="0"/>
      <w:marBottom w:val="0"/>
      <w:divBdr>
        <w:top w:val="none" w:sz="0" w:space="0" w:color="auto"/>
        <w:left w:val="none" w:sz="0" w:space="0" w:color="auto"/>
        <w:bottom w:val="none" w:sz="0" w:space="0" w:color="auto"/>
        <w:right w:val="none" w:sz="0" w:space="0" w:color="auto"/>
      </w:divBdr>
      <w:divsChild>
        <w:div w:id="1454127760">
          <w:marLeft w:val="547"/>
          <w:marRight w:val="0"/>
          <w:marTop w:val="200"/>
          <w:marBottom w:val="0"/>
          <w:divBdr>
            <w:top w:val="none" w:sz="0" w:space="0" w:color="auto"/>
            <w:left w:val="none" w:sz="0" w:space="0" w:color="auto"/>
            <w:bottom w:val="none" w:sz="0" w:space="0" w:color="auto"/>
            <w:right w:val="none" w:sz="0" w:space="0" w:color="auto"/>
          </w:divBdr>
        </w:div>
        <w:div w:id="592739059">
          <w:marLeft w:val="547"/>
          <w:marRight w:val="0"/>
          <w:marTop w:val="200"/>
          <w:marBottom w:val="0"/>
          <w:divBdr>
            <w:top w:val="none" w:sz="0" w:space="0" w:color="auto"/>
            <w:left w:val="none" w:sz="0" w:space="0" w:color="auto"/>
            <w:bottom w:val="none" w:sz="0" w:space="0" w:color="auto"/>
            <w:right w:val="none" w:sz="0" w:space="0" w:color="auto"/>
          </w:divBdr>
        </w:div>
        <w:div w:id="1896895464">
          <w:marLeft w:val="547"/>
          <w:marRight w:val="0"/>
          <w:marTop w:val="200"/>
          <w:marBottom w:val="0"/>
          <w:divBdr>
            <w:top w:val="none" w:sz="0" w:space="0" w:color="auto"/>
            <w:left w:val="none" w:sz="0" w:space="0" w:color="auto"/>
            <w:bottom w:val="none" w:sz="0" w:space="0" w:color="auto"/>
            <w:right w:val="none" w:sz="0" w:space="0" w:color="auto"/>
          </w:divBdr>
        </w:div>
        <w:div w:id="275064892">
          <w:marLeft w:val="547"/>
          <w:marRight w:val="0"/>
          <w:marTop w:val="200"/>
          <w:marBottom w:val="0"/>
          <w:divBdr>
            <w:top w:val="none" w:sz="0" w:space="0" w:color="auto"/>
            <w:left w:val="none" w:sz="0" w:space="0" w:color="auto"/>
            <w:bottom w:val="none" w:sz="0" w:space="0" w:color="auto"/>
            <w:right w:val="none" w:sz="0" w:space="0" w:color="auto"/>
          </w:divBdr>
        </w:div>
        <w:div w:id="978807598">
          <w:marLeft w:val="547"/>
          <w:marRight w:val="0"/>
          <w:marTop w:val="200"/>
          <w:marBottom w:val="0"/>
          <w:divBdr>
            <w:top w:val="none" w:sz="0" w:space="0" w:color="auto"/>
            <w:left w:val="none" w:sz="0" w:space="0" w:color="auto"/>
            <w:bottom w:val="none" w:sz="0" w:space="0" w:color="auto"/>
            <w:right w:val="none" w:sz="0" w:space="0" w:color="auto"/>
          </w:divBdr>
        </w:div>
      </w:divsChild>
    </w:div>
    <w:div w:id="1623420579">
      <w:bodyDiv w:val="1"/>
      <w:marLeft w:val="0"/>
      <w:marRight w:val="0"/>
      <w:marTop w:val="0"/>
      <w:marBottom w:val="0"/>
      <w:divBdr>
        <w:top w:val="none" w:sz="0" w:space="0" w:color="auto"/>
        <w:left w:val="none" w:sz="0" w:space="0" w:color="auto"/>
        <w:bottom w:val="none" w:sz="0" w:space="0" w:color="auto"/>
        <w:right w:val="none" w:sz="0" w:space="0" w:color="auto"/>
      </w:divBdr>
    </w:div>
    <w:div w:id="1634361862">
      <w:bodyDiv w:val="1"/>
      <w:marLeft w:val="0"/>
      <w:marRight w:val="0"/>
      <w:marTop w:val="0"/>
      <w:marBottom w:val="0"/>
      <w:divBdr>
        <w:top w:val="none" w:sz="0" w:space="0" w:color="auto"/>
        <w:left w:val="none" w:sz="0" w:space="0" w:color="auto"/>
        <w:bottom w:val="none" w:sz="0" w:space="0" w:color="auto"/>
        <w:right w:val="none" w:sz="0" w:space="0" w:color="auto"/>
      </w:divBdr>
    </w:div>
    <w:div w:id="1733431212">
      <w:bodyDiv w:val="1"/>
      <w:marLeft w:val="0"/>
      <w:marRight w:val="0"/>
      <w:marTop w:val="0"/>
      <w:marBottom w:val="0"/>
      <w:divBdr>
        <w:top w:val="none" w:sz="0" w:space="0" w:color="auto"/>
        <w:left w:val="none" w:sz="0" w:space="0" w:color="auto"/>
        <w:bottom w:val="none" w:sz="0" w:space="0" w:color="auto"/>
        <w:right w:val="none" w:sz="0" w:space="0" w:color="auto"/>
      </w:divBdr>
    </w:div>
    <w:div w:id="1802961479">
      <w:bodyDiv w:val="1"/>
      <w:marLeft w:val="0"/>
      <w:marRight w:val="0"/>
      <w:marTop w:val="0"/>
      <w:marBottom w:val="0"/>
      <w:divBdr>
        <w:top w:val="none" w:sz="0" w:space="0" w:color="auto"/>
        <w:left w:val="none" w:sz="0" w:space="0" w:color="auto"/>
        <w:bottom w:val="none" w:sz="0" w:space="0" w:color="auto"/>
        <w:right w:val="none" w:sz="0" w:space="0" w:color="auto"/>
      </w:divBdr>
    </w:div>
    <w:div w:id="1986623646">
      <w:bodyDiv w:val="1"/>
      <w:marLeft w:val="0"/>
      <w:marRight w:val="0"/>
      <w:marTop w:val="0"/>
      <w:marBottom w:val="0"/>
      <w:divBdr>
        <w:top w:val="none" w:sz="0" w:space="0" w:color="auto"/>
        <w:left w:val="none" w:sz="0" w:space="0" w:color="auto"/>
        <w:bottom w:val="none" w:sz="0" w:space="0" w:color="auto"/>
        <w:right w:val="none" w:sz="0" w:space="0" w:color="auto"/>
      </w:divBdr>
    </w:div>
    <w:div w:id="2011984252">
      <w:bodyDiv w:val="1"/>
      <w:marLeft w:val="0"/>
      <w:marRight w:val="0"/>
      <w:marTop w:val="0"/>
      <w:marBottom w:val="0"/>
      <w:divBdr>
        <w:top w:val="none" w:sz="0" w:space="0" w:color="auto"/>
        <w:left w:val="none" w:sz="0" w:space="0" w:color="auto"/>
        <w:bottom w:val="none" w:sz="0" w:space="0" w:color="auto"/>
        <w:right w:val="none" w:sz="0" w:space="0" w:color="auto"/>
      </w:divBdr>
    </w:div>
    <w:div w:id="201268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B0E1F6BF-9032-4DC0-86C1-465992BDF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23F15-C214-48D9-8AF8-615E622A0F0C}">
  <ds:schemaRefs>
    <ds:schemaRef ds:uri="http://schemas.microsoft.com/sharepoint/v3/contenttype/forms"/>
  </ds:schemaRefs>
</ds:datastoreItem>
</file>

<file path=customXml/itemProps3.xml><?xml version="1.0" encoding="utf-8"?>
<ds:datastoreItem xmlns:ds="http://schemas.openxmlformats.org/officeDocument/2006/customXml" ds:itemID="{240183E5-6A80-4E19-A6E2-B660DA137FFE}">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Giulia Ricci</cp:lastModifiedBy>
  <cp:revision>53</cp:revision>
  <dcterms:created xsi:type="dcterms:W3CDTF">2023-01-20T14:04:00Z</dcterms:created>
  <dcterms:modified xsi:type="dcterms:W3CDTF">2025-08-06T08:38:00Z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22497800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