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F75D" w14:textId="008F0E8D" w:rsidR="7BECD52F" w:rsidRDefault="7BECD52F" w:rsidP="002D1979">
      <w:pPr>
        <w:ind w:left="360"/>
        <w:rPr>
          <w:lang w:val="en-GB"/>
        </w:rPr>
      </w:pPr>
      <w:r w:rsidRPr="29AE3A37">
        <w:rPr>
          <w:rFonts w:ascii="Calibri" w:eastAsia="Calibri" w:hAnsi="Calibri" w:cs="Calibri"/>
          <w:b/>
          <w:bCs/>
          <w:lang w:val="en-GB"/>
        </w:rPr>
        <w:t>Timetable for an offer</w:t>
      </w:r>
    </w:p>
    <w:p w14:paraId="7AE4AD4A" w14:textId="7D6A89BA" w:rsidR="7BECD52F" w:rsidRDefault="7BECD52F" w:rsidP="002D1979">
      <w:pPr>
        <w:spacing w:before="240" w:after="240"/>
        <w:ind w:left="360"/>
      </w:pPr>
      <w:r w:rsidRPr="002D1979">
        <w:rPr>
          <w:rFonts w:ascii="Calibri" w:eastAsia="Calibri" w:hAnsi="Calibri" w:cs="Calibri"/>
          <w:lang w:val="en-GB"/>
        </w:rPr>
        <w:t>This element provides an example of a timetable for an offer.</w:t>
      </w:r>
    </w:p>
    <w:p w14:paraId="54A4047A" w14:textId="11D31363" w:rsidR="7BECD52F" w:rsidRPr="002D1979" w:rsidRDefault="7BECD52F" w:rsidP="002D1979">
      <w:pPr>
        <w:spacing w:before="240" w:after="240"/>
        <w:ind w:left="360"/>
        <w:rPr>
          <w:b/>
          <w:bCs/>
        </w:rPr>
      </w:pPr>
      <w:r w:rsidRPr="002D1979">
        <w:rPr>
          <w:rFonts w:ascii="Calibri" w:eastAsia="Calibri" w:hAnsi="Calibri" w:cs="Calibri"/>
          <w:b/>
          <w:bCs/>
          <w:lang w:val="en-GB"/>
        </w:rPr>
        <w:t>Introduction</w:t>
      </w:r>
    </w:p>
    <w:p w14:paraId="41660B90" w14:textId="4B52E299" w:rsidR="7BECD52F" w:rsidRDefault="7BECD52F" w:rsidP="002D1979">
      <w:pPr>
        <w:spacing w:before="240" w:after="240"/>
        <w:ind w:left="360"/>
      </w:pPr>
      <w:r w:rsidRPr="002D1979">
        <w:rPr>
          <w:rFonts w:ascii="Calibri" w:eastAsia="Calibri" w:hAnsi="Calibri" w:cs="Calibri"/>
          <w:lang w:val="en-GB"/>
        </w:rPr>
        <w:t xml:space="preserve">Set out in this element is an example timetable for an offer which has a retail element, together with a note of some changes that could be made to the timetable if the offer was institutional only. Some IPO offers will have both a retail element and an institutional element, and some will just be institutional. The timetable assumes that the issuer has chosen NOT to give unconnected analysts access to the initial Analysts’ Presentation (instead, they will be given separate access to the issuer’s management). </w:t>
      </w:r>
    </w:p>
    <w:p w14:paraId="7F219257" w14:textId="0F1B69B8" w:rsidR="7BECD52F" w:rsidRDefault="7BECD52F" w:rsidP="002D1979">
      <w:pPr>
        <w:spacing w:before="240" w:after="240"/>
        <w:ind w:left="360"/>
      </w:pPr>
      <w:r w:rsidRPr="002D1979">
        <w:rPr>
          <w:rFonts w:ascii="Calibri" w:eastAsia="Calibri" w:hAnsi="Calibri" w:cs="Calibri"/>
          <w:lang w:val="en-GB"/>
        </w:rPr>
        <w:t xml:space="preserve">This timetable is not set in stone and will vary from offer to offer. </w:t>
      </w:r>
    </w:p>
    <w:p w14:paraId="4FDE2A97" w14:textId="4F6B4E16" w:rsidR="7BECD52F" w:rsidRDefault="7BECD52F" w:rsidP="002D1979">
      <w:pPr>
        <w:spacing w:before="240" w:after="240"/>
        <w:ind w:left="360"/>
      </w:pPr>
      <w:r w:rsidRPr="002D1979">
        <w:rPr>
          <w:rFonts w:ascii="Calibri" w:eastAsia="Calibri" w:hAnsi="Calibri" w:cs="Calibri"/>
          <w:lang w:val="en-GB"/>
        </w:rPr>
        <w:t>The timetable is set out by reference to the formal launch of the flotation (</w:t>
      </w:r>
      <w:r w:rsidR="00D91976">
        <w:rPr>
          <w:rFonts w:ascii="Calibri" w:eastAsia="Calibri" w:hAnsi="Calibri" w:cs="Calibri"/>
          <w:lang w:val="en-GB"/>
        </w:rPr>
        <w:t>‘</w:t>
      </w:r>
      <w:r w:rsidRPr="002D1979">
        <w:rPr>
          <w:rFonts w:ascii="Calibri" w:eastAsia="Calibri" w:hAnsi="Calibri" w:cs="Calibri"/>
          <w:lang w:val="en-GB"/>
        </w:rPr>
        <w:t>Launch</w:t>
      </w:r>
      <w:r w:rsidR="00D91976">
        <w:rPr>
          <w:rFonts w:ascii="Calibri" w:eastAsia="Calibri" w:hAnsi="Calibri" w:cs="Calibri"/>
          <w:lang w:val="en-GB"/>
        </w:rPr>
        <w:t>’</w:t>
      </w:r>
      <w:r w:rsidRPr="002D1979">
        <w:rPr>
          <w:rFonts w:ascii="Calibri" w:eastAsia="Calibri" w:hAnsi="Calibri" w:cs="Calibri"/>
          <w:lang w:val="en-GB"/>
        </w:rPr>
        <w:t xml:space="preserve"> in the timetable). This is the day when the prospectus is </w:t>
      </w:r>
      <w:proofErr w:type="gramStart"/>
      <w:r w:rsidRPr="002D1979">
        <w:rPr>
          <w:rFonts w:ascii="Calibri" w:eastAsia="Calibri" w:hAnsi="Calibri" w:cs="Calibri"/>
          <w:lang w:val="en-GB"/>
        </w:rPr>
        <w:t>published</w:t>
      </w:r>
      <w:proofErr w:type="gramEnd"/>
      <w:r w:rsidRPr="002D1979">
        <w:rPr>
          <w:rFonts w:ascii="Calibri" w:eastAsia="Calibri" w:hAnsi="Calibri" w:cs="Calibri"/>
          <w:lang w:val="en-GB"/>
        </w:rPr>
        <w:t xml:space="preserve"> and the offer is formally opened. However, the company does not actually float on Launch. The company floats on Admission Day, when the FCA and the LSE announce that the shares have been admitted to listing and trading. Unconditional dealing in the shares then commences on admission day.</w:t>
      </w:r>
    </w:p>
    <w:p w14:paraId="3A701EED" w14:textId="73486FF0" w:rsidR="7BECD52F" w:rsidRPr="002D1979" w:rsidRDefault="001D4120" w:rsidP="002D1979">
      <w:pPr>
        <w:spacing w:before="240" w:after="240"/>
        <w:ind w:left="360"/>
        <w:rPr>
          <w:rFonts w:ascii="Calibri" w:eastAsia="Calibri" w:hAnsi="Calibri" w:cs="Calibri"/>
          <w:lang w:val="en-GB"/>
        </w:rPr>
      </w:pPr>
      <w:r>
        <w:rPr>
          <w:rFonts w:ascii="Calibri" w:eastAsia="Calibri" w:hAnsi="Calibri" w:cs="Calibri"/>
          <w:lang w:val="en-GB"/>
        </w:rPr>
        <w:t>The summary below</w:t>
      </w:r>
      <w:r w:rsidR="7BECD52F" w:rsidRPr="002D1979">
        <w:rPr>
          <w:rFonts w:ascii="Calibri" w:eastAsia="Calibri" w:hAnsi="Calibri" w:cs="Calibri"/>
          <w:lang w:val="en-GB"/>
        </w:rPr>
        <w:t xml:space="preserve"> assumes a price-range prospectus and pricing statement structure, although the final column headed </w:t>
      </w:r>
      <w:r w:rsidR="00D91976">
        <w:rPr>
          <w:rFonts w:ascii="Calibri" w:eastAsia="Calibri" w:hAnsi="Calibri" w:cs="Calibri"/>
          <w:lang w:val="en-GB"/>
        </w:rPr>
        <w:t>‘</w:t>
      </w:r>
      <w:r w:rsidR="7BECD52F" w:rsidRPr="002D1979">
        <w:rPr>
          <w:rFonts w:ascii="Calibri" w:eastAsia="Calibri" w:hAnsi="Calibri" w:cs="Calibri"/>
          <w:lang w:val="en-GB"/>
        </w:rPr>
        <w:t>Pathfinder - Institutional Only</w:t>
      </w:r>
      <w:r w:rsidR="00D91976">
        <w:rPr>
          <w:rFonts w:ascii="Calibri" w:eastAsia="Calibri" w:hAnsi="Calibri" w:cs="Calibri"/>
          <w:lang w:val="en-GB"/>
        </w:rPr>
        <w:t>’</w:t>
      </w:r>
      <w:r w:rsidR="7BECD52F" w:rsidRPr="002D1979">
        <w:rPr>
          <w:rFonts w:ascii="Calibri" w:eastAsia="Calibri" w:hAnsi="Calibri" w:cs="Calibri"/>
          <w:lang w:val="en-GB"/>
        </w:rPr>
        <w:t xml:space="preserve"> points out a few important differences (marked by **) where the company is offering its shares solely to institutional investors rather than the general public. All of these terms are explained in further detail later.</w:t>
      </w:r>
    </w:p>
    <w:p w14:paraId="65B82DEA" w14:textId="77777777" w:rsidR="009D0472" w:rsidRDefault="009D0472" w:rsidP="00A60501">
      <w:pPr>
        <w:pStyle w:val="ListParagraph"/>
        <w:spacing w:before="240" w:after="240"/>
        <w:ind w:left="360"/>
        <w:rPr>
          <w:rFonts w:ascii="Calibri" w:eastAsia="Calibri" w:hAnsi="Calibri" w:cs="Calibri"/>
          <w:lang w:val="en-GB"/>
        </w:rPr>
      </w:pPr>
    </w:p>
    <w:p w14:paraId="15AF1F21" w14:textId="4C0E9007" w:rsidR="7BECD52F" w:rsidRPr="009D0472" w:rsidRDefault="7BECD52F" w:rsidP="00A60501">
      <w:pPr>
        <w:pStyle w:val="ListParagraph"/>
        <w:spacing w:before="240" w:after="240"/>
        <w:ind w:left="360"/>
        <w:rPr>
          <w:b/>
          <w:bCs/>
        </w:rPr>
      </w:pPr>
      <w:r w:rsidRPr="009D0472">
        <w:rPr>
          <w:rFonts w:ascii="Calibri" w:eastAsia="Calibri" w:hAnsi="Calibri" w:cs="Calibri"/>
          <w:b/>
          <w:bCs/>
          <w:lang w:val="en-GB"/>
        </w:rPr>
        <w:t xml:space="preserve">TIMETABLE FOR AN OFFER </w:t>
      </w:r>
    </w:p>
    <w:p w14:paraId="0777E36F" w14:textId="02E451F1" w:rsidR="7BECD52F" w:rsidRPr="009D0472" w:rsidRDefault="7BECD52F" w:rsidP="00810692">
      <w:pPr>
        <w:spacing w:before="240" w:after="240"/>
        <w:ind w:left="360"/>
        <w:rPr>
          <w:b/>
          <w:bCs/>
        </w:rPr>
      </w:pPr>
      <w:r w:rsidRPr="009D0472">
        <w:rPr>
          <w:rFonts w:ascii="Calibri" w:eastAsia="Calibri" w:hAnsi="Calibri" w:cs="Calibri"/>
          <w:b/>
          <w:bCs/>
          <w:lang w:val="en-GB"/>
        </w:rPr>
        <w:t xml:space="preserve">PRICE-RANGE PROSPECTUS </w:t>
      </w:r>
      <w:r w:rsidR="00810692" w:rsidRPr="009D0472">
        <w:rPr>
          <w:b/>
          <w:bCs/>
        </w:rPr>
        <w:t xml:space="preserve"> </w:t>
      </w:r>
      <w:r w:rsidRPr="009D0472">
        <w:rPr>
          <w:rFonts w:ascii="Calibri" w:eastAsia="Calibri" w:hAnsi="Calibri" w:cs="Calibri"/>
          <w:b/>
          <w:bCs/>
          <w:lang w:val="en-GB"/>
        </w:rPr>
        <w:t xml:space="preserve">(INSTITUTIONAL OFFER with RETAIL ELEMENT) </w:t>
      </w:r>
    </w:p>
    <w:p w14:paraId="0697897A" w14:textId="4D6FA066" w:rsidR="7BECD52F" w:rsidRDefault="7BECD52F" w:rsidP="00810692">
      <w:pPr>
        <w:spacing w:before="240" w:after="240"/>
        <w:ind w:left="720"/>
      </w:pPr>
      <w:r w:rsidRPr="00327CF8">
        <w:rPr>
          <w:rFonts w:ascii="Calibri" w:eastAsia="Calibri" w:hAnsi="Calibri" w:cs="Calibri"/>
          <w:lang w:val="en-GB"/>
        </w:rPr>
        <w:t xml:space="preserve">PLANNING STAGE </w:t>
      </w:r>
    </w:p>
    <w:p w14:paraId="16ABF480" w14:textId="5D4C4F3F"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12-24 weeks before Launch </w:t>
      </w:r>
    </w:p>
    <w:p w14:paraId="0411EB39" w14:textId="49C843C1"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Advisers appointed. </w:t>
      </w:r>
    </w:p>
    <w:p w14:paraId="699603B6" w14:textId="5EA51317"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Preliminary meetings regarding the structure of the offer. </w:t>
      </w:r>
    </w:p>
    <w:p w14:paraId="27C81FFD" w14:textId="00851E5D"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Due diligence commences. </w:t>
      </w:r>
    </w:p>
    <w:p w14:paraId="0DCD047E" w14:textId="4E29CE22"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Reporting accountants start to prepare long and short form reports. </w:t>
      </w:r>
    </w:p>
    <w:p w14:paraId="1CCAD6CB" w14:textId="6AD12A1E" w:rsidR="7BECD52F" w:rsidRDefault="7BECD52F" w:rsidP="00810692">
      <w:pPr>
        <w:spacing w:before="240" w:after="240"/>
        <w:ind w:left="720"/>
      </w:pPr>
      <w:r w:rsidRPr="00327CF8">
        <w:rPr>
          <w:rFonts w:ascii="Calibri" w:eastAsia="Calibri" w:hAnsi="Calibri" w:cs="Calibri"/>
          <w:lang w:val="en-GB"/>
        </w:rPr>
        <w:t xml:space="preserve">DRAFTING OF DOCUMENTS </w:t>
      </w:r>
    </w:p>
    <w:p w14:paraId="56593194" w14:textId="474EF33F"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6-12 weeks before Launch </w:t>
      </w:r>
    </w:p>
    <w:p w14:paraId="6B92DD49" w14:textId="333E7826"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Registration Document and full Price-range Prospectus** prepared and reviewed. </w:t>
      </w:r>
    </w:p>
    <w:p w14:paraId="00A74205" w14:textId="3B1C727B"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Verification meetings. </w:t>
      </w:r>
    </w:p>
    <w:p w14:paraId="7323E4CA" w14:textId="51B0A75C"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Analysts’ Presentation for connected analysts held. </w:t>
      </w:r>
    </w:p>
    <w:p w14:paraId="6774C00E" w14:textId="15107D74" w:rsidR="7BECD52F" w:rsidRDefault="7BECD52F" w:rsidP="29AE3A37">
      <w:pPr>
        <w:pStyle w:val="ListParagraph"/>
        <w:numPr>
          <w:ilvl w:val="0"/>
          <w:numId w:val="1"/>
        </w:numPr>
        <w:spacing w:before="240" w:after="240"/>
      </w:pPr>
      <w:r w:rsidRPr="29AE3A37">
        <w:rPr>
          <w:rFonts w:ascii="Calibri" w:eastAsia="Calibri" w:hAnsi="Calibri" w:cs="Calibri"/>
          <w:lang w:val="en-GB"/>
        </w:rPr>
        <w:lastRenderedPageBreak/>
        <w:t>Submission of Registration Document and Price-range Prospectus** to FCA for comment at least 20 working days before the intended approval date (</w:t>
      </w:r>
      <w:proofErr w:type="spellStart"/>
      <w:r w:rsidRPr="29AE3A37">
        <w:rPr>
          <w:rFonts w:ascii="Calibri" w:eastAsia="Calibri" w:hAnsi="Calibri" w:cs="Calibri"/>
          <w:lang w:val="en-GB"/>
        </w:rPr>
        <w:t>ie</w:t>
      </w:r>
      <w:proofErr w:type="spellEnd"/>
      <w:r w:rsidRPr="29AE3A37">
        <w:rPr>
          <w:rFonts w:ascii="Calibri" w:eastAsia="Calibri" w:hAnsi="Calibri" w:cs="Calibri"/>
          <w:lang w:val="en-GB"/>
        </w:rPr>
        <w:t xml:space="preserve"> the PITF announcement in the case of the Registration Document). </w:t>
      </w:r>
    </w:p>
    <w:p w14:paraId="5387D411" w14:textId="6E9BB010"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(NB: Drafts of these documents will be submitted earlier than this technical </w:t>
      </w:r>
      <w:r w:rsidR="00D91976">
        <w:rPr>
          <w:rFonts w:ascii="Calibri" w:eastAsia="Calibri" w:hAnsi="Calibri" w:cs="Calibri"/>
          <w:lang w:val="en-GB"/>
        </w:rPr>
        <w:t>‘</w:t>
      </w:r>
      <w:r w:rsidRPr="29AE3A37">
        <w:rPr>
          <w:rFonts w:ascii="Calibri" w:eastAsia="Calibri" w:hAnsi="Calibri" w:cs="Calibri"/>
          <w:lang w:val="en-GB"/>
        </w:rPr>
        <w:t>latest date</w:t>
      </w:r>
      <w:r w:rsidR="00D91976">
        <w:rPr>
          <w:rFonts w:ascii="Calibri" w:eastAsia="Calibri" w:hAnsi="Calibri" w:cs="Calibri"/>
          <w:lang w:val="en-GB"/>
        </w:rPr>
        <w:t>’</w:t>
      </w:r>
      <w:r w:rsidRPr="29AE3A37">
        <w:rPr>
          <w:rFonts w:ascii="Calibri" w:eastAsia="Calibri" w:hAnsi="Calibri" w:cs="Calibri"/>
          <w:lang w:val="en-GB"/>
        </w:rPr>
        <w:t xml:space="preserve"> - companies will aim to get them to the FCA 2 – 3 months prior to the intended approval date so that the FCA can comment on drafts and those comments can be addressed in subsequent drafts. The FCA has its own, internal deadlines for responding to documents, which in practice are more relevant than the regulatory </w:t>
      </w:r>
      <w:r w:rsidR="00D91976">
        <w:rPr>
          <w:rFonts w:ascii="Calibri" w:eastAsia="Calibri" w:hAnsi="Calibri" w:cs="Calibri"/>
          <w:lang w:val="en-GB"/>
        </w:rPr>
        <w:t>‘</w:t>
      </w:r>
      <w:r w:rsidRPr="29AE3A37">
        <w:rPr>
          <w:rFonts w:ascii="Calibri" w:eastAsia="Calibri" w:hAnsi="Calibri" w:cs="Calibri"/>
          <w:lang w:val="en-GB"/>
        </w:rPr>
        <w:t>latest dates</w:t>
      </w:r>
      <w:r w:rsidR="00D91976">
        <w:rPr>
          <w:rFonts w:ascii="Calibri" w:eastAsia="Calibri" w:hAnsi="Calibri" w:cs="Calibri"/>
          <w:lang w:val="en-GB"/>
        </w:rPr>
        <w:t>’</w:t>
      </w:r>
      <w:r w:rsidRPr="29AE3A37">
        <w:rPr>
          <w:rFonts w:ascii="Calibri" w:eastAsia="Calibri" w:hAnsi="Calibri" w:cs="Calibri"/>
          <w:lang w:val="en-GB"/>
        </w:rPr>
        <w:t xml:space="preserve">: these regulatory latest dates are 10 clear working days on a first submission for a new applicant and 5 clear working days for a subsequent submission). </w:t>
      </w:r>
    </w:p>
    <w:p w14:paraId="122BFBDA" w14:textId="58FB207A" w:rsidR="7BECD52F" w:rsidRDefault="7BECD52F" w:rsidP="00810692">
      <w:pPr>
        <w:spacing w:before="240" w:after="240"/>
        <w:ind w:left="720"/>
      </w:pPr>
      <w:r w:rsidRPr="00327CF8">
        <w:rPr>
          <w:rFonts w:ascii="Calibri" w:eastAsia="Calibri" w:hAnsi="Calibri" w:cs="Calibri"/>
          <w:lang w:val="en-GB"/>
        </w:rPr>
        <w:t xml:space="preserve">FINALISATION OF DOCUMENTS </w:t>
      </w:r>
    </w:p>
    <w:p w14:paraId="76AB2CEB" w14:textId="37E47876"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3-4 weeks before Launch </w:t>
      </w:r>
    </w:p>
    <w:p w14:paraId="2A396107" w14:textId="76F382F6"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Registration Document and Price-range Prospectus in </w:t>
      </w:r>
      <w:r w:rsidR="00D91976">
        <w:rPr>
          <w:rFonts w:ascii="Calibri" w:eastAsia="Calibri" w:hAnsi="Calibri" w:cs="Calibri"/>
          <w:lang w:val="en-GB"/>
        </w:rPr>
        <w:t>‘</w:t>
      </w:r>
      <w:r w:rsidRPr="29AE3A37">
        <w:rPr>
          <w:rFonts w:ascii="Calibri" w:eastAsia="Calibri" w:hAnsi="Calibri" w:cs="Calibri"/>
          <w:lang w:val="en-GB"/>
        </w:rPr>
        <w:t>final</w:t>
      </w:r>
      <w:r w:rsidR="00D91976">
        <w:rPr>
          <w:rFonts w:ascii="Calibri" w:eastAsia="Calibri" w:hAnsi="Calibri" w:cs="Calibri"/>
          <w:lang w:val="en-GB"/>
        </w:rPr>
        <w:t>’</w:t>
      </w:r>
      <w:r w:rsidRPr="29AE3A37">
        <w:rPr>
          <w:rFonts w:ascii="Calibri" w:eastAsia="Calibri" w:hAnsi="Calibri" w:cs="Calibri"/>
          <w:lang w:val="en-GB"/>
        </w:rPr>
        <w:t xml:space="preserve"> draft**, with all FCA comments on both documents cleared (referred to as </w:t>
      </w:r>
      <w:r w:rsidR="00D91976">
        <w:rPr>
          <w:rFonts w:ascii="Calibri" w:eastAsia="Calibri" w:hAnsi="Calibri" w:cs="Calibri"/>
          <w:lang w:val="en-GB"/>
        </w:rPr>
        <w:t>‘</w:t>
      </w:r>
      <w:r w:rsidRPr="29AE3A37">
        <w:rPr>
          <w:rFonts w:ascii="Calibri" w:eastAsia="Calibri" w:hAnsi="Calibri" w:cs="Calibri"/>
          <w:lang w:val="en-GB"/>
        </w:rPr>
        <w:t>cleared for comments</w:t>
      </w:r>
      <w:r w:rsidR="00D91976">
        <w:rPr>
          <w:rFonts w:ascii="Calibri" w:eastAsia="Calibri" w:hAnsi="Calibri" w:cs="Calibri"/>
          <w:lang w:val="en-GB"/>
        </w:rPr>
        <w:t>’</w:t>
      </w:r>
      <w:r w:rsidRPr="29AE3A37">
        <w:rPr>
          <w:rFonts w:ascii="Calibri" w:eastAsia="Calibri" w:hAnsi="Calibri" w:cs="Calibri"/>
          <w:lang w:val="en-GB"/>
        </w:rPr>
        <w:t xml:space="preserve">). </w:t>
      </w:r>
    </w:p>
    <w:p w14:paraId="5F4425EE" w14:textId="467D6BB8"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Verification/due diligence etc. all complete. </w:t>
      </w:r>
    </w:p>
    <w:p w14:paraId="2E4F3A2D" w14:textId="5EE852CB" w:rsidR="7BECD52F" w:rsidRDefault="7BECD52F" w:rsidP="00810692">
      <w:pPr>
        <w:spacing w:before="240" w:after="240"/>
        <w:ind w:left="720"/>
      </w:pPr>
      <w:r w:rsidRPr="00327CF8">
        <w:rPr>
          <w:rFonts w:ascii="Calibri" w:eastAsia="Calibri" w:hAnsi="Calibri" w:cs="Calibri"/>
          <w:lang w:val="en-GB"/>
        </w:rPr>
        <w:t xml:space="preserve">REGISTRATION DOCUMENT PUBLISHED </w:t>
      </w:r>
    </w:p>
    <w:p w14:paraId="2EEEEF27" w14:textId="511206AA" w:rsidR="7BECD52F" w:rsidRDefault="7BECD52F" w:rsidP="00374177">
      <w:pPr>
        <w:pStyle w:val="ListParagraph"/>
        <w:numPr>
          <w:ilvl w:val="0"/>
          <w:numId w:val="1"/>
        </w:numPr>
        <w:spacing w:before="240" w:after="240"/>
      </w:pPr>
      <w:r w:rsidRPr="29AE3A37">
        <w:rPr>
          <w:rFonts w:ascii="Calibri" w:eastAsia="Calibri" w:hAnsi="Calibri" w:cs="Calibri"/>
          <w:lang w:val="en-GB"/>
        </w:rPr>
        <w:t xml:space="preserve">2-3 weeks before Launch </w:t>
      </w:r>
      <w:r w:rsidR="00374177">
        <w:rPr>
          <w:rFonts w:ascii="Calibri" w:eastAsia="Calibri" w:hAnsi="Calibri" w:cs="Calibri"/>
          <w:lang w:val="en-GB"/>
        </w:rPr>
        <w:t xml:space="preserve"> </w:t>
      </w:r>
      <w:r w:rsidRPr="00374177">
        <w:rPr>
          <w:rFonts w:ascii="Calibri" w:eastAsia="Calibri" w:hAnsi="Calibri" w:cs="Calibri"/>
          <w:lang w:val="en-GB"/>
        </w:rPr>
        <w:t xml:space="preserve">(must be at least 7 days before marketing begins) </w:t>
      </w:r>
    </w:p>
    <w:p w14:paraId="7F7BAC17" w14:textId="30ABE321" w:rsidR="7BECD52F" w:rsidRDefault="00D91976" w:rsidP="29AE3A37">
      <w:pPr>
        <w:pStyle w:val="ListParagraph"/>
        <w:numPr>
          <w:ilvl w:val="0"/>
          <w:numId w:val="1"/>
        </w:numPr>
        <w:spacing w:before="240" w:after="240"/>
      </w:pPr>
      <w:r>
        <w:rPr>
          <w:rFonts w:ascii="Calibri" w:eastAsia="Calibri" w:hAnsi="Calibri" w:cs="Calibri"/>
          <w:lang w:val="en-GB"/>
        </w:rPr>
        <w:t>‘</w:t>
      </w:r>
      <w:r w:rsidR="7BECD52F" w:rsidRPr="29AE3A37">
        <w:rPr>
          <w:rFonts w:ascii="Calibri" w:eastAsia="Calibri" w:hAnsi="Calibri" w:cs="Calibri"/>
          <w:lang w:val="en-GB"/>
        </w:rPr>
        <w:t>Potential Intention to Float</w:t>
      </w:r>
      <w:r>
        <w:rPr>
          <w:rFonts w:ascii="Calibri" w:eastAsia="Calibri" w:hAnsi="Calibri" w:cs="Calibri"/>
          <w:lang w:val="en-GB"/>
        </w:rPr>
        <w:t>’</w:t>
      </w:r>
      <w:r w:rsidR="7BECD52F" w:rsidRPr="29AE3A37">
        <w:rPr>
          <w:rFonts w:ascii="Calibri" w:eastAsia="Calibri" w:hAnsi="Calibri" w:cs="Calibri"/>
          <w:lang w:val="en-GB"/>
        </w:rPr>
        <w:t xml:space="preserve"> (</w:t>
      </w:r>
      <w:r>
        <w:rPr>
          <w:rFonts w:ascii="Calibri" w:eastAsia="Calibri" w:hAnsi="Calibri" w:cs="Calibri"/>
          <w:lang w:val="en-GB"/>
        </w:rPr>
        <w:t>‘</w:t>
      </w:r>
      <w:r w:rsidR="7BECD52F" w:rsidRPr="29AE3A37">
        <w:rPr>
          <w:rFonts w:ascii="Calibri" w:eastAsia="Calibri" w:hAnsi="Calibri" w:cs="Calibri"/>
          <w:lang w:val="en-GB"/>
        </w:rPr>
        <w:t>PITF</w:t>
      </w:r>
      <w:r>
        <w:rPr>
          <w:rFonts w:ascii="Calibri" w:eastAsia="Calibri" w:hAnsi="Calibri" w:cs="Calibri"/>
          <w:lang w:val="en-GB"/>
        </w:rPr>
        <w:t>’</w:t>
      </w:r>
      <w:r w:rsidR="7BECD52F" w:rsidRPr="29AE3A37">
        <w:rPr>
          <w:rFonts w:ascii="Calibri" w:eastAsia="Calibri" w:hAnsi="Calibri" w:cs="Calibri"/>
          <w:lang w:val="en-GB"/>
        </w:rPr>
        <w:t xml:space="preserve">)(also known as Expected Intention to Float) announcement – confirmation of publication of Registration Document, key messages about issuer and broad outline of possible flotation structure. </w:t>
      </w:r>
    </w:p>
    <w:p w14:paraId="5B607AB3" w14:textId="7E37E6AE"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Registration Document approved by the FCA and published. </w:t>
      </w:r>
    </w:p>
    <w:p w14:paraId="2B001D71" w14:textId="4D44668C"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Unconnected analysts invited to apply for access to information – minimum seven day period before any research can be released. </w:t>
      </w:r>
    </w:p>
    <w:p w14:paraId="03A6DC2E" w14:textId="77777777" w:rsidR="009D0472" w:rsidRDefault="009D0472" w:rsidP="00810692">
      <w:pPr>
        <w:spacing w:before="240" w:after="240"/>
        <w:ind w:left="360"/>
        <w:rPr>
          <w:rFonts w:ascii="Calibri" w:eastAsia="Calibri" w:hAnsi="Calibri" w:cs="Calibri"/>
          <w:b/>
          <w:bCs/>
          <w:lang w:val="en-GB"/>
        </w:rPr>
      </w:pPr>
    </w:p>
    <w:p w14:paraId="3D050346" w14:textId="65C64DE3" w:rsidR="7BECD52F" w:rsidRPr="009D0472" w:rsidRDefault="7BECD52F" w:rsidP="00810692">
      <w:pPr>
        <w:spacing w:before="240" w:after="240"/>
        <w:ind w:left="360"/>
        <w:rPr>
          <w:b/>
          <w:bCs/>
        </w:rPr>
      </w:pPr>
      <w:r w:rsidRPr="009D0472">
        <w:rPr>
          <w:rFonts w:ascii="Calibri" w:eastAsia="Calibri" w:hAnsi="Calibri" w:cs="Calibri"/>
          <w:b/>
          <w:bCs/>
          <w:lang w:val="en-GB"/>
        </w:rPr>
        <w:t xml:space="preserve">PATHFINDER (INSTITUTIONAL </w:t>
      </w:r>
      <w:r w:rsidR="00810692" w:rsidRPr="009D0472">
        <w:rPr>
          <w:rFonts w:ascii="Calibri" w:eastAsia="Calibri" w:hAnsi="Calibri" w:cs="Calibri"/>
          <w:b/>
          <w:bCs/>
          <w:lang w:val="en-GB"/>
        </w:rPr>
        <w:t xml:space="preserve">OFFER </w:t>
      </w:r>
      <w:r w:rsidRPr="009D0472">
        <w:rPr>
          <w:rFonts w:ascii="Calibri" w:eastAsia="Calibri" w:hAnsi="Calibri" w:cs="Calibri"/>
          <w:b/>
          <w:bCs/>
          <w:lang w:val="en-GB"/>
        </w:rPr>
        <w:t xml:space="preserve">ONLY) </w:t>
      </w:r>
    </w:p>
    <w:p w14:paraId="15B4E44E" w14:textId="6463D6E1" w:rsidR="7BECD52F" w:rsidRDefault="7BECD52F" w:rsidP="00810692">
      <w:pPr>
        <w:spacing w:before="240" w:after="240"/>
        <w:ind w:left="720"/>
      </w:pPr>
      <w:r w:rsidRPr="00810692">
        <w:rPr>
          <w:rFonts w:ascii="Calibri" w:eastAsia="Calibri" w:hAnsi="Calibri" w:cs="Calibri"/>
          <w:lang w:val="en-GB"/>
        </w:rPr>
        <w:t xml:space="preserve">DRAFTING OF DOCUMENTS </w:t>
      </w:r>
    </w:p>
    <w:p w14:paraId="7B401656" w14:textId="2D99A7DF"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6-12 weeks before Launch </w:t>
      </w:r>
    </w:p>
    <w:p w14:paraId="0B328A9D" w14:textId="493F7014"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**Pathfinder prepared and reviewed. A 'Pathfinder' is an almost-final draft Fixed-price Prospectus which contains gaps where the final details, such as the price, would be inserted, and has not been given final approval by the FCA. </w:t>
      </w:r>
    </w:p>
    <w:p w14:paraId="722B1F9A" w14:textId="73574425"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 The draft prospectus submitted to the FCA would be a Fixed-price Prospectus. Once all the FCA comments on the draft have been processed (but before completion of all the final details, such as the number of shares to be issued and the price), the near final version of this document will be used as the Pathfinder referred to above. </w:t>
      </w:r>
    </w:p>
    <w:p w14:paraId="09DB1203" w14:textId="77777777" w:rsidR="009D0472" w:rsidRDefault="009D0472" w:rsidP="00810692">
      <w:pPr>
        <w:spacing w:before="240" w:after="240"/>
        <w:ind w:left="720"/>
        <w:rPr>
          <w:rFonts w:ascii="Calibri" w:eastAsia="Calibri" w:hAnsi="Calibri" w:cs="Calibri"/>
          <w:lang w:val="en-GB"/>
        </w:rPr>
      </w:pPr>
    </w:p>
    <w:p w14:paraId="4BC1265D" w14:textId="77777777" w:rsidR="009D0472" w:rsidRDefault="009D0472" w:rsidP="00810692">
      <w:pPr>
        <w:spacing w:before="240" w:after="240"/>
        <w:ind w:left="720"/>
        <w:rPr>
          <w:rFonts w:ascii="Calibri" w:eastAsia="Calibri" w:hAnsi="Calibri" w:cs="Calibri"/>
          <w:lang w:val="en-GB"/>
        </w:rPr>
      </w:pPr>
    </w:p>
    <w:p w14:paraId="092CA03F" w14:textId="344EBD4E" w:rsidR="7BECD52F" w:rsidRDefault="7BECD52F" w:rsidP="00810692">
      <w:pPr>
        <w:spacing w:before="240" w:after="240"/>
        <w:ind w:left="720"/>
      </w:pPr>
      <w:r w:rsidRPr="00810692">
        <w:rPr>
          <w:rFonts w:ascii="Calibri" w:eastAsia="Calibri" w:hAnsi="Calibri" w:cs="Calibri"/>
          <w:lang w:val="en-GB"/>
        </w:rPr>
        <w:lastRenderedPageBreak/>
        <w:t xml:space="preserve">FINALISATION OF DOCUMENTS </w:t>
      </w:r>
    </w:p>
    <w:p w14:paraId="6AB0CCE9" w14:textId="3E00FC86"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3-4 weeks before Launch </w:t>
      </w:r>
    </w:p>
    <w:p w14:paraId="0DB827D6" w14:textId="6ECF39E3"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 See above – this </w:t>
      </w:r>
      <w:r w:rsidR="00D91976">
        <w:rPr>
          <w:rFonts w:ascii="Calibri" w:eastAsia="Calibri" w:hAnsi="Calibri" w:cs="Calibri"/>
          <w:lang w:val="en-GB"/>
        </w:rPr>
        <w:t>‘</w:t>
      </w:r>
      <w:r w:rsidRPr="29AE3A37">
        <w:rPr>
          <w:rFonts w:ascii="Calibri" w:eastAsia="Calibri" w:hAnsi="Calibri" w:cs="Calibri"/>
          <w:lang w:val="en-GB"/>
        </w:rPr>
        <w:t>final</w:t>
      </w:r>
      <w:r w:rsidR="00D91976">
        <w:rPr>
          <w:rFonts w:ascii="Calibri" w:eastAsia="Calibri" w:hAnsi="Calibri" w:cs="Calibri"/>
          <w:lang w:val="en-GB"/>
        </w:rPr>
        <w:t>’</w:t>
      </w:r>
      <w:r w:rsidRPr="29AE3A37">
        <w:rPr>
          <w:rFonts w:ascii="Calibri" w:eastAsia="Calibri" w:hAnsi="Calibri" w:cs="Calibri"/>
          <w:lang w:val="en-GB"/>
        </w:rPr>
        <w:t xml:space="preserve"> draft of the Fixed-price Prospectus would be used as the Pathfinder. </w:t>
      </w:r>
    </w:p>
    <w:p w14:paraId="3661593D" w14:textId="45AA7DBB" w:rsidR="7BECD52F" w:rsidRDefault="7BECD52F" w:rsidP="00810692">
      <w:pPr>
        <w:spacing w:before="240" w:after="240"/>
        <w:ind w:left="720"/>
      </w:pPr>
      <w:r w:rsidRPr="006411B9">
        <w:rPr>
          <w:rFonts w:ascii="Calibri" w:eastAsia="Calibri" w:hAnsi="Calibri" w:cs="Calibri"/>
          <w:lang w:val="en-GB"/>
        </w:rPr>
        <w:t xml:space="preserve">REGISTRATION DOCUMENT PUBLISHED </w:t>
      </w:r>
    </w:p>
    <w:p w14:paraId="7023290B" w14:textId="3892AB7D" w:rsidR="7BECD52F" w:rsidRDefault="7BECD52F" w:rsidP="00264309">
      <w:pPr>
        <w:pStyle w:val="ListParagraph"/>
        <w:numPr>
          <w:ilvl w:val="0"/>
          <w:numId w:val="1"/>
        </w:numPr>
        <w:spacing w:before="240" w:after="240"/>
      </w:pPr>
      <w:r w:rsidRPr="29AE3A37">
        <w:rPr>
          <w:rFonts w:ascii="Calibri" w:eastAsia="Calibri" w:hAnsi="Calibri" w:cs="Calibri"/>
          <w:lang w:val="en-GB"/>
        </w:rPr>
        <w:t xml:space="preserve">2-3 weeks before Launch </w:t>
      </w:r>
    </w:p>
    <w:p w14:paraId="59D838E7" w14:textId="77777777" w:rsidR="009D0472" w:rsidRDefault="009D0472" w:rsidP="006411B9">
      <w:pPr>
        <w:spacing w:before="240" w:after="240"/>
        <w:ind w:left="360"/>
        <w:rPr>
          <w:rFonts w:ascii="Calibri" w:eastAsia="Calibri" w:hAnsi="Calibri" w:cs="Calibri"/>
          <w:lang w:val="en-GB"/>
        </w:rPr>
      </w:pPr>
    </w:p>
    <w:p w14:paraId="198A04E1" w14:textId="4BE98D22" w:rsidR="7BECD52F" w:rsidRPr="009D0472" w:rsidRDefault="00810692" w:rsidP="006411B9">
      <w:pPr>
        <w:spacing w:before="240" w:after="240"/>
        <w:ind w:left="360"/>
        <w:rPr>
          <w:b/>
          <w:bCs/>
        </w:rPr>
      </w:pPr>
      <w:r w:rsidRPr="009D0472">
        <w:rPr>
          <w:rFonts w:ascii="Calibri" w:eastAsia="Calibri" w:hAnsi="Calibri" w:cs="Calibri"/>
          <w:b/>
          <w:bCs/>
          <w:lang w:val="en-GB"/>
        </w:rPr>
        <w:t>SUMMARY</w:t>
      </w:r>
      <w:r w:rsidR="001E1EEA" w:rsidRPr="009D0472">
        <w:rPr>
          <w:rFonts w:ascii="Calibri" w:eastAsia="Calibri" w:hAnsi="Calibri" w:cs="Calibri"/>
          <w:b/>
          <w:bCs/>
          <w:lang w:val="en-GB"/>
        </w:rPr>
        <w:t xml:space="preserve"> – timetable for an offer</w:t>
      </w:r>
    </w:p>
    <w:p w14:paraId="09A5E429" w14:textId="00CF377E"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This summary relates primarily to an offer with a </w:t>
      </w:r>
      <w:r w:rsidRPr="009D0472">
        <w:rPr>
          <w:rFonts w:ascii="Calibri" w:eastAsia="Calibri" w:hAnsi="Calibri" w:cs="Calibri"/>
          <w:b/>
          <w:bCs/>
          <w:lang w:val="en-GB"/>
        </w:rPr>
        <w:t>retail element</w:t>
      </w:r>
      <w:r w:rsidRPr="009D0472">
        <w:rPr>
          <w:rFonts w:ascii="Calibri" w:eastAsia="Calibri" w:hAnsi="Calibri" w:cs="Calibri"/>
          <w:lang w:val="en-GB"/>
        </w:rPr>
        <w:t>.</w:t>
      </w:r>
      <w:r w:rsidRPr="29AE3A37">
        <w:rPr>
          <w:rFonts w:ascii="Calibri" w:eastAsia="Calibri" w:hAnsi="Calibri" w:cs="Calibri"/>
          <w:lang w:val="en-GB"/>
        </w:rPr>
        <w:t xml:space="preserve"> </w:t>
      </w:r>
    </w:p>
    <w:p w14:paraId="4B8FE2D1" w14:textId="1734CF9B"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12-24 weeks before launch: preliminary meetings regarding structure of offer, due diligence starts </w:t>
      </w:r>
    </w:p>
    <w:p w14:paraId="59CACF1F" w14:textId="09A8D5F7"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6-12 weeks before launch: Registration Document and full Price-range Prospectus prepared and submitted to FCA. Analysts’ Presentation. </w:t>
      </w:r>
    </w:p>
    <w:p w14:paraId="2832D0BA" w14:textId="374F04B4"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3-4 weeks before launch: FCA’s comments on above documents cleared. Due diligence complete. </w:t>
      </w:r>
    </w:p>
    <w:p w14:paraId="735BADA3" w14:textId="38C114FC"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2-3 weeks before launch: </w:t>
      </w:r>
      <w:r w:rsidR="00D91976">
        <w:rPr>
          <w:rFonts w:ascii="Calibri" w:eastAsia="Calibri" w:hAnsi="Calibri" w:cs="Calibri"/>
          <w:lang w:val="en-GB"/>
        </w:rPr>
        <w:t>‘</w:t>
      </w:r>
      <w:r w:rsidRPr="29AE3A37">
        <w:rPr>
          <w:rFonts w:ascii="Calibri" w:eastAsia="Calibri" w:hAnsi="Calibri" w:cs="Calibri"/>
          <w:lang w:val="en-GB"/>
        </w:rPr>
        <w:t>Potential intention to float</w:t>
      </w:r>
      <w:r w:rsidR="00D91976">
        <w:rPr>
          <w:rFonts w:ascii="Calibri" w:eastAsia="Calibri" w:hAnsi="Calibri" w:cs="Calibri"/>
          <w:lang w:val="en-GB"/>
        </w:rPr>
        <w:t>’</w:t>
      </w:r>
      <w:r w:rsidRPr="29AE3A37">
        <w:rPr>
          <w:rFonts w:ascii="Calibri" w:eastAsia="Calibri" w:hAnsi="Calibri" w:cs="Calibri"/>
          <w:lang w:val="en-GB"/>
        </w:rPr>
        <w:t xml:space="preserve"> announcement. </w:t>
      </w:r>
    </w:p>
    <w:p w14:paraId="3E02A6B0" w14:textId="4D30D479"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1-2 weeks before launch: details of proposed flotation and offer confirmed. Connected analysts publish their research. </w:t>
      </w:r>
    </w:p>
    <w:p w14:paraId="1D91B7F5" w14:textId="1BB5157A"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1 week before launch: Price-range Prospectus finalised with last details. </w:t>
      </w:r>
    </w:p>
    <w:p w14:paraId="7E1F2B33" w14:textId="75AD7CC0" w:rsidR="7BECD52F" w:rsidRDefault="7BECD52F" w:rsidP="29AE3A37">
      <w:pPr>
        <w:pStyle w:val="ListParagraph"/>
        <w:numPr>
          <w:ilvl w:val="0"/>
          <w:numId w:val="1"/>
        </w:numPr>
        <w:spacing w:before="240" w:after="240"/>
      </w:pPr>
      <w:r w:rsidRPr="29AE3A37">
        <w:rPr>
          <w:rFonts w:ascii="Calibri" w:eastAsia="Calibri" w:hAnsi="Calibri" w:cs="Calibri"/>
          <w:lang w:val="en-GB"/>
        </w:rPr>
        <w:t xml:space="preserve">Opening of offer: Price-range Prospectus approved by FCA and published. Bookbuilding starts. Underwriting agreement dated. </w:t>
      </w:r>
    </w:p>
    <w:p w14:paraId="360E5BC9" w14:textId="5BBBA5FE" w:rsidR="7BECD52F" w:rsidRDefault="7BECD52F" w:rsidP="29AE3A37">
      <w:pPr>
        <w:pStyle w:val="ListParagraph"/>
        <w:numPr>
          <w:ilvl w:val="0"/>
          <w:numId w:val="1"/>
        </w:numPr>
        <w:spacing w:before="240" w:after="240"/>
      </w:pPr>
      <w:r w:rsidRPr="29AE3A37">
        <w:rPr>
          <w:rFonts w:ascii="Calibri" w:eastAsia="Calibri" w:hAnsi="Calibri" w:cs="Calibri"/>
          <w:lang w:val="en-GB"/>
        </w:rPr>
        <w:t>0-2 weeks after launch: final pricing and allocation. Admission day.</w:t>
      </w:r>
    </w:p>
    <w:p w14:paraId="2C00F139" w14:textId="2D515764" w:rsidR="29AE3A37" w:rsidRDefault="29AE3A37" w:rsidP="008628FE">
      <w:pPr>
        <w:ind w:left="360"/>
        <w:rPr>
          <w:lang w:val="en-GB"/>
        </w:rPr>
      </w:pPr>
    </w:p>
    <w:sectPr w:rsidR="29AE3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7CA"/>
    <w:multiLevelType w:val="hybridMultilevel"/>
    <w:tmpl w:val="FB602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CD7DFC"/>
    <w:multiLevelType w:val="hybridMultilevel"/>
    <w:tmpl w:val="0C100628"/>
    <w:lvl w:ilvl="0" w:tplc="7C52DC18">
      <w:start w:val="1"/>
      <w:numFmt w:val="bullet"/>
      <w:lvlText w:val="•"/>
      <w:lvlJc w:val="left"/>
      <w:pPr>
        <w:tabs>
          <w:tab w:val="num" w:pos="1080"/>
        </w:tabs>
        <w:ind w:left="1080" w:hanging="360"/>
      </w:pPr>
      <w:rPr>
        <w:rFonts w:ascii="Arial" w:hAnsi="Arial" w:hint="default"/>
      </w:rPr>
    </w:lvl>
    <w:lvl w:ilvl="1" w:tplc="FCDE7212" w:tentative="1">
      <w:start w:val="1"/>
      <w:numFmt w:val="bullet"/>
      <w:lvlText w:val="•"/>
      <w:lvlJc w:val="left"/>
      <w:pPr>
        <w:tabs>
          <w:tab w:val="num" w:pos="1800"/>
        </w:tabs>
        <w:ind w:left="1800" w:hanging="360"/>
      </w:pPr>
      <w:rPr>
        <w:rFonts w:ascii="Arial" w:hAnsi="Arial" w:hint="default"/>
      </w:rPr>
    </w:lvl>
    <w:lvl w:ilvl="2" w:tplc="A9AA9408" w:tentative="1">
      <w:start w:val="1"/>
      <w:numFmt w:val="bullet"/>
      <w:lvlText w:val="•"/>
      <w:lvlJc w:val="left"/>
      <w:pPr>
        <w:tabs>
          <w:tab w:val="num" w:pos="2520"/>
        </w:tabs>
        <w:ind w:left="2520" w:hanging="360"/>
      </w:pPr>
      <w:rPr>
        <w:rFonts w:ascii="Arial" w:hAnsi="Arial" w:hint="default"/>
      </w:rPr>
    </w:lvl>
    <w:lvl w:ilvl="3" w:tplc="97A66B28" w:tentative="1">
      <w:start w:val="1"/>
      <w:numFmt w:val="bullet"/>
      <w:lvlText w:val="•"/>
      <w:lvlJc w:val="left"/>
      <w:pPr>
        <w:tabs>
          <w:tab w:val="num" w:pos="3240"/>
        </w:tabs>
        <w:ind w:left="3240" w:hanging="360"/>
      </w:pPr>
      <w:rPr>
        <w:rFonts w:ascii="Arial" w:hAnsi="Arial" w:hint="default"/>
      </w:rPr>
    </w:lvl>
    <w:lvl w:ilvl="4" w:tplc="766EF7F4" w:tentative="1">
      <w:start w:val="1"/>
      <w:numFmt w:val="bullet"/>
      <w:lvlText w:val="•"/>
      <w:lvlJc w:val="left"/>
      <w:pPr>
        <w:tabs>
          <w:tab w:val="num" w:pos="3960"/>
        </w:tabs>
        <w:ind w:left="3960" w:hanging="360"/>
      </w:pPr>
      <w:rPr>
        <w:rFonts w:ascii="Arial" w:hAnsi="Arial" w:hint="default"/>
      </w:rPr>
    </w:lvl>
    <w:lvl w:ilvl="5" w:tplc="E8745E2C" w:tentative="1">
      <w:start w:val="1"/>
      <w:numFmt w:val="bullet"/>
      <w:lvlText w:val="•"/>
      <w:lvlJc w:val="left"/>
      <w:pPr>
        <w:tabs>
          <w:tab w:val="num" w:pos="4680"/>
        </w:tabs>
        <w:ind w:left="4680" w:hanging="360"/>
      </w:pPr>
      <w:rPr>
        <w:rFonts w:ascii="Arial" w:hAnsi="Arial" w:hint="default"/>
      </w:rPr>
    </w:lvl>
    <w:lvl w:ilvl="6" w:tplc="36D04FB8" w:tentative="1">
      <w:start w:val="1"/>
      <w:numFmt w:val="bullet"/>
      <w:lvlText w:val="•"/>
      <w:lvlJc w:val="left"/>
      <w:pPr>
        <w:tabs>
          <w:tab w:val="num" w:pos="5400"/>
        </w:tabs>
        <w:ind w:left="5400" w:hanging="360"/>
      </w:pPr>
      <w:rPr>
        <w:rFonts w:ascii="Arial" w:hAnsi="Arial" w:hint="default"/>
      </w:rPr>
    </w:lvl>
    <w:lvl w:ilvl="7" w:tplc="BC12962A" w:tentative="1">
      <w:start w:val="1"/>
      <w:numFmt w:val="bullet"/>
      <w:lvlText w:val="•"/>
      <w:lvlJc w:val="left"/>
      <w:pPr>
        <w:tabs>
          <w:tab w:val="num" w:pos="6120"/>
        </w:tabs>
        <w:ind w:left="6120" w:hanging="360"/>
      </w:pPr>
      <w:rPr>
        <w:rFonts w:ascii="Arial" w:hAnsi="Arial" w:hint="default"/>
      </w:rPr>
    </w:lvl>
    <w:lvl w:ilvl="8" w:tplc="4832029C" w:tentative="1">
      <w:start w:val="1"/>
      <w:numFmt w:val="bullet"/>
      <w:lvlText w:val="•"/>
      <w:lvlJc w:val="left"/>
      <w:pPr>
        <w:tabs>
          <w:tab w:val="num" w:pos="6840"/>
        </w:tabs>
        <w:ind w:left="6840" w:hanging="360"/>
      </w:pPr>
      <w:rPr>
        <w:rFonts w:ascii="Arial" w:hAnsi="Arial" w:hint="default"/>
      </w:rPr>
    </w:lvl>
  </w:abstractNum>
  <w:abstractNum w:abstractNumId="2" w15:restartNumberingAfterBreak="0">
    <w:nsid w:val="1DF02F64"/>
    <w:multiLevelType w:val="hybridMultilevel"/>
    <w:tmpl w:val="9548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1734EB"/>
    <w:multiLevelType w:val="hybridMultilevel"/>
    <w:tmpl w:val="9612A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E4385"/>
    <w:multiLevelType w:val="hybridMultilevel"/>
    <w:tmpl w:val="0CD80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6D0DFF"/>
    <w:multiLevelType w:val="hybridMultilevel"/>
    <w:tmpl w:val="55D8D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3C6E7F"/>
    <w:multiLevelType w:val="hybridMultilevel"/>
    <w:tmpl w:val="74E01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B51AA"/>
    <w:multiLevelType w:val="hybridMultilevel"/>
    <w:tmpl w:val="65CCB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8616CA"/>
    <w:multiLevelType w:val="hybridMultilevel"/>
    <w:tmpl w:val="D5304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A51BB0"/>
    <w:multiLevelType w:val="hybridMultilevel"/>
    <w:tmpl w:val="C242D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BD690A"/>
    <w:multiLevelType w:val="hybridMultilevel"/>
    <w:tmpl w:val="F34C4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6744509">
    <w:abstractNumId w:val="1"/>
  </w:num>
  <w:num w:numId="2" w16cid:durableId="227113038">
    <w:abstractNumId w:val="4"/>
  </w:num>
  <w:num w:numId="3" w16cid:durableId="2071339399">
    <w:abstractNumId w:val="10"/>
  </w:num>
  <w:num w:numId="4" w16cid:durableId="16273090">
    <w:abstractNumId w:val="3"/>
  </w:num>
  <w:num w:numId="5" w16cid:durableId="1224295532">
    <w:abstractNumId w:val="2"/>
  </w:num>
  <w:num w:numId="6" w16cid:durableId="1846941388">
    <w:abstractNumId w:val="7"/>
  </w:num>
  <w:num w:numId="7" w16cid:durableId="377709826">
    <w:abstractNumId w:val="9"/>
  </w:num>
  <w:num w:numId="8" w16cid:durableId="101457819">
    <w:abstractNumId w:val="5"/>
  </w:num>
  <w:num w:numId="9" w16cid:durableId="520781463">
    <w:abstractNumId w:val="8"/>
  </w:num>
  <w:num w:numId="10" w16cid:durableId="1783300096">
    <w:abstractNumId w:val="6"/>
  </w:num>
  <w:num w:numId="11" w16cid:durableId="127528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95E56E"/>
    <w:rsid w:val="00032DF2"/>
    <w:rsid w:val="00036FD2"/>
    <w:rsid w:val="00171E04"/>
    <w:rsid w:val="001C6FD5"/>
    <w:rsid w:val="001D4120"/>
    <w:rsid w:val="001E1EEA"/>
    <w:rsid w:val="00251C1E"/>
    <w:rsid w:val="00264309"/>
    <w:rsid w:val="002A5141"/>
    <w:rsid w:val="002C3ACC"/>
    <w:rsid w:val="002D1979"/>
    <w:rsid w:val="002F5331"/>
    <w:rsid w:val="00325675"/>
    <w:rsid w:val="00327CF8"/>
    <w:rsid w:val="00374177"/>
    <w:rsid w:val="00374EF5"/>
    <w:rsid w:val="003D1A99"/>
    <w:rsid w:val="004036D9"/>
    <w:rsid w:val="0049032A"/>
    <w:rsid w:val="004974F4"/>
    <w:rsid w:val="004A4247"/>
    <w:rsid w:val="004F4F11"/>
    <w:rsid w:val="005350A0"/>
    <w:rsid w:val="00546D4B"/>
    <w:rsid w:val="00597B7E"/>
    <w:rsid w:val="005B5A1E"/>
    <w:rsid w:val="005C25E4"/>
    <w:rsid w:val="005D3E0E"/>
    <w:rsid w:val="0062025D"/>
    <w:rsid w:val="006411B9"/>
    <w:rsid w:val="00717C73"/>
    <w:rsid w:val="0078253C"/>
    <w:rsid w:val="00791FBE"/>
    <w:rsid w:val="0079771A"/>
    <w:rsid w:val="007B0D2A"/>
    <w:rsid w:val="00804DB3"/>
    <w:rsid w:val="00810692"/>
    <w:rsid w:val="00831307"/>
    <w:rsid w:val="0084634A"/>
    <w:rsid w:val="008628FE"/>
    <w:rsid w:val="00890A2E"/>
    <w:rsid w:val="008A14F1"/>
    <w:rsid w:val="008E4DC0"/>
    <w:rsid w:val="008E6938"/>
    <w:rsid w:val="00970130"/>
    <w:rsid w:val="00987B09"/>
    <w:rsid w:val="009A4C84"/>
    <w:rsid w:val="009D0472"/>
    <w:rsid w:val="009F6A2D"/>
    <w:rsid w:val="00A07914"/>
    <w:rsid w:val="00A47929"/>
    <w:rsid w:val="00A60501"/>
    <w:rsid w:val="00A61BF2"/>
    <w:rsid w:val="00A90DBC"/>
    <w:rsid w:val="00A922DA"/>
    <w:rsid w:val="00B76031"/>
    <w:rsid w:val="00B9581E"/>
    <w:rsid w:val="00BC112C"/>
    <w:rsid w:val="00BE3CED"/>
    <w:rsid w:val="00C03CA8"/>
    <w:rsid w:val="00C1254C"/>
    <w:rsid w:val="00C21D38"/>
    <w:rsid w:val="00D0720F"/>
    <w:rsid w:val="00D91976"/>
    <w:rsid w:val="00DE1388"/>
    <w:rsid w:val="00F00059"/>
    <w:rsid w:val="00F5000E"/>
    <w:rsid w:val="00F92DA2"/>
    <w:rsid w:val="00FA7544"/>
    <w:rsid w:val="00FD7DB6"/>
    <w:rsid w:val="0695E56E"/>
    <w:rsid w:val="29AE3A37"/>
    <w:rsid w:val="7BECD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E56E"/>
  <w15:chartTrackingRefBased/>
  <w15:docId w15:val="{8A2958F3-BCCA-4529-8835-52238D84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3903">
      <w:bodyDiv w:val="1"/>
      <w:marLeft w:val="0"/>
      <w:marRight w:val="0"/>
      <w:marTop w:val="0"/>
      <w:marBottom w:val="0"/>
      <w:divBdr>
        <w:top w:val="none" w:sz="0" w:space="0" w:color="auto"/>
        <w:left w:val="none" w:sz="0" w:space="0" w:color="auto"/>
        <w:bottom w:val="none" w:sz="0" w:space="0" w:color="auto"/>
        <w:right w:val="none" w:sz="0" w:space="0" w:color="auto"/>
      </w:divBdr>
    </w:div>
    <w:div w:id="82379493">
      <w:bodyDiv w:val="1"/>
      <w:marLeft w:val="0"/>
      <w:marRight w:val="0"/>
      <w:marTop w:val="0"/>
      <w:marBottom w:val="0"/>
      <w:divBdr>
        <w:top w:val="none" w:sz="0" w:space="0" w:color="auto"/>
        <w:left w:val="none" w:sz="0" w:space="0" w:color="auto"/>
        <w:bottom w:val="none" w:sz="0" w:space="0" w:color="auto"/>
        <w:right w:val="none" w:sz="0" w:space="0" w:color="auto"/>
      </w:divBdr>
    </w:div>
    <w:div w:id="254049805">
      <w:bodyDiv w:val="1"/>
      <w:marLeft w:val="0"/>
      <w:marRight w:val="0"/>
      <w:marTop w:val="0"/>
      <w:marBottom w:val="0"/>
      <w:divBdr>
        <w:top w:val="none" w:sz="0" w:space="0" w:color="auto"/>
        <w:left w:val="none" w:sz="0" w:space="0" w:color="auto"/>
        <w:bottom w:val="none" w:sz="0" w:space="0" w:color="auto"/>
        <w:right w:val="none" w:sz="0" w:space="0" w:color="auto"/>
      </w:divBdr>
    </w:div>
    <w:div w:id="270821419">
      <w:bodyDiv w:val="1"/>
      <w:marLeft w:val="0"/>
      <w:marRight w:val="0"/>
      <w:marTop w:val="0"/>
      <w:marBottom w:val="0"/>
      <w:divBdr>
        <w:top w:val="none" w:sz="0" w:space="0" w:color="auto"/>
        <w:left w:val="none" w:sz="0" w:space="0" w:color="auto"/>
        <w:bottom w:val="none" w:sz="0" w:space="0" w:color="auto"/>
        <w:right w:val="none" w:sz="0" w:space="0" w:color="auto"/>
      </w:divBdr>
    </w:div>
    <w:div w:id="507870447">
      <w:bodyDiv w:val="1"/>
      <w:marLeft w:val="0"/>
      <w:marRight w:val="0"/>
      <w:marTop w:val="0"/>
      <w:marBottom w:val="0"/>
      <w:divBdr>
        <w:top w:val="none" w:sz="0" w:space="0" w:color="auto"/>
        <w:left w:val="none" w:sz="0" w:space="0" w:color="auto"/>
        <w:bottom w:val="none" w:sz="0" w:space="0" w:color="auto"/>
        <w:right w:val="none" w:sz="0" w:space="0" w:color="auto"/>
      </w:divBdr>
    </w:div>
    <w:div w:id="573665459">
      <w:bodyDiv w:val="1"/>
      <w:marLeft w:val="0"/>
      <w:marRight w:val="0"/>
      <w:marTop w:val="0"/>
      <w:marBottom w:val="0"/>
      <w:divBdr>
        <w:top w:val="none" w:sz="0" w:space="0" w:color="auto"/>
        <w:left w:val="none" w:sz="0" w:space="0" w:color="auto"/>
        <w:bottom w:val="none" w:sz="0" w:space="0" w:color="auto"/>
        <w:right w:val="none" w:sz="0" w:space="0" w:color="auto"/>
      </w:divBdr>
    </w:div>
    <w:div w:id="602349505">
      <w:bodyDiv w:val="1"/>
      <w:marLeft w:val="0"/>
      <w:marRight w:val="0"/>
      <w:marTop w:val="0"/>
      <w:marBottom w:val="0"/>
      <w:divBdr>
        <w:top w:val="none" w:sz="0" w:space="0" w:color="auto"/>
        <w:left w:val="none" w:sz="0" w:space="0" w:color="auto"/>
        <w:bottom w:val="none" w:sz="0" w:space="0" w:color="auto"/>
        <w:right w:val="none" w:sz="0" w:space="0" w:color="auto"/>
      </w:divBdr>
    </w:div>
    <w:div w:id="621543873">
      <w:bodyDiv w:val="1"/>
      <w:marLeft w:val="0"/>
      <w:marRight w:val="0"/>
      <w:marTop w:val="0"/>
      <w:marBottom w:val="0"/>
      <w:divBdr>
        <w:top w:val="none" w:sz="0" w:space="0" w:color="auto"/>
        <w:left w:val="none" w:sz="0" w:space="0" w:color="auto"/>
        <w:bottom w:val="none" w:sz="0" w:space="0" w:color="auto"/>
        <w:right w:val="none" w:sz="0" w:space="0" w:color="auto"/>
      </w:divBdr>
    </w:div>
    <w:div w:id="750153737">
      <w:bodyDiv w:val="1"/>
      <w:marLeft w:val="0"/>
      <w:marRight w:val="0"/>
      <w:marTop w:val="0"/>
      <w:marBottom w:val="0"/>
      <w:divBdr>
        <w:top w:val="none" w:sz="0" w:space="0" w:color="auto"/>
        <w:left w:val="none" w:sz="0" w:space="0" w:color="auto"/>
        <w:bottom w:val="none" w:sz="0" w:space="0" w:color="auto"/>
        <w:right w:val="none" w:sz="0" w:space="0" w:color="auto"/>
      </w:divBdr>
    </w:div>
    <w:div w:id="779762600">
      <w:bodyDiv w:val="1"/>
      <w:marLeft w:val="0"/>
      <w:marRight w:val="0"/>
      <w:marTop w:val="0"/>
      <w:marBottom w:val="0"/>
      <w:divBdr>
        <w:top w:val="none" w:sz="0" w:space="0" w:color="auto"/>
        <w:left w:val="none" w:sz="0" w:space="0" w:color="auto"/>
        <w:bottom w:val="none" w:sz="0" w:space="0" w:color="auto"/>
        <w:right w:val="none" w:sz="0" w:space="0" w:color="auto"/>
      </w:divBdr>
    </w:div>
    <w:div w:id="862329149">
      <w:bodyDiv w:val="1"/>
      <w:marLeft w:val="0"/>
      <w:marRight w:val="0"/>
      <w:marTop w:val="0"/>
      <w:marBottom w:val="0"/>
      <w:divBdr>
        <w:top w:val="none" w:sz="0" w:space="0" w:color="auto"/>
        <w:left w:val="none" w:sz="0" w:space="0" w:color="auto"/>
        <w:bottom w:val="none" w:sz="0" w:space="0" w:color="auto"/>
        <w:right w:val="none" w:sz="0" w:space="0" w:color="auto"/>
      </w:divBdr>
    </w:div>
    <w:div w:id="1152410763">
      <w:bodyDiv w:val="1"/>
      <w:marLeft w:val="0"/>
      <w:marRight w:val="0"/>
      <w:marTop w:val="0"/>
      <w:marBottom w:val="0"/>
      <w:divBdr>
        <w:top w:val="none" w:sz="0" w:space="0" w:color="auto"/>
        <w:left w:val="none" w:sz="0" w:space="0" w:color="auto"/>
        <w:bottom w:val="none" w:sz="0" w:space="0" w:color="auto"/>
        <w:right w:val="none" w:sz="0" w:space="0" w:color="auto"/>
      </w:divBdr>
    </w:div>
    <w:div w:id="1168137830">
      <w:bodyDiv w:val="1"/>
      <w:marLeft w:val="0"/>
      <w:marRight w:val="0"/>
      <w:marTop w:val="0"/>
      <w:marBottom w:val="0"/>
      <w:divBdr>
        <w:top w:val="none" w:sz="0" w:space="0" w:color="auto"/>
        <w:left w:val="none" w:sz="0" w:space="0" w:color="auto"/>
        <w:bottom w:val="none" w:sz="0" w:space="0" w:color="auto"/>
        <w:right w:val="none" w:sz="0" w:space="0" w:color="auto"/>
      </w:divBdr>
    </w:div>
    <w:div w:id="1214973500">
      <w:bodyDiv w:val="1"/>
      <w:marLeft w:val="0"/>
      <w:marRight w:val="0"/>
      <w:marTop w:val="0"/>
      <w:marBottom w:val="0"/>
      <w:divBdr>
        <w:top w:val="none" w:sz="0" w:space="0" w:color="auto"/>
        <w:left w:val="none" w:sz="0" w:space="0" w:color="auto"/>
        <w:bottom w:val="none" w:sz="0" w:space="0" w:color="auto"/>
        <w:right w:val="none" w:sz="0" w:space="0" w:color="auto"/>
      </w:divBdr>
      <w:divsChild>
        <w:div w:id="236477251">
          <w:marLeft w:val="547"/>
          <w:marRight w:val="0"/>
          <w:marTop w:val="120"/>
          <w:marBottom w:val="0"/>
          <w:divBdr>
            <w:top w:val="none" w:sz="0" w:space="0" w:color="auto"/>
            <w:left w:val="none" w:sz="0" w:space="0" w:color="auto"/>
            <w:bottom w:val="none" w:sz="0" w:space="0" w:color="auto"/>
            <w:right w:val="none" w:sz="0" w:space="0" w:color="auto"/>
          </w:divBdr>
        </w:div>
        <w:div w:id="882909062">
          <w:marLeft w:val="547"/>
          <w:marRight w:val="0"/>
          <w:marTop w:val="120"/>
          <w:marBottom w:val="0"/>
          <w:divBdr>
            <w:top w:val="none" w:sz="0" w:space="0" w:color="auto"/>
            <w:left w:val="none" w:sz="0" w:space="0" w:color="auto"/>
            <w:bottom w:val="none" w:sz="0" w:space="0" w:color="auto"/>
            <w:right w:val="none" w:sz="0" w:space="0" w:color="auto"/>
          </w:divBdr>
        </w:div>
        <w:div w:id="628979243">
          <w:marLeft w:val="547"/>
          <w:marRight w:val="0"/>
          <w:marTop w:val="120"/>
          <w:marBottom w:val="0"/>
          <w:divBdr>
            <w:top w:val="none" w:sz="0" w:space="0" w:color="auto"/>
            <w:left w:val="none" w:sz="0" w:space="0" w:color="auto"/>
            <w:bottom w:val="none" w:sz="0" w:space="0" w:color="auto"/>
            <w:right w:val="none" w:sz="0" w:space="0" w:color="auto"/>
          </w:divBdr>
        </w:div>
        <w:div w:id="986739574">
          <w:marLeft w:val="547"/>
          <w:marRight w:val="0"/>
          <w:marTop w:val="120"/>
          <w:marBottom w:val="0"/>
          <w:divBdr>
            <w:top w:val="none" w:sz="0" w:space="0" w:color="auto"/>
            <w:left w:val="none" w:sz="0" w:space="0" w:color="auto"/>
            <w:bottom w:val="none" w:sz="0" w:space="0" w:color="auto"/>
            <w:right w:val="none" w:sz="0" w:space="0" w:color="auto"/>
          </w:divBdr>
        </w:div>
        <w:div w:id="830104870">
          <w:marLeft w:val="547"/>
          <w:marRight w:val="0"/>
          <w:marTop w:val="120"/>
          <w:marBottom w:val="0"/>
          <w:divBdr>
            <w:top w:val="none" w:sz="0" w:space="0" w:color="auto"/>
            <w:left w:val="none" w:sz="0" w:space="0" w:color="auto"/>
            <w:bottom w:val="none" w:sz="0" w:space="0" w:color="auto"/>
            <w:right w:val="none" w:sz="0" w:space="0" w:color="auto"/>
          </w:divBdr>
        </w:div>
        <w:div w:id="724524283">
          <w:marLeft w:val="547"/>
          <w:marRight w:val="0"/>
          <w:marTop w:val="120"/>
          <w:marBottom w:val="0"/>
          <w:divBdr>
            <w:top w:val="none" w:sz="0" w:space="0" w:color="auto"/>
            <w:left w:val="none" w:sz="0" w:space="0" w:color="auto"/>
            <w:bottom w:val="none" w:sz="0" w:space="0" w:color="auto"/>
            <w:right w:val="none" w:sz="0" w:space="0" w:color="auto"/>
          </w:divBdr>
        </w:div>
        <w:div w:id="918297172">
          <w:marLeft w:val="547"/>
          <w:marRight w:val="0"/>
          <w:marTop w:val="120"/>
          <w:marBottom w:val="0"/>
          <w:divBdr>
            <w:top w:val="none" w:sz="0" w:space="0" w:color="auto"/>
            <w:left w:val="none" w:sz="0" w:space="0" w:color="auto"/>
            <w:bottom w:val="none" w:sz="0" w:space="0" w:color="auto"/>
            <w:right w:val="none" w:sz="0" w:space="0" w:color="auto"/>
          </w:divBdr>
        </w:div>
        <w:div w:id="1543129007">
          <w:marLeft w:val="547"/>
          <w:marRight w:val="0"/>
          <w:marTop w:val="120"/>
          <w:marBottom w:val="0"/>
          <w:divBdr>
            <w:top w:val="none" w:sz="0" w:space="0" w:color="auto"/>
            <w:left w:val="none" w:sz="0" w:space="0" w:color="auto"/>
            <w:bottom w:val="none" w:sz="0" w:space="0" w:color="auto"/>
            <w:right w:val="none" w:sz="0" w:space="0" w:color="auto"/>
          </w:divBdr>
        </w:div>
        <w:div w:id="158886064">
          <w:marLeft w:val="547"/>
          <w:marRight w:val="0"/>
          <w:marTop w:val="120"/>
          <w:marBottom w:val="0"/>
          <w:divBdr>
            <w:top w:val="none" w:sz="0" w:space="0" w:color="auto"/>
            <w:left w:val="none" w:sz="0" w:space="0" w:color="auto"/>
            <w:bottom w:val="none" w:sz="0" w:space="0" w:color="auto"/>
            <w:right w:val="none" w:sz="0" w:space="0" w:color="auto"/>
          </w:divBdr>
        </w:div>
      </w:divsChild>
    </w:div>
    <w:div w:id="1225143078">
      <w:bodyDiv w:val="1"/>
      <w:marLeft w:val="0"/>
      <w:marRight w:val="0"/>
      <w:marTop w:val="0"/>
      <w:marBottom w:val="0"/>
      <w:divBdr>
        <w:top w:val="none" w:sz="0" w:space="0" w:color="auto"/>
        <w:left w:val="none" w:sz="0" w:space="0" w:color="auto"/>
        <w:bottom w:val="none" w:sz="0" w:space="0" w:color="auto"/>
        <w:right w:val="none" w:sz="0" w:space="0" w:color="auto"/>
      </w:divBdr>
    </w:div>
    <w:div w:id="1244145388">
      <w:bodyDiv w:val="1"/>
      <w:marLeft w:val="0"/>
      <w:marRight w:val="0"/>
      <w:marTop w:val="0"/>
      <w:marBottom w:val="0"/>
      <w:divBdr>
        <w:top w:val="none" w:sz="0" w:space="0" w:color="auto"/>
        <w:left w:val="none" w:sz="0" w:space="0" w:color="auto"/>
        <w:bottom w:val="none" w:sz="0" w:space="0" w:color="auto"/>
        <w:right w:val="none" w:sz="0" w:space="0" w:color="auto"/>
      </w:divBdr>
    </w:div>
    <w:div w:id="1246305251">
      <w:bodyDiv w:val="1"/>
      <w:marLeft w:val="0"/>
      <w:marRight w:val="0"/>
      <w:marTop w:val="0"/>
      <w:marBottom w:val="0"/>
      <w:divBdr>
        <w:top w:val="none" w:sz="0" w:space="0" w:color="auto"/>
        <w:left w:val="none" w:sz="0" w:space="0" w:color="auto"/>
        <w:bottom w:val="none" w:sz="0" w:space="0" w:color="auto"/>
        <w:right w:val="none" w:sz="0" w:space="0" w:color="auto"/>
      </w:divBdr>
    </w:div>
    <w:div w:id="1284845053">
      <w:bodyDiv w:val="1"/>
      <w:marLeft w:val="0"/>
      <w:marRight w:val="0"/>
      <w:marTop w:val="0"/>
      <w:marBottom w:val="0"/>
      <w:divBdr>
        <w:top w:val="none" w:sz="0" w:space="0" w:color="auto"/>
        <w:left w:val="none" w:sz="0" w:space="0" w:color="auto"/>
        <w:bottom w:val="none" w:sz="0" w:space="0" w:color="auto"/>
        <w:right w:val="none" w:sz="0" w:space="0" w:color="auto"/>
      </w:divBdr>
    </w:div>
    <w:div w:id="1307972568">
      <w:bodyDiv w:val="1"/>
      <w:marLeft w:val="0"/>
      <w:marRight w:val="0"/>
      <w:marTop w:val="0"/>
      <w:marBottom w:val="0"/>
      <w:divBdr>
        <w:top w:val="none" w:sz="0" w:space="0" w:color="auto"/>
        <w:left w:val="none" w:sz="0" w:space="0" w:color="auto"/>
        <w:bottom w:val="none" w:sz="0" w:space="0" w:color="auto"/>
        <w:right w:val="none" w:sz="0" w:space="0" w:color="auto"/>
      </w:divBdr>
    </w:div>
    <w:div w:id="1315064600">
      <w:bodyDiv w:val="1"/>
      <w:marLeft w:val="0"/>
      <w:marRight w:val="0"/>
      <w:marTop w:val="0"/>
      <w:marBottom w:val="0"/>
      <w:divBdr>
        <w:top w:val="none" w:sz="0" w:space="0" w:color="auto"/>
        <w:left w:val="none" w:sz="0" w:space="0" w:color="auto"/>
        <w:bottom w:val="none" w:sz="0" w:space="0" w:color="auto"/>
        <w:right w:val="none" w:sz="0" w:space="0" w:color="auto"/>
      </w:divBdr>
    </w:div>
    <w:div w:id="1368870828">
      <w:bodyDiv w:val="1"/>
      <w:marLeft w:val="0"/>
      <w:marRight w:val="0"/>
      <w:marTop w:val="0"/>
      <w:marBottom w:val="0"/>
      <w:divBdr>
        <w:top w:val="none" w:sz="0" w:space="0" w:color="auto"/>
        <w:left w:val="none" w:sz="0" w:space="0" w:color="auto"/>
        <w:bottom w:val="none" w:sz="0" w:space="0" w:color="auto"/>
        <w:right w:val="none" w:sz="0" w:space="0" w:color="auto"/>
      </w:divBdr>
    </w:div>
    <w:div w:id="1471165846">
      <w:bodyDiv w:val="1"/>
      <w:marLeft w:val="0"/>
      <w:marRight w:val="0"/>
      <w:marTop w:val="0"/>
      <w:marBottom w:val="0"/>
      <w:divBdr>
        <w:top w:val="none" w:sz="0" w:space="0" w:color="auto"/>
        <w:left w:val="none" w:sz="0" w:space="0" w:color="auto"/>
        <w:bottom w:val="none" w:sz="0" w:space="0" w:color="auto"/>
        <w:right w:val="none" w:sz="0" w:space="0" w:color="auto"/>
      </w:divBdr>
    </w:div>
    <w:div w:id="1493525598">
      <w:bodyDiv w:val="1"/>
      <w:marLeft w:val="0"/>
      <w:marRight w:val="0"/>
      <w:marTop w:val="0"/>
      <w:marBottom w:val="0"/>
      <w:divBdr>
        <w:top w:val="none" w:sz="0" w:space="0" w:color="auto"/>
        <w:left w:val="none" w:sz="0" w:space="0" w:color="auto"/>
        <w:bottom w:val="none" w:sz="0" w:space="0" w:color="auto"/>
        <w:right w:val="none" w:sz="0" w:space="0" w:color="auto"/>
      </w:divBdr>
    </w:div>
    <w:div w:id="1523975176">
      <w:bodyDiv w:val="1"/>
      <w:marLeft w:val="0"/>
      <w:marRight w:val="0"/>
      <w:marTop w:val="0"/>
      <w:marBottom w:val="0"/>
      <w:divBdr>
        <w:top w:val="none" w:sz="0" w:space="0" w:color="auto"/>
        <w:left w:val="none" w:sz="0" w:space="0" w:color="auto"/>
        <w:bottom w:val="none" w:sz="0" w:space="0" w:color="auto"/>
        <w:right w:val="none" w:sz="0" w:space="0" w:color="auto"/>
      </w:divBdr>
    </w:div>
    <w:div w:id="1600874863">
      <w:bodyDiv w:val="1"/>
      <w:marLeft w:val="0"/>
      <w:marRight w:val="0"/>
      <w:marTop w:val="0"/>
      <w:marBottom w:val="0"/>
      <w:divBdr>
        <w:top w:val="none" w:sz="0" w:space="0" w:color="auto"/>
        <w:left w:val="none" w:sz="0" w:space="0" w:color="auto"/>
        <w:bottom w:val="none" w:sz="0" w:space="0" w:color="auto"/>
        <w:right w:val="none" w:sz="0" w:space="0" w:color="auto"/>
      </w:divBdr>
    </w:div>
    <w:div w:id="1611887683">
      <w:bodyDiv w:val="1"/>
      <w:marLeft w:val="0"/>
      <w:marRight w:val="0"/>
      <w:marTop w:val="0"/>
      <w:marBottom w:val="0"/>
      <w:divBdr>
        <w:top w:val="none" w:sz="0" w:space="0" w:color="auto"/>
        <w:left w:val="none" w:sz="0" w:space="0" w:color="auto"/>
        <w:bottom w:val="none" w:sz="0" w:space="0" w:color="auto"/>
        <w:right w:val="none" w:sz="0" w:space="0" w:color="auto"/>
      </w:divBdr>
    </w:div>
    <w:div w:id="1655642175">
      <w:bodyDiv w:val="1"/>
      <w:marLeft w:val="0"/>
      <w:marRight w:val="0"/>
      <w:marTop w:val="0"/>
      <w:marBottom w:val="0"/>
      <w:divBdr>
        <w:top w:val="none" w:sz="0" w:space="0" w:color="auto"/>
        <w:left w:val="none" w:sz="0" w:space="0" w:color="auto"/>
        <w:bottom w:val="none" w:sz="0" w:space="0" w:color="auto"/>
        <w:right w:val="none" w:sz="0" w:space="0" w:color="auto"/>
      </w:divBdr>
    </w:div>
    <w:div w:id="1738935397">
      <w:bodyDiv w:val="1"/>
      <w:marLeft w:val="0"/>
      <w:marRight w:val="0"/>
      <w:marTop w:val="0"/>
      <w:marBottom w:val="0"/>
      <w:divBdr>
        <w:top w:val="none" w:sz="0" w:space="0" w:color="auto"/>
        <w:left w:val="none" w:sz="0" w:space="0" w:color="auto"/>
        <w:bottom w:val="none" w:sz="0" w:space="0" w:color="auto"/>
        <w:right w:val="none" w:sz="0" w:space="0" w:color="auto"/>
      </w:divBdr>
    </w:div>
    <w:div w:id="1757633687">
      <w:bodyDiv w:val="1"/>
      <w:marLeft w:val="0"/>
      <w:marRight w:val="0"/>
      <w:marTop w:val="0"/>
      <w:marBottom w:val="0"/>
      <w:divBdr>
        <w:top w:val="none" w:sz="0" w:space="0" w:color="auto"/>
        <w:left w:val="none" w:sz="0" w:space="0" w:color="auto"/>
        <w:bottom w:val="none" w:sz="0" w:space="0" w:color="auto"/>
        <w:right w:val="none" w:sz="0" w:space="0" w:color="auto"/>
      </w:divBdr>
    </w:div>
    <w:div w:id="1785150433">
      <w:bodyDiv w:val="1"/>
      <w:marLeft w:val="0"/>
      <w:marRight w:val="0"/>
      <w:marTop w:val="0"/>
      <w:marBottom w:val="0"/>
      <w:divBdr>
        <w:top w:val="none" w:sz="0" w:space="0" w:color="auto"/>
        <w:left w:val="none" w:sz="0" w:space="0" w:color="auto"/>
        <w:bottom w:val="none" w:sz="0" w:space="0" w:color="auto"/>
        <w:right w:val="none" w:sz="0" w:space="0" w:color="auto"/>
      </w:divBdr>
    </w:div>
    <w:div w:id="1828014981">
      <w:bodyDiv w:val="1"/>
      <w:marLeft w:val="0"/>
      <w:marRight w:val="0"/>
      <w:marTop w:val="0"/>
      <w:marBottom w:val="0"/>
      <w:divBdr>
        <w:top w:val="none" w:sz="0" w:space="0" w:color="auto"/>
        <w:left w:val="none" w:sz="0" w:space="0" w:color="auto"/>
        <w:bottom w:val="none" w:sz="0" w:space="0" w:color="auto"/>
        <w:right w:val="none" w:sz="0" w:space="0" w:color="auto"/>
      </w:divBdr>
    </w:div>
    <w:div w:id="1830098530">
      <w:bodyDiv w:val="1"/>
      <w:marLeft w:val="0"/>
      <w:marRight w:val="0"/>
      <w:marTop w:val="0"/>
      <w:marBottom w:val="0"/>
      <w:divBdr>
        <w:top w:val="none" w:sz="0" w:space="0" w:color="auto"/>
        <w:left w:val="none" w:sz="0" w:space="0" w:color="auto"/>
        <w:bottom w:val="none" w:sz="0" w:space="0" w:color="auto"/>
        <w:right w:val="none" w:sz="0" w:space="0" w:color="auto"/>
      </w:divBdr>
    </w:div>
    <w:div w:id="1843932945">
      <w:bodyDiv w:val="1"/>
      <w:marLeft w:val="0"/>
      <w:marRight w:val="0"/>
      <w:marTop w:val="0"/>
      <w:marBottom w:val="0"/>
      <w:divBdr>
        <w:top w:val="none" w:sz="0" w:space="0" w:color="auto"/>
        <w:left w:val="none" w:sz="0" w:space="0" w:color="auto"/>
        <w:bottom w:val="none" w:sz="0" w:space="0" w:color="auto"/>
        <w:right w:val="none" w:sz="0" w:space="0" w:color="auto"/>
      </w:divBdr>
    </w:div>
    <w:div w:id="204860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44156A-8F47-48F9-A145-7653B8111583}">
  <ds:schemaRefs>
    <ds:schemaRef ds:uri="http://schemas.microsoft.com/sharepoint/v3/contenttype/forms"/>
  </ds:schemaRefs>
</ds:datastoreItem>
</file>

<file path=customXml/itemProps2.xml><?xml version="1.0" encoding="utf-8"?>
<ds:datastoreItem xmlns:ds="http://schemas.openxmlformats.org/officeDocument/2006/customXml" ds:itemID="{219186EE-4F46-4C8F-99B9-09F29C6D3D55}">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3.xml><?xml version="1.0" encoding="utf-8"?>
<ds:datastoreItem xmlns:ds="http://schemas.openxmlformats.org/officeDocument/2006/customXml" ds:itemID="{CD5D41DC-9628-4BC9-9F4B-AE27C8DDB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65</cp:revision>
  <dcterms:created xsi:type="dcterms:W3CDTF">2023-01-21T09:33:00Z</dcterms:created>
  <dcterms:modified xsi:type="dcterms:W3CDTF">2024-10-29T17:50:00Z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22505100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