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E9E33" w14:textId="77777777" w:rsidR="00A108E3" w:rsidRPr="00A108E3" w:rsidRDefault="00A108E3" w:rsidP="00A108E3">
      <w:pPr>
        <w:rPr>
          <w:rFonts w:ascii="Arial" w:hAnsi="Arial" w:cs="Arial"/>
          <w:sz w:val="28"/>
          <w:szCs w:val="28"/>
          <w:lang w:val="en-GB"/>
        </w:rPr>
      </w:pPr>
      <w:r w:rsidRPr="00A108E3">
        <w:rPr>
          <w:rFonts w:ascii="Arial" w:hAnsi="Arial" w:cs="Arial"/>
          <w:b/>
          <w:bCs/>
          <w:sz w:val="28"/>
          <w:szCs w:val="28"/>
          <w:lang w:val="en-GB"/>
        </w:rPr>
        <w:t>Liability for the prospectus – civil (non FSMA), criminal and liability of sponsors</w:t>
      </w:r>
    </w:p>
    <w:p w14:paraId="0B69054B" w14:textId="77777777" w:rsidR="004F4A58" w:rsidRDefault="004F4A58" w:rsidP="004F4A58">
      <w:pPr>
        <w:rPr>
          <w:rFonts w:ascii="Arial" w:hAnsi="Arial" w:cs="Arial"/>
          <w:lang w:val="en-GB"/>
        </w:rPr>
      </w:pPr>
      <w:r w:rsidRPr="004F4A58">
        <w:rPr>
          <w:rFonts w:ascii="Arial" w:hAnsi="Arial" w:cs="Arial"/>
          <w:lang w:val="en-GB"/>
        </w:rPr>
        <w:t>This element outlines the potential liability for the prospectus both civil (other than FSMA) and criminal, and also the potential liability of sponsors</w:t>
      </w:r>
    </w:p>
    <w:p w14:paraId="26CAF296" w14:textId="77777777" w:rsidR="004C544C" w:rsidRPr="004F4A58" w:rsidRDefault="004C544C" w:rsidP="004F4A58">
      <w:pPr>
        <w:rPr>
          <w:rFonts w:ascii="Arial" w:hAnsi="Arial" w:cs="Arial"/>
          <w:lang w:val="en-GB"/>
        </w:rPr>
      </w:pPr>
    </w:p>
    <w:p w14:paraId="699CD335" w14:textId="77777777" w:rsidR="004F4A58" w:rsidRPr="004F4A58" w:rsidRDefault="004F4A58" w:rsidP="004F4A58">
      <w:pPr>
        <w:rPr>
          <w:rFonts w:ascii="Arial" w:hAnsi="Arial" w:cs="Arial"/>
          <w:lang w:val="en-GB"/>
        </w:rPr>
      </w:pPr>
      <w:r w:rsidRPr="004F4A58">
        <w:rPr>
          <w:rFonts w:ascii="Arial" w:hAnsi="Arial" w:cs="Arial"/>
          <w:b/>
          <w:bCs/>
        </w:rPr>
        <w:t>Civil liability – negligent misstatement</w:t>
      </w:r>
    </w:p>
    <w:p w14:paraId="6151EE92" w14:textId="77777777" w:rsidR="00FE1814" w:rsidRPr="00FE1814" w:rsidRDefault="00FE1814" w:rsidP="00FE1814">
      <w:pPr>
        <w:rPr>
          <w:rFonts w:ascii="Arial" w:hAnsi="Arial" w:cs="Arial"/>
          <w:lang w:val="en-GB"/>
        </w:rPr>
      </w:pPr>
      <w:r w:rsidRPr="00FE1814">
        <w:rPr>
          <w:rFonts w:ascii="Arial" w:hAnsi="Arial" w:cs="Arial"/>
        </w:rPr>
        <w:t xml:space="preserve">Persons issuing a prospectus which contains a misstatement can be liable for negligent misstatement (a species of the tort of negligence) if a duty of care is owed to the reader, that duty is breached and the reader suffers loss </w:t>
      </w:r>
      <w:proofErr w:type="gramStart"/>
      <w:r w:rsidRPr="00FE1814">
        <w:rPr>
          <w:rFonts w:ascii="Arial" w:hAnsi="Arial" w:cs="Arial"/>
        </w:rPr>
        <w:t>as a result of</w:t>
      </w:r>
      <w:proofErr w:type="gramEnd"/>
      <w:r w:rsidRPr="00FE1814">
        <w:rPr>
          <w:rFonts w:ascii="Arial" w:hAnsi="Arial" w:cs="Arial"/>
        </w:rPr>
        <w:t xml:space="preserve"> the breach.  Broadly, the duty exists where the issuer has a special skill or knowledge and knows or ought to know that the reader will rely for a particular purpose on that skill or knowledge.  The remedy for negligent misstatement is a claim for damages for the claimant’s reasonably foreseeable loss.</w:t>
      </w:r>
    </w:p>
    <w:p w14:paraId="1F3A3F44" w14:textId="77777777" w:rsidR="00FE1814" w:rsidRPr="00FE1814" w:rsidRDefault="00FE1814" w:rsidP="00FE1814">
      <w:pPr>
        <w:rPr>
          <w:rFonts w:ascii="Arial" w:hAnsi="Arial" w:cs="Arial"/>
          <w:lang w:val="en-GB"/>
        </w:rPr>
      </w:pPr>
      <w:r w:rsidRPr="00FE1814">
        <w:rPr>
          <w:rFonts w:ascii="Arial" w:hAnsi="Arial" w:cs="Arial"/>
        </w:rPr>
        <w:t>If the prospectus specifically or implicitly contemplated rights being given to a subsequent purchaser, a cause of action may in theory be available to such a person.</w:t>
      </w:r>
    </w:p>
    <w:p w14:paraId="183C46FB" w14:textId="77777777" w:rsidR="00FE1814" w:rsidRPr="00FE1814" w:rsidRDefault="00FE1814" w:rsidP="00FE1814">
      <w:pPr>
        <w:rPr>
          <w:rFonts w:ascii="Arial" w:hAnsi="Arial" w:cs="Arial"/>
          <w:lang w:val="en-GB"/>
        </w:rPr>
      </w:pPr>
      <w:r w:rsidRPr="00FE1814">
        <w:rPr>
          <w:rFonts w:ascii="Arial" w:hAnsi="Arial" w:cs="Arial"/>
          <w:b/>
          <w:bCs/>
        </w:rPr>
        <w:t>Civil liability – misrepresentation</w:t>
      </w:r>
    </w:p>
    <w:p w14:paraId="2EEBED4C" w14:textId="77777777" w:rsidR="00FE1814" w:rsidRPr="00FE1814" w:rsidRDefault="00FE1814" w:rsidP="00FE1814">
      <w:pPr>
        <w:rPr>
          <w:rFonts w:ascii="Arial" w:hAnsi="Arial" w:cs="Arial"/>
          <w:lang w:val="en-GB"/>
        </w:rPr>
      </w:pPr>
      <w:r w:rsidRPr="00FE1814">
        <w:rPr>
          <w:rFonts w:ascii="Arial" w:hAnsi="Arial" w:cs="Arial"/>
        </w:rPr>
        <w:t xml:space="preserve">Any untrue statement of fact inducing someone to </w:t>
      </w:r>
      <w:proofErr w:type="gramStart"/>
      <w:r w:rsidRPr="00FE1814">
        <w:rPr>
          <w:rFonts w:ascii="Arial" w:hAnsi="Arial" w:cs="Arial"/>
        </w:rPr>
        <w:t>enter into</w:t>
      </w:r>
      <w:proofErr w:type="gramEnd"/>
      <w:r w:rsidRPr="00FE1814">
        <w:rPr>
          <w:rFonts w:ascii="Arial" w:hAnsi="Arial" w:cs="Arial"/>
        </w:rPr>
        <w:t xml:space="preserve"> a contract could form the basis of a claim for misrepresentation.</w:t>
      </w:r>
    </w:p>
    <w:p w14:paraId="2BFB55A0" w14:textId="77777777" w:rsidR="00FE1814" w:rsidRPr="00FE1814" w:rsidRDefault="00FE1814" w:rsidP="00FE1814">
      <w:pPr>
        <w:rPr>
          <w:rFonts w:ascii="Arial" w:hAnsi="Arial" w:cs="Arial"/>
          <w:lang w:val="en-GB"/>
        </w:rPr>
      </w:pPr>
      <w:r w:rsidRPr="00FE1814">
        <w:rPr>
          <w:rFonts w:ascii="Arial" w:hAnsi="Arial" w:cs="Arial"/>
        </w:rPr>
        <w:t xml:space="preserve">Rights of rescission may be available provided that the misrepresentation is material and as to fact, not opinion.  Such rights are subject to the usual limitations on the remedy (e.g. s 2(2) Misrepresentation Act 1967 – a court may award damages in lieu of rescission, if it thinks it would be equitable to do so, having regard to the nature of the misrepresentation).  </w:t>
      </w:r>
    </w:p>
    <w:p w14:paraId="6410ACDF" w14:textId="77777777" w:rsidR="00FE1814" w:rsidRPr="00FE1814" w:rsidRDefault="00FE1814" w:rsidP="00FE1814">
      <w:pPr>
        <w:rPr>
          <w:rFonts w:ascii="Arial" w:hAnsi="Arial" w:cs="Arial"/>
          <w:lang w:val="en-GB"/>
        </w:rPr>
      </w:pPr>
      <w:r w:rsidRPr="00FE1814">
        <w:rPr>
          <w:rFonts w:ascii="Arial" w:hAnsi="Arial" w:cs="Arial"/>
        </w:rPr>
        <w:t xml:space="preserve">Damages may also be available. The wording of s. 2(1) Misrepresentation Act 1967 has been interpreted (in </w:t>
      </w:r>
      <w:proofErr w:type="spellStart"/>
      <w:r w:rsidRPr="00FE1814">
        <w:rPr>
          <w:rFonts w:ascii="Arial" w:hAnsi="Arial" w:cs="Arial"/>
        </w:rPr>
        <w:t>Royscot</w:t>
      </w:r>
      <w:proofErr w:type="spellEnd"/>
      <w:r w:rsidRPr="00FE1814">
        <w:rPr>
          <w:rFonts w:ascii="Arial" w:hAnsi="Arial" w:cs="Arial"/>
        </w:rPr>
        <w:t xml:space="preserve"> Trust v Rogerson (1991) QB 297) as meaning that damages for negligent misrepresentation are available on the same basis as for fraud.  On this basis the claimant may recover all consequential loss flowing from the negligent misrepresentation with no requirement for foreseeability.</w:t>
      </w:r>
    </w:p>
    <w:p w14:paraId="4891804D" w14:textId="77777777" w:rsidR="00BB7F82" w:rsidRPr="00BB7F82" w:rsidRDefault="00BB7F82" w:rsidP="00BB7F82">
      <w:pPr>
        <w:rPr>
          <w:rFonts w:ascii="Arial" w:hAnsi="Arial" w:cs="Arial"/>
          <w:lang w:val="en-GB"/>
        </w:rPr>
      </w:pPr>
      <w:r w:rsidRPr="00BB7F82">
        <w:rPr>
          <w:rFonts w:ascii="Arial" w:hAnsi="Arial" w:cs="Arial"/>
          <w:b/>
          <w:bCs/>
        </w:rPr>
        <w:t>Civil liability – breach of contract</w:t>
      </w:r>
    </w:p>
    <w:p w14:paraId="2C9CF283" w14:textId="77777777" w:rsidR="00BB7F82" w:rsidRPr="00BB7F82" w:rsidRDefault="00BB7F82" w:rsidP="00BB7F82">
      <w:pPr>
        <w:rPr>
          <w:rFonts w:ascii="Arial" w:hAnsi="Arial" w:cs="Arial"/>
          <w:lang w:val="en-GB"/>
        </w:rPr>
      </w:pPr>
      <w:r w:rsidRPr="00BB7F82">
        <w:rPr>
          <w:rFonts w:ascii="Arial" w:hAnsi="Arial" w:cs="Arial"/>
        </w:rPr>
        <w:t xml:space="preserve">An investor may have a possible claim for loss of bargain </w:t>
      </w:r>
      <w:proofErr w:type="spellStart"/>
      <w:r w:rsidRPr="00BB7F82">
        <w:rPr>
          <w:rFonts w:ascii="Arial" w:hAnsi="Arial" w:cs="Arial"/>
        </w:rPr>
        <w:t>ie</w:t>
      </w:r>
      <w:proofErr w:type="spellEnd"/>
      <w:r w:rsidRPr="00BB7F82">
        <w:rPr>
          <w:rFonts w:ascii="Arial" w:hAnsi="Arial" w:cs="Arial"/>
        </w:rPr>
        <w:t xml:space="preserve"> for the value of what the securities would have been worth had the statement in the prospectus been correct.</w:t>
      </w:r>
    </w:p>
    <w:p w14:paraId="09D457D4" w14:textId="77777777" w:rsidR="008E2531" w:rsidRPr="008E2531" w:rsidRDefault="008E2531" w:rsidP="008E2531">
      <w:pPr>
        <w:rPr>
          <w:rFonts w:ascii="Arial" w:hAnsi="Arial" w:cs="Arial"/>
          <w:lang w:val="en-GB"/>
        </w:rPr>
      </w:pPr>
      <w:r w:rsidRPr="008E2531">
        <w:rPr>
          <w:rFonts w:ascii="Arial" w:hAnsi="Arial" w:cs="Arial"/>
          <w:b/>
          <w:bCs/>
        </w:rPr>
        <w:t>Civil liability – market manipulation</w:t>
      </w:r>
    </w:p>
    <w:p w14:paraId="72F3D259" w14:textId="77777777" w:rsidR="008E2531" w:rsidRPr="008E2531" w:rsidRDefault="008E2531" w:rsidP="008E2531">
      <w:pPr>
        <w:rPr>
          <w:rFonts w:ascii="Arial" w:hAnsi="Arial" w:cs="Arial"/>
          <w:lang w:val="en-GB"/>
        </w:rPr>
      </w:pPr>
      <w:r w:rsidRPr="008E2531">
        <w:rPr>
          <w:rFonts w:ascii="Arial" w:hAnsi="Arial" w:cs="Arial"/>
        </w:rPr>
        <w:t>The inclusion of false information in a prospectus could also constitute market manipulation under the provisions of UK MAR.  Art 15 UK MAR makes it an offence to engage in or attempt to engage in market manipulation.  Art 12(1) UK MAR then sets out activities which are deemed to constitute market manipulation for the purposes of UK MAR.  These include the dissemination of information which is likely to secure the price of financial instruments at an abnormal or artificial level (Art 12(1)(c) UK MAR).  Misleading information in a prospectus has the potential to secure an artificial price for the shares to which it relates, and so could constitute market manipulation under Art 12(1)(c) UK MAR.</w:t>
      </w:r>
    </w:p>
    <w:p w14:paraId="0ED98676" w14:textId="77777777" w:rsidR="008E2531" w:rsidRPr="008E2531" w:rsidRDefault="008E2531" w:rsidP="008E2531">
      <w:pPr>
        <w:rPr>
          <w:rFonts w:ascii="Arial" w:hAnsi="Arial" w:cs="Arial"/>
          <w:lang w:val="en-GB"/>
        </w:rPr>
      </w:pPr>
      <w:r w:rsidRPr="008E2531">
        <w:rPr>
          <w:rFonts w:ascii="Arial" w:hAnsi="Arial" w:cs="Arial"/>
        </w:rPr>
        <w:lastRenderedPageBreak/>
        <w:t>Under s. 123(2) and (3) FSMA, the FCA may impose an unlimited fine or issue a public statement of censure in relation to a person who breaches UK MAR.</w:t>
      </w:r>
    </w:p>
    <w:p w14:paraId="38975952" w14:textId="77777777" w:rsidR="00676251" w:rsidRPr="00676251" w:rsidRDefault="00676251" w:rsidP="00676251">
      <w:pPr>
        <w:rPr>
          <w:rFonts w:ascii="Arial" w:hAnsi="Arial" w:cs="Arial"/>
          <w:lang w:val="en-GB"/>
        </w:rPr>
      </w:pPr>
      <w:r w:rsidRPr="00676251">
        <w:rPr>
          <w:rFonts w:ascii="Arial" w:hAnsi="Arial" w:cs="Arial"/>
          <w:b/>
          <w:bCs/>
        </w:rPr>
        <w:t>Criminal Liability – Part 7 Financial Services Act ('FS Act')</w:t>
      </w:r>
    </w:p>
    <w:p w14:paraId="598B9A5C" w14:textId="77777777" w:rsidR="00676251" w:rsidRPr="00676251" w:rsidRDefault="00676251" w:rsidP="00676251">
      <w:pPr>
        <w:rPr>
          <w:rFonts w:ascii="Arial" w:hAnsi="Arial" w:cs="Arial"/>
          <w:lang w:val="en-GB"/>
        </w:rPr>
      </w:pPr>
      <w:r w:rsidRPr="00676251">
        <w:rPr>
          <w:rFonts w:ascii="Arial" w:hAnsi="Arial" w:cs="Arial"/>
        </w:rPr>
        <w:t>It is a criminal offence for any person to:</w:t>
      </w:r>
    </w:p>
    <w:p w14:paraId="5BADA658" w14:textId="77777777" w:rsidR="00676251" w:rsidRPr="00676251" w:rsidRDefault="00676251" w:rsidP="00676251">
      <w:pPr>
        <w:numPr>
          <w:ilvl w:val="0"/>
          <w:numId w:val="1"/>
        </w:numPr>
        <w:rPr>
          <w:rFonts w:ascii="Arial" w:hAnsi="Arial" w:cs="Arial"/>
          <w:lang w:val="en-GB"/>
        </w:rPr>
      </w:pPr>
      <w:r w:rsidRPr="00676251">
        <w:rPr>
          <w:rFonts w:ascii="Arial" w:hAnsi="Arial" w:cs="Arial"/>
        </w:rPr>
        <w:t xml:space="preserve">make (recklessly or otherwise) a statement, promise or forecast which they know to be misleading, false or deceptive; or </w:t>
      </w:r>
    </w:p>
    <w:p w14:paraId="2FD35F87" w14:textId="4E6F6B53" w:rsidR="00676251" w:rsidRPr="00676251" w:rsidRDefault="00676251" w:rsidP="00676251">
      <w:pPr>
        <w:numPr>
          <w:ilvl w:val="0"/>
          <w:numId w:val="1"/>
        </w:numPr>
        <w:rPr>
          <w:rFonts w:ascii="Arial" w:hAnsi="Arial" w:cs="Arial"/>
          <w:lang w:val="en-GB"/>
        </w:rPr>
      </w:pPr>
      <w:r w:rsidRPr="00676251">
        <w:rPr>
          <w:rFonts w:ascii="Arial" w:hAnsi="Arial" w:cs="Arial"/>
        </w:rPr>
        <w:t>dishonestly conceal any material facts</w:t>
      </w:r>
      <w:r w:rsidR="00381ECC">
        <w:rPr>
          <w:rFonts w:ascii="Arial" w:hAnsi="Arial" w:cs="Arial"/>
        </w:rPr>
        <w:t>.</w:t>
      </w:r>
      <w:r w:rsidRPr="00676251">
        <w:rPr>
          <w:rFonts w:ascii="Arial" w:hAnsi="Arial" w:cs="Arial"/>
        </w:rPr>
        <w:t xml:space="preserve"> </w:t>
      </w:r>
    </w:p>
    <w:p w14:paraId="5B04848D" w14:textId="5F061D37" w:rsidR="00676251" w:rsidRPr="00676251" w:rsidRDefault="00381ECC" w:rsidP="00676251">
      <w:pPr>
        <w:rPr>
          <w:rFonts w:ascii="Arial" w:hAnsi="Arial" w:cs="Arial"/>
          <w:lang w:val="en-GB"/>
        </w:rPr>
      </w:pPr>
      <w:r>
        <w:rPr>
          <w:rFonts w:ascii="Arial" w:hAnsi="Arial" w:cs="Arial"/>
        </w:rPr>
        <w:t>I</w:t>
      </w:r>
      <w:r w:rsidR="00676251" w:rsidRPr="00676251">
        <w:rPr>
          <w:rFonts w:ascii="Arial" w:hAnsi="Arial" w:cs="Arial"/>
        </w:rPr>
        <w:t xml:space="preserve">f they do so for the purpose of inducing (or are reckless as to whether it may induce) another person: </w:t>
      </w:r>
    </w:p>
    <w:p w14:paraId="575DEC23" w14:textId="77777777" w:rsidR="00676251" w:rsidRPr="00676251" w:rsidRDefault="00676251" w:rsidP="00676251">
      <w:pPr>
        <w:numPr>
          <w:ilvl w:val="0"/>
          <w:numId w:val="2"/>
        </w:numPr>
        <w:rPr>
          <w:rFonts w:ascii="Arial" w:hAnsi="Arial" w:cs="Arial"/>
          <w:lang w:val="en-GB"/>
        </w:rPr>
      </w:pPr>
      <w:r w:rsidRPr="00676251">
        <w:rPr>
          <w:rFonts w:ascii="Arial" w:hAnsi="Arial" w:cs="Arial"/>
        </w:rPr>
        <w:t xml:space="preserve">to enter or offer to </w:t>
      </w:r>
      <w:proofErr w:type="gramStart"/>
      <w:r w:rsidRPr="00676251">
        <w:rPr>
          <w:rFonts w:ascii="Arial" w:hAnsi="Arial" w:cs="Arial"/>
        </w:rPr>
        <w:t>enter into</w:t>
      </w:r>
      <w:proofErr w:type="gramEnd"/>
      <w:r w:rsidRPr="00676251">
        <w:rPr>
          <w:rFonts w:ascii="Arial" w:hAnsi="Arial" w:cs="Arial"/>
        </w:rPr>
        <w:t xml:space="preserve"> (or to refrain from entering or offering to enter into) a relevant agreement; or </w:t>
      </w:r>
    </w:p>
    <w:p w14:paraId="4938EF87" w14:textId="77777777" w:rsidR="00676251" w:rsidRPr="00676251" w:rsidRDefault="00676251" w:rsidP="00676251">
      <w:pPr>
        <w:numPr>
          <w:ilvl w:val="0"/>
          <w:numId w:val="2"/>
        </w:numPr>
        <w:rPr>
          <w:rFonts w:ascii="Arial" w:hAnsi="Arial" w:cs="Arial"/>
          <w:lang w:val="en-GB"/>
        </w:rPr>
      </w:pPr>
      <w:r w:rsidRPr="00676251">
        <w:rPr>
          <w:rFonts w:ascii="Arial" w:hAnsi="Arial" w:cs="Arial"/>
        </w:rPr>
        <w:t xml:space="preserve">to exercise, or refrain from exercising, any rights conferred by a relevant investment.  </w:t>
      </w:r>
    </w:p>
    <w:p w14:paraId="2849EEB4" w14:textId="77777777" w:rsidR="00676251" w:rsidRDefault="00676251" w:rsidP="00676251">
      <w:pPr>
        <w:rPr>
          <w:rFonts w:ascii="Arial" w:hAnsi="Arial" w:cs="Arial"/>
        </w:rPr>
      </w:pPr>
      <w:r w:rsidRPr="00676251">
        <w:rPr>
          <w:rFonts w:ascii="Arial" w:hAnsi="Arial" w:cs="Arial"/>
        </w:rPr>
        <w:t>This could include statements in a prospectus.</w:t>
      </w:r>
    </w:p>
    <w:p w14:paraId="119CA210" w14:textId="77777777" w:rsidR="003511B9" w:rsidRPr="00676251" w:rsidRDefault="003511B9" w:rsidP="00676251">
      <w:pPr>
        <w:rPr>
          <w:rFonts w:ascii="Arial" w:hAnsi="Arial" w:cs="Arial"/>
          <w:lang w:val="en-GB"/>
        </w:rPr>
      </w:pPr>
    </w:p>
    <w:p w14:paraId="6F699720" w14:textId="03A656C5" w:rsidR="0020442F" w:rsidRPr="003511B9" w:rsidRDefault="007D3D8A" w:rsidP="007D3D8A">
      <w:pPr>
        <w:rPr>
          <w:rFonts w:ascii="Arial" w:hAnsi="Arial" w:cs="Arial"/>
        </w:rPr>
      </w:pPr>
      <w:r w:rsidRPr="007D3D8A">
        <w:rPr>
          <w:rFonts w:ascii="Arial" w:hAnsi="Arial" w:cs="Arial"/>
        </w:rPr>
        <w:t>The Part 7 offences extend to any conduct which creates a false or misleading impression as to the market in or price of any relevant investments.</w:t>
      </w:r>
    </w:p>
    <w:p w14:paraId="0C43F925" w14:textId="77777777" w:rsidR="007D3D8A" w:rsidRPr="007D3D8A" w:rsidRDefault="007D3D8A" w:rsidP="007D3D8A">
      <w:pPr>
        <w:rPr>
          <w:rFonts w:ascii="Arial" w:hAnsi="Arial" w:cs="Arial"/>
          <w:lang w:val="en-GB"/>
        </w:rPr>
      </w:pPr>
      <w:r w:rsidRPr="007D3D8A">
        <w:rPr>
          <w:rFonts w:ascii="Arial" w:hAnsi="Arial" w:cs="Arial"/>
        </w:rPr>
        <w:t>The net of liability under Part 7 FS Act may be a wide one as, under s. 400 FSMA, if any directors or other 'controlling individuals' have consented or connived in commission of a Part 7 offence by the issuer, or such is attributable to their neglect, then they may also be liable to prosecution for that offence.</w:t>
      </w:r>
    </w:p>
    <w:p w14:paraId="26B9BF75" w14:textId="77777777" w:rsidR="007D3D8A" w:rsidRDefault="007D3D8A" w:rsidP="007D3D8A">
      <w:pPr>
        <w:rPr>
          <w:rFonts w:ascii="Arial" w:hAnsi="Arial" w:cs="Arial"/>
        </w:rPr>
      </w:pPr>
      <w:r w:rsidRPr="007D3D8A">
        <w:rPr>
          <w:rFonts w:ascii="Arial" w:hAnsi="Arial" w:cs="Arial"/>
        </w:rPr>
        <w:t>Note that recklessness does not require dishonest intent: a director could be reckless if they willfully shut their eyes to the fact that a statement was misleading or if they did not take the time to consider its accuracy.</w:t>
      </w:r>
    </w:p>
    <w:p w14:paraId="018EDEB1" w14:textId="77777777" w:rsidR="003511B9" w:rsidRPr="007D3D8A" w:rsidRDefault="003511B9" w:rsidP="007D3D8A">
      <w:pPr>
        <w:rPr>
          <w:rFonts w:ascii="Arial" w:hAnsi="Arial" w:cs="Arial"/>
          <w:lang w:val="en-GB"/>
        </w:rPr>
      </w:pPr>
    </w:p>
    <w:p w14:paraId="4B3F7D9E" w14:textId="77777777" w:rsidR="007D3D8A" w:rsidRPr="007D3D8A" w:rsidRDefault="007D3D8A" w:rsidP="007D3D8A">
      <w:pPr>
        <w:rPr>
          <w:rFonts w:ascii="Arial" w:hAnsi="Arial" w:cs="Arial"/>
          <w:lang w:val="en-GB"/>
        </w:rPr>
      </w:pPr>
      <w:r w:rsidRPr="007D3D8A">
        <w:rPr>
          <w:rFonts w:ascii="Arial" w:hAnsi="Arial" w:cs="Arial"/>
          <w:b/>
          <w:bCs/>
        </w:rPr>
        <w:t>Criminal Liability – Fraud Act 2006</w:t>
      </w:r>
    </w:p>
    <w:p w14:paraId="5F384D52" w14:textId="77777777" w:rsidR="00A50ED5" w:rsidRPr="00A50ED5" w:rsidRDefault="00A50ED5" w:rsidP="00A50ED5">
      <w:pPr>
        <w:rPr>
          <w:rFonts w:ascii="Arial" w:hAnsi="Arial" w:cs="Arial"/>
          <w:lang w:val="en-GB"/>
        </w:rPr>
      </w:pPr>
      <w:r w:rsidRPr="00A50ED5">
        <w:rPr>
          <w:rFonts w:ascii="Arial" w:hAnsi="Arial" w:cs="Arial"/>
        </w:rPr>
        <w:t xml:space="preserve">The Fraud Act provides for a general offence of fraud which may be committed in three ways: </w:t>
      </w:r>
    </w:p>
    <w:p w14:paraId="0DFB3A87" w14:textId="77777777" w:rsidR="00A50ED5" w:rsidRPr="00A50ED5" w:rsidRDefault="00A50ED5" w:rsidP="00A50ED5">
      <w:pPr>
        <w:rPr>
          <w:rFonts w:ascii="Arial" w:hAnsi="Arial" w:cs="Arial"/>
          <w:lang w:val="en-GB"/>
        </w:rPr>
      </w:pPr>
      <w:r w:rsidRPr="00A50ED5">
        <w:rPr>
          <w:rFonts w:ascii="Arial" w:hAnsi="Arial" w:cs="Arial"/>
        </w:rPr>
        <w:t>•</w:t>
      </w:r>
      <w:r w:rsidRPr="00A50ED5">
        <w:rPr>
          <w:rFonts w:ascii="Arial" w:hAnsi="Arial" w:cs="Arial"/>
        </w:rPr>
        <w:tab/>
        <w:t xml:space="preserve">Fraud by false </w:t>
      </w:r>
      <w:proofErr w:type="gramStart"/>
      <w:r w:rsidRPr="00A50ED5">
        <w:rPr>
          <w:rFonts w:ascii="Arial" w:hAnsi="Arial" w:cs="Arial"/>
        </w:rPr>
        <w:t>representation;</w:t>
      </w:r>
      <w:proofErr w:type="gramEnd"/>
      <w:r w:rsidRPr="00A50ED5">
        <w:rPr>
          <w:rFonts w:ascii="Arial" w:hAnsi="Arial" w:cs="Arial"/>
        </w:rPr>
        <w:t xml:space="preserve"> </w:t>
      </w:r>
    </w:p>
    <w:p w14:paraId="7A010A8E" w14:textId="77777777" w:rsidR="00A50ED5" w:rsidRPr="00A50ED5" w:rsidRDefault="00A50ED5" w:rsidP="00A50ED5">
      <w:pPr>
        <w:rPr>
          <w:rFonts w:ascii="Arial" w:hAnsi="Arial" w:cs="Arial"/>
          <w:lang w:val="en-GB"/>
        </w:rPr>
      </w:pPr>
      <w:r w:rsidRPr="00A50ED5">
        <w:rPr>
          <w:rFonts w:ascii="Arial" w:hAnsi="Arial" w:cs="Arial"/>
        </w:rPr>
        <w:t>•</w:t>
      </w:r>
      <w:r w:rsidRPr="00A50ED5">
        <w:rPr>
          <w:rFonts w:ascii="Arial" w:hAnsi="Arial" w:cs="Arial"/>
        </w:rPr>
        <w:tab/>
        <w:t xml:space="preserve">Fraud by failing to disclose information; and </w:t>
      </w:r>
    </w:p>
    <w:p w14:paraId="14FEEEA9" w14:textId="77777777" w:rsidR="00A50ED5" w:rsidRPr="00A50ED5" w:rsidRDefault="00A50ED5" w:rsidP="00A50ED5">
      <w:pPr>
        <w:rPr>
          <w:rFonts w:ascii="Arial" w:hAnsi="Arial" w:cs="Arial"/>
          <w:lang w:val="en-GB"/>
        </w:rPr>
      </w:pPr>
      <w:r w:rsidRPr="00A50ED5">
        <w:rPr>
          <w:rFonts w:ascii="Arial" w:hAnsi="Arial" w:cs="Arial"/>
        </w:rPr>
        <w:t>•</w:t>
      </w:r>
      <w:r w:rsidRPr="00A50ED5">
        <w:rPr>
          <w:rFonts w:ascii="Arial" w:hAnsi="Arial" w:cs="Arial"/>
        </w:rPr>
        <w:tab/>
        <w:t xml:space="preserve">Fraud by abuse of position. </w:t>
      </w:r>
    </w:p>
    <w:p w14:paraId="131693A7" w14:textId="77777777" w:rsidR="00A50ED5" w:rsidRPr="00A50ED5" w:rsidRDefault="00A50ED5" w:rsidP="00A50ED5">
      <w:pPr>
        <w:rPr>
          <w:rFonts w:ascii="Arial" w:hAnsi="Arial" w:cs="Arial"/>
          <w:lang w:val="en-GB"/>
        </w:rPr>
      </w:pPr>
      <w:r w:rsidRPr="00A50ED5">
        <w:rPr>
          <w:rFonts w:ascii="Arial" w:hAnsi="Arial" w:cs="Arial"/>
        </w:rPr>
        <w:t>Section 1(3) sets out the penalties for the offence: these are imprisonment and/or a fine.  The maximum custodial sentence is ten years.</w:t>
      </w:r>
    </w:p>
    <w:p w14:paraId="642B215E" w14:textId="77777777" w:rsidR="00A50ED5" w:rsidRDefault="00A50ED5" w:rsidP="00A50ED5">
      <w:pPr>
        <w:rPr>
          <w:rFonts w:ascii="Arial" w:hAnsi="Arial" w:cs="Arial"/>
        </w:rPr>
      </w:pPr>
      <w:r w:rsidRPr="00A50ED5">
        <w:rPr>
          <w:rFonts w:ascii="Arial" w:hAnsi="Arial" w:cs="Arial"/>
        </w:rPr>
        <w:t xml:space="preserve">Documents produced in the context of an IPO could potentially be caught by the provisions relating to false representation and failing to disclose information.  This might be the case if the issuer knowingly included incorrect information in the prospectus or knowingly omitted relevant </w:t>
      </w:r>
      <w:r w:rsidRPr="00A50ED5">
        <w:rPr>
          <w:rFonts w:ascii="Arial" w:hAnsi="Arial" w:cs="Arial"/>
        </w:rPr>
        <w:lastRenderedPageBreak/>
        <w:t>information from it. Directors may be liable for the fraud of the company if it is committed with their consent or connivance.</w:t>
      </w:r>
    </w:p>
    <w:p w14:paraId="28345E80" w14:textId="77777777" w:rsidR="006523F4" w:rsidRPr="00A50ED5" w:rsidRDefault="006523F4" w:rsidP="00A50ED5">
      <w:pPr>
        <w:rPr>
          <w:rFonts w:ascii="Arial" w:hAnsi="Arial" w:cs="Arial"/>
          <w:lang w:val="en-GB"/>
        </w:rPr>
      </w:pPr>
    </w:p>
    <w:p w14:paraId="1FE183E9" w14:textId="6C17C699" w:rsidR="00A50ED5" w:rsidRPr="00A50ED5" w:rsidRDefault="00A50ED5" w:rsidP="00A50ED5">
      <w:pPr>
        <w:rPr>
          <w:rFonts w:ascii="Arial" w:hAnsi="Arial" w:cs="Arial"/>
          <w:lang w:val="en-GB"/>
        </w:rPr>
      </w:pPr>
      <w:r w:rsidRPr="00A50ED5">
        <w:rPr>
          <w:rFonts w:ascii="Arial" w:hAnsi="Arial" w:cs="Arial"/>
          <w:b/>
          <w:bCs/>
        </w:rPr>
        <w:t xml:space="preserve">Liability of the sponsor - </w:t>
      </w:r>
      <w:r w:rsidRPr="00A50ED5">
        <w:rPr>
          <w:rFonts w:ascii="Arial" w:hAnsi="Arial" w:cs="Arial"/>
          <w:b/>
          <w:bCs/>
          <w:lang w:val="en-GB"/>
        </w:rPr>
        <w:t xml:space="preserve">Sponsor duties under the </w:t>
      </w:r>
      <w:r w:rsidR="002256C2">
        <w:rPr>
          <w:rFonts w:ascii="Arial" w:hAnsi="Arial" w:cs="Arial"/>
          <w:b/>
          <w:bCs/>
          <w:lang w:val="en-GB"/>
        </w:rPr>
        <w:t>UK</w:t>
      </w:r>
      <w:r w:rsidRPr="00A50ED5">
        <w:rPr>
          <w:rFonts w:ascii="Arial" w:hAnsi="Arial" w:cs="Arial"/>
          <w:b/>
          <w:bCs/>
          <w:lang w:val="en-GB"/>
        </w:rPr>
        <w:t>LRs</w:t>
      </w:r>
    </w:p>
    <w:p w14:paraId="696F04BD" w14:textId="68684F5F" w:rsidR="00816188" w:rsidRPr="00816188" w:rsidRDefault="002256C2" w:rsidP="00816188">
      <w:pPr>
        <w:rPr>
          <w:rFonts w:ascii="Arial" w:hAnsi="Arial" w:cs="Arial"/>
          <w:lang w:val="en-GB"/>
        </w:rPr>
      </w:pPr>
      <w:r>
        <w:rPr>
          <w:rFonts w:ascii="Arial" w:hAnsi="Arial" w:cs="Arial"/>
          <w:lang w:val="en-GB"/>
        </w:rPr>
        <w:t>UK</w:t>
      </w:r>
      <w:r w:rsidR="00816188" w:rsidRPr="00816188">
        <w:rPr>
          <w:rFonts w:ascii="Arial" w:hAnsi="Arial" w:cs="Arial"/>
          <w:lang w:val="en-GB"/>
        </w:rPr>
        <w:t xml:space="preserve">LR </w:t>
      </w:r>
      <w:r w:rsidR="00D7787D">
        <w:rPr>
          <w:rFonts w:ascii="Arial" w:hAnsi="Arial" w:cs="Arial"/>
          <w:lang w:val="en-GB"/>
        </w:rPr>
        <w:t>2</w:t>
      </w:r>
      <w:r>
        <w:rPr>
          <w:rFonts w:ascii="Arial" w:hAnsi="Arial" w:cs="Arial"/>
          <w:lang w:val="en-GB"/>
        </w:rPr>
        <w:t>4</w:t>
      </w:r>
      <w:r w:rsidR="00816188" w:rsidRPr="00816188">
        <w:rPr>
          <w:rFonts w:ascii="Arial" w:hAnsi="Arial" w:cs="Arial"/>
          <w:lang w:val="en-GB"/>
        </w:rPr>
        <w:t xml:space="preserve"> sets out in some detail the role and duties of a sponsor. Essentially, a sponsor must provide assurance to the FCA that the responsibilities of the applicant under the </w:t>
      </w:r>
      <w:r w:rsidR="00306DB5">
        <w:rPr>
          <w:rFonts w:ascii="Arial" w:hAnsi="Arial" w:cs="Arial"/>
          <w:lang w:val="en-GB"/>
        </w:rPr>
        <w:t>UK</w:t>
      </w:r>
      <w:r w:rsidR="00816188" w:rsidRPr="00816188">
        <w:rPr>
          <w:rFonts w:ascii="Arial" w:hAnsi="Arial" w:cs="Arial"/>
          <w:lang w:val="en-GB"/>
        </w:rPr>
        <w:t xml:space="preserve">LRs have been met and guide the applicant in understanding and meeting its responsibilities under the </w:t>
      </w:r>
      <w:r w:rsidR="00306DB5">
        <w:rPr>
          <w:rFonts w:ascii="Arial" w:hAnsi="Arial" w:cs="Arial"/>
          <w:lang w:val="en-GB"/>
        </w:rPr>
        <w:t>UK</w:t>
      </w:r>
      <w:r w:rsidR="00816188" w:rsidRPr="00816188">
        <w:rPr>
          <w:rFonts w:ascii="Arial" w:hAnsi="Arial" w:cs="Arial"/>
          <w:lang w:val="en-GB"/>
        </w:rPr>
        <w:t>LRs, under the transparency rules in the DTRs, and under the disclosure obligations in UK MAR (</w:t>
      </w:r>
      <w:r w:rsidR="00EA593A">
        <w:rPr>
          <w:rFonts w:ascii="Arial" w:hAnsi="Arial" w:cs="Arial"/>
          <w:lang w:val="en-GB"/>
        </w:rPr>
        <w:t>UK</w:t>
      </w:r>
      <w:r w:rsidR="00816188" w:rsidRPr="00816188">
        <w:rPr>
          <w:rFonts w:ascii="Arial" w:hAnsi="Arial" w:cs="Arial"/>
          <w:lang w:val="en-GB"/>
        </w:rPr>
        <w:t xml:space="preserve">LR </w:t>
      </w:r>
      <w:r w:rsidR="00EA593A">
        <w:rPr>
          <w:rFonts w:ascii="Arial" w:hAnsi="Arial" w:cs="Arial"/>
          <w:lang w:val="en-GB"/>
        </w:rPr>
        <w:t>24</w:t>
      </w:r>
      <w:r w:rsidR="00816188" w:rsidRPr="00816188">
        <w:rPr>
          <w:rFonts w:ascii="Arial" w:hAnsi="Arial" w:cs="Arial"/>
          <w:lang w:val="en-GB"/>
        </w:rPr>
        <w:t>.</w:t>
      </w:r>
      <w:r w:rsidR="00EA593A">
        <w:rPr>
          <w:rFonts w:ascii="Arial" w:hAnsi="Arial" w:cs="Arial"/>
          <w:lang w:val="en-GB"/>
        </w:rPr>
        <w:t>2</w:t>
      </w:r>
      <w:r w:rsidR="00816188" w:rsidRPr="00816188">
        <w:rPr>
          <w:rFonts w:ascii="Arial" w:hAnsi="Arial" w:cs="Arial"/>
          <w:lang w:val="en-GB"/>
        </w:rPr>
        <w:t xml:space="preserve">.1).  In this context, the sponsor is subject to a duty to provide to the FCA any explanation or confirmation it reasonably requires for the purposes of ensuring that the </w:t>
      </w:r>
      <w:r w:rsidR="00306DB5">
        <w:rPr>
          <w:rFonts w:ascii="Arial" w:hAnsi="Arial" w:cs="Arial"/>
          <w:lang w:val="en-GB"/>
        </w:rPr>
        <w:t>UK</w:t>
      </w:r>
      <w:r w:rsidR="00816188" w:rsidRPr="00816188">
        <w:rPr>
          <w:rFonts w:ascii="Arial" w:hAnsi="Arial" w:cs="Arial"/>
          <w:lang w:val="en-GB"/>
        </w:rPr>
        <w:t>LRs are being complied with by an applicant or a listed company (</w:t>
      </w:r>
      <w:r w:rsidR="008F5217">
        <w:rPr>
          <w:rFonts w:ascii="Arial" w:hAnsi="Arial" w:cs="Arial"/>
          <w:lang w:val="en-GB"/>
        </w:rPr>
        <w:t>UKLR 24.2.2</w:t>
      </w:r>
      <w:r w:rsidR="00816188" w:rsidRPr="00816188">
        <w:rPr>
          <w:rFonts w:ascii="Arial" w:hAnsi="Arial" w:cs="Arial"/>
          <w:lang w:val="en-GB"/>
        </w:rPr>
        <w:t>). The sponsor must also take all reasonable steps to ensure that any communication or information it provides to the FCA in carrying out the sponsor service is, to the best of its knowledge and belief, accurate and complete in all material respects and ensure that it provides the FCA with any information of which it becomes aware which materially affects the accuracy or completeness of previously provided information (</w:t>
      </w:r>
      <w:r w:rsidR="009C4C01">
        <w:rPr>
          <w:rFonts w:ascii="Arial" w:hAnsi="Arial" w:cs="Arial"/>
          <w:lang w:val="en-GB"/>
        </w:rPr>
        <w:t>UKLR</w:t>
      </w:r>
      <w:r w:rsidR="00B028B3">
        <w:rPr>
          <w:rFonts w:ascii="Arial" w:hAnsi="Arial" w:cs="Arial"/>
          <w:lang w:val="en-GB"/>
        </w:rPr>
        <w:t xml:space="preserve"> </w:t>
      </w:r>
      <w:r w:rsidR="009C4C01">
        <w:rPr>
          <w:rFonts w:ascii="Arial" w:hAnsi="Arial" w:cs="Arial"/>
          <w:lang w:val="en-GB"/>
        </w:rPr>
        <w:t>24.2.2</w:t>
      </w:r>
      <w:r w:rsidR="00816188" w:rsidRPr="00816188">
        <w:rPr>
          <w:rFonts w:ascii="Arial" w:hAnsi="Arial" w:cs="Arial"/>
          <w:lang w:val="en-GB"/>
        </w:rPr>
        <w:t>).</w:t>
      </w:r>
    </w:p>
    <w:p w14:paraId="3A19EF61" w14:textId="7A1018D2" w:rsidR="00393EB8" w:rsidRDefault="00816188" w:rsidP="00960FB6">
      <w:pPr>
        <w:rPr>
          <w:rFonts w:ascii="Arial" w:hAnsi="Arial" w:cs="Arial"/>
          <w:lang w:val="en-GB"/>
        </w:rPr>
      </w:pPr>
      <w:r w:rsidRPr="00816188">
        <w:rPr>
          <w:rFonts w:ascii="Arial" w:hAnsi="Arial" w:cs="Arial"/>
        </w:rPr>
        <w:t>A sponsor is the main point of contact with the FCA and the FCA expects to discuss all issues relating to a transaction and any draft or final documentation directly with the sponsor (</w:t>
      </w:r>
      <w:r w:rsidR="00604BD0">
        <w:rPr>
          <w:rFonts w:ascii="Arial" w:hAnsi="Arial" w:cs="Arial"/>
        </w:rPr>
        <w:t>UK</w:t>
      </w:r>
      <w:r w:rsidRPr="00816188">
        <w:rPr>
          <w:rFonts w:ascii="Arial" w:hAnsi="Arial" w:cs="Arial"/>
        </w:rPr>
        <w:t xml:space="preserve">LR </w:t>
      </w:r>
      <w:r w:rsidR="00604BD0">
        <w:rPr>
          <w:rFonts w:ascii="Arial" w:hAnsi="Arial" w:cs="Arial"/>
        </w:rPr>
        <w:t>24.</w:t>
      </w:r>
      <w:r w:rsidR="00F8762D">
        <w:rPr>
          <w:rFonts w:ascii="Arial" w:hAnsi="Arial" w:cs="Arial"/>
        </w:rPr>
        <w:t>2.4</w:t>
      </w:r>
      <w:r w:rsidRPr="00816188">
        <w:rPr>
          <w:rFonts w:ascii="Arial" w:hAnsi="Arial" w:cs="Arial"/>
        </w:rPr>
        <w:t xml:space="preserve">). The sponsor remains responsible for complying with </w:t>
      </w:r>
      <w:r w:rsidR="00005089">
        <w:rPr>
          <w:rFonts w:ascii="Arial" w:hAnsi="Arial" w:cs="Arial"/>
        </w:rPr>
        <w:t>UK</w:t>
      </w:r>
      <w:r w:rsidRPr="00816188">
        <w:rPr>
          <w:rFonts w:ascii="Arial" w:hAnsi="Arial" w:cs="Arial"/>
        </w:rPr>
        <w:t xml:space="preserve">LR </w:t>
      </w:r>
      <w:r w:rsidR="00005089">
        <w:rPr>
          <w:rFonts w:ascii="Arial" w:hAnsi="Arial" w:cs="Arial"/>
        </w:rPr>
        <w:t>24</w:t>
      </w:r>
      <w:r w:rsidRPr="00816188">
        <w:rPr>
          <w:rFonts w:ascii="Arial" w:hAnsi="Arial" w:cs="Arial"/>
        </w:rPr>
        <w:t xml:space="preserve"> even where the sponsor relies on the applicant or a third party when providing an assurance or confirmation to the FCA (</w:t>
      </w:r>
      <w:r w:rsidR="00F8762D">
        <w:rPr>
          <w:rFonts w:ascii="Arial" w:hAnsi="Arial" w:cs="Arial"/>
        </w:rPr>
        <w:t>UKLR 24.2.5</w:t>
      </w:r>
      <w:r w:rsidRPr="00816188">
        <w:rPr>
          <w:rFonts w:ascii="Arial" w:hAnsi="Arial" w:cs="Arial"/>
        </w:rPr>
        <w:t>).</w:t>
      </w:r>
    </w:p>
    <w:p w14:paraId="1B13FCF7" w14:textId="77777777" w:rsidR="00393EB8" w:rsidRDefault="00393EB8" w:rsidP="00960FB6">
      <w:pPr>
        <w:rPr>
          <w:rFonts w:ascii="Arial" w:hAnsi="Arial" w:cs="Arial"/>
          <w:lang w:val="en-GB"/>
        </w:rPr>
      </w:pPr>
    </w:p>
    <w:p w14:paraId="64843ACB" w14:textId="33218BE9" w:rsidR="001B3AC0" w:rsidRDefault="00960FB6" w:rsidP="00960FB6">
      <w:pPr>
        <w:rPr>
          <w:rFonts w:ascii="Arial" w:hAnsi="Arial" w:cs="Arial"/>
        </w:rPr>
      </w:pPr>
      <w:r w:rsidRPr="00960FB6">
        <w:rPr>
          <w:rFonts w:ascii="Arial" w:hAnsi="Arial" w:cs="Arial"/>
        </w:rPr>
        <w:t>The sponsor also has specific obligations to the FCA in relation to the application for admission of equity shares</w:t>
      </w:r>
      <w:r w:rsidR="005B787F">
        <w:rPr>
          <w:rFonts w:ascii="Arial" w:hAnsi="Arial" w:cs="Arial"/>
        </w:rPr>
        <w:t xml:space="preserve"> to the ESCC </w:t>
      </w:r>
      <w:r w:rsidR="001B3AC0">
        <w:rPr>
          <w:rFonts w:ascii="Arial" w:hAnsi="Arial" w:cs="Arial"/>
        </w:rPr>
        <w:t>category</w:t>
      </w:r>
      <w:r w:rsidRPr="00960FB6">
        <w:rPr>
          <w:rFonts w:ascii="Arial" w:hAnsi="Arial" w:cs="Arial"/>
        </w:rPr>
        <w:t xml:space="preserve">.  These obligations are set out in </w:t>
      </w:r>
      <w:r w:rsidR="001536A5">
        <w:rPr>
          <w:rFonts w:ascii="Arial" w:hAnsi="Arial" w:cs="Arial"/>
        </w:rPr>
        <w:t>UK</w:t>
      </w:r>
      <w:r w:rsidRPr="00960FB6">
        <w:rPr>
          <w:rFonts w:ascii="Arial" w:hAnsi="Arial" w:cs="Arial"/>
        </w:rPr>
        <w:t xml:space="preserve">LR </w:t>
      </w:r>
      <w:r w:rsidR="00DD21FC">
        <w:rPr>
          <w:rFonts w:ascii="Arial" w:hAnsi="Arial" w:cs="Arial"/>
        </w:rPr>
        <w:t>24.3.</w:t>
      </w:r>
      <w:r w:rsidR="00830517">
        <w:rPr>
          <w:rFonts w:ascii="Arial" w:hAnsi="Arial" w:cs="Arial"/>
        </w:rPr>
        <w:t>2</w:t>
      </w:r>
      <w:r w:rsidRPr="00960FB6">
        <w:rPr>
          <w:rFonts w:ascii="Arial" w:hAnsi="Arial" w:cs="Arial"/>
        </w:rPr>
        <w:t xml:space="preserve"> (for a new applicant: i.e. an issuer which does not already have equity shares admitted) and </w:t>
      </w:r>
      <w:r w:rsidR="005B787F">
        <w:rPr>
          <w:rFonts w:ascii="Arial" w:hAnsi="Arial" w:cs="Arial"/>
        </w:rPr>
        <w:t>UK</w:t>
      </w:r>
      <w:r w:rsidRPr="00960FB6">
        <w:rPr>
          <w:rFonts w:ascii="Arial" w:hAnsi="Arial" w:cs="Arial"/>
        </w:rPr>
        <w:t xml:space="preserve">LR </w:t>
      </w:r>
      <w:r w:rsidR="005B787F">
        <w:rPr>
          <w:rFonts w:ascii="Arial" w:hAnsi="Arial" w:cs="Arial"/>
        </w:rPr>
        <w:t>24</w:t>
      </w:r>
      <w:r w:rsidR="001B3AC0">
        <w:rPr>
          <w:rFonts w:ascii="Arial" w:hAnsi="Arial" w:cs="Arial"/>
        </w:rPr>
        <w:t>.3.5</w:t>
      </w:r>
      <w:r w:rsidRPr="00960FB6">
        <w:rPr>
          <w:rFonts w:ascii="Arial" w:hAnsi="Arial" w:cs="Arial"/>
        </w:rPr>
        <w:t xml:space="preserve"> (for an applicant which already has equity shares admitted). </w:t>
      </w:r>
    </w:p>
    <w:p w14:paraId="3B70FDFA" w14:textId="29013ED7" w:rsidR="00960FB6" w:rsidRPr="00960FB6" w:rsidRDefault="00960FB6" w:rsidP="00960FB6">
      <w:pPr>
        <w:rPr>
          <w:rFonts w:ascii="Arial" w:hAnsi="Arial" w:cs="Arial"/>
          <w:lang w:val="en-GB"/>
        </w:rPr>
      </w:pPr>
      <w:r w:rsidRPr="00960FB6">
        <w:rPr>
          <w:rFonts w:ascii="Arial" w:hAnsi="Arial" w:cs="Arial"/>
        </w:rPr>
        <w:t>For example, for a new applicant</w:t>
      </w:r>
      <w:r w:rsidR="001B3AC0">
        <w:rPr>
          <w:rFonts w:ascii="Arial" w:hAnsi="Arial" w:cs="Arial"/>
        </w:rPr>
        <w:t xml:space="preserve"> under UKLR 2</w:t>
      </w:r>
      <w:r w:rsidR="007D64E1">
        <w:rPr>
          <w:rFonts w:ascii="Arial" w:hAnsi="Arial" w:cs="Arial"/>
        </w:rPr>
        <w:t>4.3.</w:t>
      </w:r>
      <w:r w:rsidR="00830517">
        <w:rPr>
          <w:rFonts w:ascii="Arial" w:hAnsi="Arial" w:cs="Arial"/>
        </w:rPr>
        <w:t>2</w:t>
      </w:r>
      <w:r w:rsidRPr="00960FB6">
        <w:rPr>
          <w:rFonts w:ascii="Arial" w:hAnsi="Arial" w:cs="Arial"/>
        </w:rPr>
        <w:t xml:space="preserve"> the sponsor must be in a position to confirm that it '…has come to a reasonable opinion, after having </w:t>
      </w:r>
      <w:proofErr w:type="gramStart"/>
      <w:r w:rsidRPr="00960FB6">
        <w:rPr>
          <w:rFonts w:ascii="Arial" w:hAnsi="Arial" w:cs="Arial"/>
        </w:rPr>
        <w:t>made due</w:t>
      </w:r>
      <w:proofErr w:type="gramEnd"/>
      <w:r w:rsidRPr="00960FB6">
        <w:rPr>
          <w:rFonts w:ascii="Arial" w:hAnsi="Arial" w:cs="Arial"/>
        </w:rPr>
        <w:t xml:space="preserve"> and careful enquiry that:</w:t>
      </w:r>
    </w:p>
    <w:p w14:paraId="78CC2C2B" w14:textId="071B7004" w:rsidR="00960FB6" w:rsidRPr="00960FB6" w:rsidRDefault="00960FB6" w:rsidP="00960FB6">
      <w:pPr>
        <w:rPr>
          <w:rFonts w:ascii="Arial" w:hAnsi="Arial" w:cs="Arial"/>
          <w:lang w:val="en-GB"/>
        </w:rPr>
      </w:pPr>
      <w:r w:rsidRPr="00960FB6">
        <w:rPr>
          <w:rFonts w:ascii="Arial" w:hAnsi="Arial" w:cs="Arial"/>
        </w:rPr>
        <w:t>(1)</w:t>
      </w:r>
      <w:r w:rsidRPr="00960FB6">
        <w:rPr>
          <w:rFonts w:ascii="Arial" w:hAnsi="Arial" w:cs="Arial"/>
        </w:rPr>
        <w:tab/>
        <w:t xml:space="preserve">the applicant has satisfied all requirements of the listing rules relevant to an </w:t>
      </w:r>
      <w:r w:rsidRPr="00960FB6">
        <w:rPr>
          <w:rFonts w:ascii="Arial" w:hAnsi="Arial" w:cs="Arial"/>
        </w:rPr>
        <w:tab/>
        <w:t xml:space="preserve">application for admission to </w:t>
      </w:r>
      <w:proofErr w:type="gramStart"/>
      <w:r w:rsidR="008F5500">
        <w:rPr>
          <w:rFonts w:ascii="Arial" w:hAnsi="Arial" w:cs="Arial"/>
        </w:rPr>
        <w:t>admission</w:t>
      </w:r>
      <w:r w:rsidRPr="00960FB6">
        <w:rPr>
          <w:rFonts w:ascii="Arial" w:hAnsi="Arial" w:cs="Arial"/>
        </w:rPr>
        <w:t>;</w:t>
      </w:r>
      <w:proofErr w:type="gramEnd"/>
    </w:p>
    <w:p w14:paraId="4BC77158" w14:textId="0954F65E" w:rsidR="00960FB6" w:rsidRPr="00960FB6" w:rsidRDefault="00960FB6" w:rsidP="00960FB6">
      <w:pPr>
        <w:rPr>
          <w:rFonts w:ascii="Arial" w:hAnsi="Arial" w:cs="Arial"/>
          <w:lang w:val="en-GB"/>
        </w:rPr>
      </w:pPr>
      <w:r w:rsidRPr="00960FB6">
        <w:rPr>
          <w:rFonts w:ascii="Arial" w:hAnsi="Arial" w:cs="Arial"/>
        </w:rPr>
        <w:t>(2)</w:t>
      </w:r>
      <w:r w:rsidRPr="00960FB6">
        <w:rPr>
          <w:rFonts w:ascii="Arial" w:hAnsi="Arial" w:cs="Arial"/>
        </w:rPr>
        <w:tab/>
        <w:t xml:space="preserve">the applicant has satisfied all applicable requirements set out in the prospectus </w:t>
      </w:r>
      <w:r w:rsidRPr="00960FB6">
        <w:rPr>
          <w:rFonts w:ascii="Arial" w:hAnsi="Arial" w:cs="Arial"/>
        </w:rPr>
        <w:tab/>
        <w:t>rules</w:t>
      </w:r>
      <w:proofErr w:type="gramStart"/>
      <w:r w:rsidR="00CA460F">
        <w:rPr>
          <w:rFonts w:ascii="Arial" w:hAnsi="Arial" w:cs="Arial"/>
        </w:rPr>
        <w:t>…..</w:t>
      </w:r>
      <w:proofErr w:type="gramEnd"/>
      <w:r w:rsidR="004C544C">
        <w:rPr>
          <w:rFonts w:ascii="Arial" w:hAnsi="Arial" w:cs="Arial"/>
        </w:rPr>
        <w:t>;</w:t>
      </w:r>
    </w:p>
    <w:p w14:paraId="52C08691" w14:textId="442CD5C7" w:rsidR="00016168" w:rsidRPr="00016168" w:rsidRDefault="00960FB6" w:rsidP="00016168">
      <w:pPr>
        <w:rPr>
          <w:rFonts w:ascii="Arial" w:hAnsi="Arial" w:cs="Arial"/>
        </w:rPr>
      </w:pPr>
      <w:r w:rsidRPr="00960FB6">
        <w:rPr>
          <w:rFonts w:ascii="Arial" w:hAnsi="Arial" w:cs="Arial"/>
        </w:rPr>
        <w:t>(</w:t>
      </w:r>
      <w:r w:rsidR="005A1D28">
        <w:rPr>
          <w:rFonts w:ascii="Arial" w:hAnsi="Arial" w:cs="Arial"/>
        </w:rPr>
        <w:t>3</w:t>
      </w:r>
      <w:r w:rsidRPr="00960FB6">
        <w:rPr>
          <w:rFonts w:ascii="Arial" w:hAnsi="Arial" w:cs="Arial"/>
        </w:rPr>
        <w:t>)</w:t>
      </w:r>
      <w:r w:rsidRPr="00960FB6">
        <w:rPr>
          <w:rFonts w:ascii="Arial" w:hAnsi="Arial" w:cs="Arial"/>
        </w:rPr>
        <w:tab/>
        <w:t xml:space="preserve">the directors of the applicant have a reasonable basis on which to make </w:t>
      </w:r>
      <w:r w:rsidR="004F7A42">
        <w:rPr>
          <w:rFonts w:ascii="Arial" w:hAnsi="Arial" w:cs="Arial"/>
        </w:rPr>
        <w:t>any</w:t>
      </w:r>
      <w:r w:rsidRPr="00960FB6">
        <w:rPr>
          <w:rFonts w:ascii="Arial" w:hAnsi="Arial" w:cs="Arial"/>
        </w:rPr>
        <w:tab/>
        <w:t xml:space="preserve">working capital statement </w:t>
      </w:r>
      <w:r w:rsidR="00016168" w:rsidRPr="00016168">
        <w:rPr>
          <w:rFonts w:ascii="Arial" w:hAnsi="Arial" w:cs="Arial"/>
        </w:rPr>
        <w:t>to in UKLR 24.3.</w:t>
      </w:r>
      <w:proofErr w:type="gramStart"/>
      <w:r w:rsidR="00016168" w:rsidRPr="00016168">
        <w:rPr>
          <w:rFonts w:ascii="Arial" w:hAnsi="Arial" w:cs="Arial"/>
        </w:rPr>
        <w:t>1R</w:t>
      </w:r>
      <w:r w:rsidR="00957BC6">
        <w:rPr>
          <w:rFonts w:ascii="Arial" w:hAnsi="Arial" w:cs="Arial"/>
        </w:rPr>
        <w:t>;</w:t>
      </w:r>
      <w:proofErr w:type="gramEnd"/>
    </w:p>
    <w:p w14:paraId="3EF7559F" w14:textId="350AEB1C" w:rsidR="00016168" w:rsidRPr="00016168" w:rsidRDefault="00016168" w:rsidP="00214D0F">
      <w:pPr>
        <w:ind w:left="720" w:hanging="720"/>
        <w:rPr>
          <w:rFonts w:ascii="Arial" w:hAnsi="Arial" w:cs="Arial"/>
        </w:rPr>
      </w:pPr>
      <w:r w:rsidRPr="00016168">
        <w:rPr>
          <w:rFonts w:ascii="Arial" w:hAnsi="Arial" w:cs="Arial"/>
        </w:rPr>
        <w:t xml:space="preserve">(4) </w:t>
      </w:r>
      <w:r>
        <w:rPr>
          <w:rFonts w:ascii="Arial" w:hAnsi="Arial" w:cs="Arial"/>
        </w:rPr>
        <w:tab/>
      </w:r>
      <w:r w:rsidRPr="00016168">
        <w:rPr>
          <w:rFonts w:ascii="Arial" w:hAnsi="Arial" w:cs="Arial"/>
        </w:rPr>
        <w:t>the directors of the applicant have established procedures which enable the applicant to comply with the listing rules, the disclosure requirements and the transparency rules on an ongoing basis; and</w:t>
      </w:r>
    </w:p>
    <w:p w14:paraId="3D542365" w14:textId="178CB2BA" w:rsidR="00960FB6" w:rsidRDefault="00016168" w:rsidP="001422E3">
      <w:pPr>
        <w:ind w:left="720" w:hanging="720"/>
        <w:rPr>
          <w:rFonts w:ascii="Arial" w:hAnsi="Arial" w:cs="Arial"/>
        </w:rPr>
      </w:pPr>
      <w:r w:rsidRPr="00016168">
        <w:rPr>
          <w:rFonts w:ascii="Arial" w:hAnsi="Arial" w:cs="Arial"/>
        </w:rPr>
        <w:lastRenderedPageBreak/>
        <w:t xml:space="preserve">(5) </w:t>
      </w:r>
      <w:r w:rsidR="001422E3">
        <w:rPr>
          <w:rFonts w:ascii="Arial" w:hAnsi="Arial" w:cs="Arial"/>
        </w:rPr>
        <w:tab/>
      </w:r>
      <w:r w:rsidRPr="00016168">
        <w:rPr>
          <w:rFonts w:ascii="Arial" w:hAnsi="Arial" w:cs="Arial"/>
        </w:rPr>
        <w:t>the directors of the applicant have established procedures which provide a reasonable basis for them to make proper judgements on an ongoing basis as to the financial position and prospects of the applicant and its group.</w:t>
      </w:r>
    </w:p>
    <w:p w14:paraId="75BE152C" w14:textId="77777777" w:rsidR="001422E3" w:rsidRPr="00960FB6" w:rsidRDefault="001422E3" w:rsidP="00214D0F">
      <w:pPr>
        <w:ind w:left="720" w:hanging="720"/>
        <w:rPr>
          <w:rFonts w:ascii="Arial" w:hAnsi="Arial" w:cs="Arial"/>
          <w:lang w:val="en-GB"/>
        </w:rPr>
      </w:pPr>
    </w:p>
    <w:p w14:paraId="2A0E6DF4" w14:textId="07121959" w:rsidR="0023651C" w:rsidRDefault="00B07983" w:rsidP="00960FB6">
      <w:pPr>
        <w:rPr>
          <w:rFonts w:ascii="Arial" w:hAnsi="Arial" w:cs="Arial"/>
          <w:lang w:val="en-GB"/>
        </w:rPr>
      </w:pPr>
      <w:r>
        <w:rPr>
          <w:rFonts w:ascii="Arial" w:hAnsi="Arial" w:cs="Arial"/>
        </w:rPr>
        <w:t>Under UKLR 24.3.3, t</w:t>
      </w:r>
      <w:r w:rsidR="00960FB6" w:rsidRPr="00960FB6">
        <w:rPr>
          <w:rFonts w:ascii="Arial" w:hAnsi="Arial" w:cs="Arial"/>
        </w:rPr>
        <w:t>he sponsor is required to submit to the FCA a standard document called the 'Sponsor's Declaration on an Application for Listing' on the day that the FCA is to consider the approval of the prospectus.  This is the document in which the sponsor is required to give the confirmations referred to above.</w:t>
      </w:r>
    </w:p>
    <w:p w14:paraId="4CEF61A5" w14:textId="77777777" w:rsidR="0023651C" w:rsidRDefault="0023651C" w:rsidP="00960FB6">
      <w:pPr>
        <w:rPr>
          <w:rFonts w:ascii="Arial" w:hAnsi="Arial" w:cs="Arial"/>
          <w:lang w:val="en-GB"/>
        </w:rPr>
      </w:pPr>
    </w:p>
    <w:p w14:paraId="50F9027F" w14:textId="5CA9CF16" w:rsidR="00960FB6" w:rsidRPr="00960FB6" w:rsidRDefault="00960FB6" w:rsidP="00960FB6">
      <w:pPr>
        <w:rPr>
          <w:rFonts w:ascii="Arial" w:hAnsi="Arial" w:cs="Arial"/>
          <w:lang w:val="en-GB"/>
        </w:rPr>
      </w:pPr>
      <w:r w:rsidRPr="00960FB6">
        <w:rPr>
          <w:rFonts w:ascii="Arial" w:hAnsi="Arial" w:cs="Arial"/>
          <w:b/>
          <w:bCs/>
        </w:rPr>
        <w:t xml:space="preserve">Liability of the sponsor - Section 88A FSMA - FCA right to punish breach of </w:t>
      </w:r>
      <w:r w:rsidR="00C61333">
        <w:rPr>
          <w:rFonts w:ascii="Arial" w:hAnsi="Arial" w:cs="Arial"/>
          <w:b/>
          <w:bCs/>
        </w:rPr>
        <w:t>UK</w:t>
      </w:r>
      <w:r w:rsidRPr="00960FB6">
        <w:rPr>
          <w:rFonts w:ascii="Arial" w:hAnsi="Arial" w:cs="Arial"/>
          <w:b/>
          <w:bCs/>
        </w:rPr>
        <w:t>LRs</w:t>
      </w:r>
    </w:p>
    <w:p w14:paraId="266E1DDD" w14:textId="2EC7EBD7" w:rsidR="007F6CC6" w:rsidRPr="007F6CC6" w:rsidRDefault="007F6CC6" w:rsidP="007F6CC6">
      <w:pPr>
        <w:rPr>
          <w:rFonts w:ascii="Arial" w:hAnsi="Arial" w:cs="Arial"/>
          <w:lang w:val="en-GB"/>
        </w:rPr>
      </w:pPr>
      <w:r w:rsidRPr="007F6CC6">
        <w:rPr>
          <w:rFonts w:ascii="Arial" w:hAnsi="Arial" w:cs="Arial"/>
        </w:rPr>
        <w:t xml:space="preserve">Under s.88A FSMA, the FCA may take enforcement action against a sponsor which breaches certain </w:t>
      </w:r>
      <w:r w:rsidR="00C61333">
        <w:rPr>
          <w:rFonts w:ascii="Arial" w:hAnsi="Arial" w:cs="Arial"/>
        </w:rPr>
        <w:t>UK</w:t>
      </w:r>
      <w:r w:rsidRPr="007F6CC6">
        <w:rPr>
          <w:rFonts w:ascii="Arial" w:hAnsi="Arial" w:cs="Arial"/>
        </w:rPr>
        <w:t xml:space="preserve">LRs imposing requirements in relation to the provision of sponsor services or contravenes any of the restrictions attaching to its FCA approval as a sponsor. In such circumstances, the FCA is entitled, pursuant to s.88A(2), to take the following action: </w:t>
      </w:r>
    </w:p>
    <w:p w14:paraId="697C811F" w14:textId="77777777" w:rsidR="007F6CC6" w:rsidRPr="007F6CC6" w:rsidRDefault="007F6CC6" w:rsidP="007F6CC6">
      <w:pPr>
        <w:numPr>
          <w:ilvl w:val="0"/>
          <w:numId w:val="3"/>
        </w:numPr>
        <w:rPr>
          <w:rFonts w:ascii="Arial" w:hAnsi="Arial" w:cs="Arial"/>
          <w:lang w:val="en-GB"/>
        </w:rPr>
      </w:pPr>
      <w:r w:rsidRPr="007F6CC6">
        <w:rPr>
          <w:rFonts w:ascii="Arial" w:hAnsi="Arial" w:cs="Arial"/>
        </w:rPr>
        <w:t xml:space="preserve">impose a financial penalty on the </w:t>
      </w:r>
      <w:proofErr w:type="gramStart"/>
      <w:r w:rsidRPr="007F6CC6">
        <w:rPr>
          <w:rFonts w:ascii="Arial" w:hAnsi="Arial" w:cs="Arial"/>
        </w:rPr>
        <w:t>sponsor;</w:t>
      </w:r>
      <w:proofErr w:type="gramEnd"/>
    </w:p>
    <w:p w14:paraId="68727A4B" w14:textId="77777777" w:rsidR="007F6CC6" w:rsidRPr="007F6CC6" w:rsidRDefault="007F6CC6" w:rsidP="007F6CC6">
      <w:pPr>
        <w:numPr>
          <w:ilvl w:val="0"/>
          <w:numId w:val="3"/>
        </w:numPr>
        <w:rPr>
          <w:rFonts w:ascii="Arial" w:hAnsi="Arial" w:cs="Arial"/>
          <w:lang w:val="en-GB"/>
        </w:rPr>
      </w:pPr>
      <w:r w:rsidRPr="007F6CC6">
        <w:rPr>
          <w:rFonts w:ascii="Arial" w:hAnsi="Arial" w:cs="Arial"/>
        </w:rPr>
        <w:t xml:space="preserve">suspend the sponsor's approval to act as a sponsor for a period of up to 12 </w:t>
      </w:r>
      <w:proofErr w:type="gramStart"/>
      <w:r w:rsidRPr="007F6CC6">
        <w:rPr>
          <w:rFonts w:ascii="Arial" w:hAnsi="Arial" w:cs="Arial"/>
        </w:rPr>
        <w:t>months;</w:t>
      </w:r>
      <w:proofErr w:type="gramEnd"/>
    </w:p>
    <w:p w14:paraId="0ACA8F01" w14:textId="77777777" w:rsidR="007F6CC6" w:rsidRPr="007F6CC6" w:rsidRDefault="007F6CC6" w:rsidP="007F6CC6">
      <w:pPr>
        <w:numPr>
          <w:ilvl w:val="0"/>
          <w:numId w:val="3"/>
        </w:numPr>
        <w:rPr>
          <w:rFonts w:ascii="Arial" w:hAnsi="Arial" w:cs="Arial"/>
          <w:lang w:val="en-GB"/>
        </w:rPr>
      </w:pPr>
      <w:r w:rsidRPr="007F6CC6">
        <w:rPr>
          <w:rFonts w:ascii="Arial" w:hAnsi="Arial" w:cs="Arial"/>
        </w:rPr>
        <w:t>impose limitations or restrictions on the sponsor's approval to act as a sponsor for a period of up to 12 months; and/or</w:t>
      </w:r>
    </w:p>
    <w:p w14:paraId="17DCC13A" w14:textId="77777777" w:rsidR="007F6CC6" w:rsidRPr="00214D0F" w:rsidRDefault="007F6CC6" w:rsidP="007F6CC6">
      <w:pPr>
        <w:numPr>
          <w:ilvl w:val="0"/>
          <w:numId w:val="3"/>
        </w:numPr>
        <w:rPr>
          <w:rFonts w:ascii="Arial" w:hAnsi="Arial" w:cs="Arial"/>
          <w:lang w:val="en-GB"/>
        </w:rPr>
      </w:pPr>
      <w:r w:rsidRPr="007F6CC6">
        <w:rPr>
          <w:rFonts w:ascii="Arial" w:hAnsi="Arial" w:cs="Arial"/>
        </w:rPr>
        <w:t xml:space="preserve">publish a statement of censure in relation to the sponsor. </w:t>
      </w:r>
    </w:p>
    <w:p w14:paraId="175113A4" w14:textId="77777777" w:rsidR="00825312" w:rsidRPr="0023651C" w:rsidRDefault="00825312" w:rsidP="00214D0F">
      <w:pPr>
        <w:ind w:left="720"/>
        <w:rPr>
          <w:rFonts w:ascii="Arial" w:hAnsi="Arial" w:cs="Arial"/>
          <w:lang w:val="en-GB"/>
        </w:rPr>
      </w:pPr>
    </w:p>
    <w:p w14:paraId="2C078E63" w14:textId="459B5B1C" w:rsidR="00365578" w:rsidRDefault="007F6CC6">
      <w:pPr>
        <w:rPr>
          <w:rFonts w:ascii="Arial" w:hAnsi="Arial" w:cs="Arial"/>
          <w:b/>
          <w:bCs/>
        </w:rPr>
      </w:pPr>
      <w:r w:rsidRPr="007F6CC6">
        <w:rPr>
          <w:rFonts w:ascii="Arial" w:hAnsi="Arial" w:cs="Arial"/>
          <w:b/>
          <w:bCs/>
        </w:rPr>
        <w:t>Liability of the sponsor – Section 88E FSMA – broader FCA power to punish sponsors</w:t>
      </w:r>
    </w:p>
    <w:p w14:paraId="35D05C65" w14:textId="77777777" w:rsidR="00282E10" w:rsidRPr="00282E10" w:rsidRDefault="00282E10" w:rsidP="00282E10">
      <w:pPr>
        <w:rPr>
          <w:rFonts w:ascii="Arial" w:hAnsi="Arial" w:cs="Arial"/>
          <w:lang w:val="en-GB"/>
        </w:rPr>
      </w:pPr>
      <w:r w:rsidRPr="00282E10">
        <w:rPr>
          <w:rFonts w:ascii="Arial" w:hAnsi="Arial" w:cs="Arial"/>
        </w:rPr>
        <w:t xml:space="preserve">In addition to its specific powers under s.88A FSMA, the FCA has a broader power under s.88E FSMA to suspend a sponsor's approval as sponsor or impose restrictions on such approval if it considers this desirable in the context of the FCA's operational objectives (which include protecting and enhancing the integrity of the UK financial system). </w:t>
      </w:r>
    </w:p>
    <w:p w14:paraId="02DA23AD" w14:textId="77777777" w:rsidR="00282E10" w:rsidRPr="00282E10" w:rsidRDefault="00282E10" w:rsidP="00282E10">
      <w:pPr>
        <w:rPr>
          <w:rFonts w:ascii="Arial" w:hAnsi="Arial" w:cs="Arial"/>
          <w:b/>
          <w:bCs/>
          <w:lang w:val="en-GB"/>
        </w:rPr>
      </w:pPr>
      <w:r w:rsidRPr="00282E10">
        <w:rPr>
          <w:rFonts w:ascii="Arial" w:hAnsi="Arial" w:cs="Arial"/>
          <w:b/>
          <w:bCs/>
        </w:rPr>
        <w:t>Liability of the sponsor – Section 88 FSMA – cancellation of approval as sponsor</w:t>
      </w:r>
    </w:p>
    <w:p w14:paraId="722E5B7A" w14:textId="77777777" w:rsidR="00A7773F" w:rsidRPr="00A7773F" w:rsidRDefault="00A7773F" w:rsidP="00A7773F">
      <w:pPr>
        <w:rPr>
          <w:rFonts w:ascii="Arial" w:hAnsi="Arial" w:cs="Arial"/>
          <w:lang w:val="en-GB"/>
        </w:rPr>
      </w:pPr>
      <w:r w:rsidRPr="00A7773F">
        <w:rPr>
          <w:rFonts w:ascii="Arial" w:hAnsi="Arial" w:cs="Arial"/>
        </w:rPr>
        <w:t xml:space="preserve">The FCA can also effectively stop a sponsor </w:t>
      </w:r>
      <w:proofErr w:type="spellStart"/>
      <w:r w:rsidRPr="00A7773F">
        <w:rPr>
          <w:rFonts w:ascii="Arial" w:hAnsi="Arial" w:cs="Arial"/>
        </w:rPr>
        <w:t>practising</w:t>
      </w:r>
      <w:proofErr w:type="spellEnd"/>
      <w:r w:rsidRPr="00A7773F">
        <w:rPr>
          <w:rFonts w:ascii="Arial" w:hAnsi="Arial" w:cs="Arial"/>
        </w:rPr>
        <w:t xml:space="preserve"> by cancelling its approval as a sponsor under s.88 (4) FSMA. </w:t>
      </w:r>
    </w:p>
    <w:p w14:paraId="7CFBE595" w14:textId="77777777" w:rsidR="00C82698" w:rsidRDefault="00C82698" w:rsidP="00A7773F">
      <w:pPr>
        <w:rPr>
          <w:rFonts w:ascii="Arial" w:hAnsi="Arial" w:cs="Arial"/>
          <w:b/>
          <w:bCs/>
          <w:lang w:val="en-GB"/>
        </w:rPr>
      </w:pPr>
    </w:p>
    <w:p w14:paraId="173844B1" w14:textId="74B89EB5" w:rsidR="00C82698" w:rsidRDefault="00C82698" w:rsidP="00A7773F">
      <w:pPr>
        <w:rPr>
          <w:rFonts w:ascii="Arial" w:hAnsi="Arial" w:cs="Arial"/>
          <w:b/>
          <w:bCs/>
          <w:lang w:val="en-GB"/>
        </w:rPr>
      </w:pPr>
      <w:r>
        <w:rPr>
          <w:rFonts w:ascii="Arial" w:hAnsi="Arial" w:cs="Arial"/>
          <w:b/>
          <w:bCs/>
          <w:lang w:val="en-GB"/>
        </w:rPr>
        <w:t>Summary</w:t>
      </w:r>
    </w:p>
    <w:p w14:paraId="47BF2924" w14:textId="0FB2203C" w:rsidR="00A7773F" w:rsidRPr="00A7773F" w:rsidRDefault="00A7773F" w:rsidP="00A7773F">
      <w:pPr>
        <w:rPr>
          <w:rFonts w:ascii="Arial" w:hAnsi="Arial" w:cs="Arial"/>
          <w:lang w:val="en-GB"/>
        </w:rPr>
      </w:pPr>
      <w:r w:rsidRPr="00A7773F">
        <w:rPr>
          <w:rFonts w:ascii="Arial" w:hAnsi="Arial" w:cs="Arial"/>
          <w:b/>
          <w:bCs/>
          <w:lang w:val="en-GB"/>
        </w:rPr>
        <w:t>Liability for the prospectus – civil (non FSMA), criminal and liability of sponsors</w:t>
      </w:r>
      <w:r>
        <w:rPr>
          <w:rFonts w:ascii="Arial" w:hAnsi="Arial" w:cs="Arial"/>
          <w:b/>
          <w:bCs/>
          <w:lang w:val="en-GB"/>
        </w:rPr>
        <w:t xml:space="preserve"> summary</w:t>
      </w:r>
    </w:p>
    <w:p w14:paraId="30E3510E" w14:textId="77777777" w:rsidR="00A7773F" w:rsidRPr="00A7773F" w:rsidRDefault="00A7773F" w:rsidP="00A7773F">
      <w:pPr>
        <w:numPr>
          <w:ilvl w:val="0"/>
          <w:numId w:val="4"/>
        </w:numPr>
        <w:rPr>
          <w:rFonts w:ascii="Arial" w:hAnsi="Arial" w:cs="Arial"/>
          <w:lang w:val="en-GB"/>
        </w:rPr>
      </w:pPr>
      <w:r w:rsidRPr="00A7773F">
        <w:rPr>
          <w:rFonts w:ascii="Arial" w:hAnsi="Arial" w:cs="Arial"/>
        </w:rPr>
        <w:t>Persons issuing a prospectus which contains a misstatement can be liable for negligent misstatement (a species of negligence).</w:t>
      </w:r>
    </w:p>
    <w:p w14:paraId="1BA960C0" w14:textId="77777777" w:rsidR="00A7773F" w:rsidRPr="00A7773F" w:rsidRDefault="00A7773F" w:rsidP="00A7773F">
      <w:pPr>
        <w:numPr>
          <w:ilvl w:val="0"/>
          <w:numId w:val="4"/>
        </w:numPr>
        <w:rPr>
          <w:rFonts w:ascii="Arial" w:hAnsi="Arial" w:cs="Arial"/>
          <w:lang w:val="en-GB"/>
        </w:rPr>
      </w:pPr>
      <w:r w:rsidRPr="00A7773F">
        <w:rPr>
          <w:rFonts w:ascii="Arial" w:hAnsi="Arial" w:cs="Arial"/>
        </w:rPr>
        <w:t xml:space="preserve">Any untrue statement of fact inducing someone to </w:t>
      </w:r>
      <w:proofErr w:type="gramStart"/>
      <w:r w:rsidRPr="00A7773F">
        <w:rPr>
          <w:rFonts w:ascii="Arial" w:hAnsi="Arial" w:cs="Arial"/>
        </w:rPr>
        <w:t>enter into</w:t>
      </w:r>
      <w:proofErr w:type="gramEnd"/>
      <w:r w:rsidRPr="00A7773F">
        <w:rPr>
          <w:rFonts w:ascii="Arial" w:hAnsi="Arial" w:cs="Arial"/>
        </w:rPr>
        <w:t xml:space="preserve"> a contract could form the basis of a claim for misrepresentation.</w:t>
      </w:r>
    </w:p>
    <w:p w14:paraId="4BF17759" w14:textId="77777777" w:rsidR="00A7773F" w:rsidRPr="00A7773F" w:rsidRDefault="00A7773F" w:rsidP="00A7773F">
      <w:pPr>
        <w:numPr>
          <w:ilvl w:val="0"/>
          <w:numId w:val="4"/>
        </w:numPr>
        <w:rPr>
          <w:rFonts w:ascii="Arial" w:hAnsi="Arial" w:cs="Arial"/>
          <w:lang w:val="en-GB"/>
        </w:rPr>
      </w:pPr>
      <w:r w:rsidRPr="00A7773F">
        <w:rPr>
          <w:rFonts w:ascii="Arial" w:hAnsi="Arial" w:cs="Arial"/>
          <w:lang w:val="en-GB"/>
        </w:rPr>
        <w:lastRenderedPageBreak/>
        <w:t>An investor could also have a claim for breach of contract.</w:t>
      </w:r>
    </w:p>
    <w:p w14:paraId="097C63C2" w14:textId="77777777" w:rsidR="00A7773F" w:rsidRPr="00A7773F" w:rsidRDefault="00A7773F" w:rsidP="00A7773F">
      <w:pPr>
        <w:numPr>
          <w:ilvl w:val="0"/>
          <w:numId w:val="4"/>
        </w:numPr>
        <w:rPr>
          <w:rFonts w:ascii="Arial" w:hAnsi="Arial" w:cs="Arial"/>
          <w:lang w:val="en-GB"/>
        </w:rPr>
      </w:pPr>
      <w:r w:rsidRPr="00A7773F">
        <w:rPr>
          <w:rFonts w:ascii="Arial" w:hAnsi="Arial" w:cs="Arial"/>
          <w:lang w:val="en-GB"/>
        </w:rPr>
        <w:t>False information in a prospectus could also breach statutory provisions relating to market manipulation.</w:t>
      </w:r>
    </w:p>
    <w:p w14:paraId="040BB577" w14:textId="77777777" w:rsidR="00A7773F" w:rsidRPr="00A7773F" w:rsidRDefault="00A7773F" w:rsidP="00A7773F">
      <w:pPr>
        <w:numPr>
          <w:ilvl w:val="0"/>
          <w:numId w:val="4"/>
        </w:numPr>
        <w:rPr>
          <w:rFonts w:ascii="Arial" w:hAnsi="Arial" w:cs="Arial"/>
          <w:lang w:val="en-GB"/>
        </w:rPr>
      </w:pPr>
      <w:r w:rsidRPr="00A7773F">
        <w:rPr>
          <w:rFonts w:ascii="Arial" w:hAnsi="Arial" w:cs="Arial"/>
          <w:lang w:val="en-GB"/>
        </w:rPr>
        <w:t>In addition to these civil liabilities, the inclusion of information in a prospectus known to be false / misleading can give rise to criminal penalties and/or amount to criminal fraud.</w:t>
      </w:r>
    </w:p>
    <w:p w14:paraId="503D3B3F" w14:textId="77777777" w:rsidR="00A7773F" w:rsidRPr="00A7773F" w:rsidRDefault="00A7773F" w:rsidP="00A7773F">
      <w:pPr>
        <w:numPr>
          <w:ilvl w:val="0"/>
          <w:numId w:val="4"/>
        </w:numPr>
        <w:rPr>
          <w:rFonts w:ascii="Arial" w:hAnsi="Arial" w:cs="Arial"/>
          <w:lang w:val="en-GB"/>
        </w:rPr>
      </w:pPr>
      <w:r w:rsidRPr="00A7773F">
        <w:rPr>
          <w:rFonts w:ascii="Arial" w:hAnsi="Arial" w:cs="Arial"/>
          <w:lang w:val="en-GB"/>
        </w:rPr>
        <w:t>Sponsors also face potential liability.</w:t>
      </w:r>
    </w:p>
    <w:p w14:paraId="0754D46F" w14:textId="77777777" w:rsidR="007F6CC6" w:rsidRPr="00282E10" w:rsidRDefault="007F6CC6">
      <w:pPr>
        <w:rPr>
          <w:rFonts w:ascii="Arial" w:hAnsi="Arial" w:cs="Arial"/>
        </w:rPr>
      </w:pPr>
    </w:p>
    <w:sectPr w:rsidR="007F6CC6" w:rsidRPr="0028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1ED4"/>
    <w:multiLevelType w:val="hybridMultilevel"/>
    <w:tmpl w:val="B1AEE03E"/>
    <w:lvl w:ilvl="0" w:tplc="28D4DAF2">
      <w:start w:val="1"/>
      <w:numFmt w:val="bullet"/>
      <w:lvlText w:val="•"/>
      <w:lvlJc w:val="left"/>
      <w:pPr>
        <w:tabs>
          <w:tab w:val="num" w:pos="720"/>
        </w:tabs>
        <w:ind w:left="720" w:hanging="360"/>
      </w:pPr>
      <w:rPr>
        <w:rFonts w:ascii="Arial" w:hAnsi="Arial" w:hint="default"/>
      </w:rPr>
    </w:lvl>
    <w:lvl w:ilvl="1" w:tplc="EE3E6872" w:tentative="1">
      <w:start w:val="1"/>
      <w:numFmt w:val="bullet"/>
      <w:lvlText w:val="•"/>
      <w:lvlJc w:val="left"/>
      <w:pPr>
        <w:tabs>
          <w:tab w:val="num" w:pos="1440"/>
        </w:tabs>
        <w:ind w:left="1440" w:hanging="360"/>
      </w:pPr>
      <w:rPr>
        <w:rFonts w:ascii="Arial" w:hAnsi="Arial" w:hint="default"/>
      </w:rPr>
    </w:lvl>
    <w:lvl w:ilvl="2" w:tplc="33686F44" w:tentative="1">
      <w:start w:val="1"/>
      <w:numFmt w:val="bullet"/>
      <w:lvlText w:val="•"/>
      <w:lvlJc w:val="left"/>
      <w:pPr>
        <w:tabs>
          <w:tab w:val="num" w:pos="2160"/>
        </w:tabs>
        <w:ind w:left="2160" w:hanging="360"/>
      </w:pPr>
      <w:rPr>
        <w:rFonts w:ascii="Arial" w:hAnsi="Arial" w:hint="default"/>
      </w:rPr>
    </w:lvl>
    <w:lvl w:ilvl="3" w:tplc="DD348F12" w:tentative="1">
      <w:start w:val="1"/>
      <w:numFmt w:val="bullet"/>
      <w:lvlText w:val="•"/>
      <w:lvlJc w:val="left"/>
      <w:pPr>
        <w:tabs>
          <w:tab w:val="num" w:pos="2880"/>
        </w:tabs>
        <w:ind w:left="2880" w:hanging="360"/>
      </w:pPr>
      <w:rPr>
        <w:rFonts w:ascii="Arial" w:hAnsi="Arial" w:hint="default"/>
      </w:rPr>
    </w:lvl>
    <w:lvl w:ilvl="4" w:tplc="41385A22" w:tentative="1">
      <w:start w:val="1"/>
      <w:numFmt w:val="bullet"/>
      <w:lvlText w:val="•"/>
      <w:lvlJc w:val="left"/>
      <w:pPr>
        <w:tabs>
          <w:tab w:val="num" w:pos="3600"/>
        </w:tabs>
        <w:ind w:left="3600" w:hanging="360"/>
      </w:pPr>
      <w:rPr>
        <w:rFonts w:ascii="Arial" w:hAnsi="Arial" w:hint="default"/>
      </w:rPr>
    </w:lvl>
    <w:lvl w:ilvl="5" w:tplc="48AC59D4" w:tentative="1">
      <w:start w:val="1"/>
      <w:numFmt w:val="bullet"/>
      <w:lvlText w:val="•"/>
      <w:lvlJc w:val="left"/>
      <w:pPr>
        <w:tabs>
          <w:tab w:val="num" w:pos="4320"/>
        </w:tabs>
        <w:ind w:left="4320" w:hanging="360"/>
      </w:pPr>
      <w:rPr>
        <w:rFonts w:ascii="Arial" w:hAnsi="Arial" w:hint="default"/>
      </w:rPr>
    </w:lvl>
    <w:lvl w:ilvl="6" w:tplc="7B6A0942" w:tentative="1">
      <w:start w:val="1"/>
      <w:numFmt w:val="bullet"/>
      <w:lvlText w:val="•"/>
      <w:lvlJc w:val="left"/>
      <w:pPr>
        <w:tabs>
          <w:tab w:val="num" w:pos="5040"/>
        </w:tabs>
        <w:ind w:left="5040" w:hanging="360"/>
      </w:pPr>
      <w:rPr>
        <w:rFonts w:ascii="Arial" w:hAnsi="Arial" w:hint="default"/>
      </w:rPr>
    </w:lvl>
    <w:lvl w:ilvl="7" w:tplc="9278B212" w:tentative="1">
      <w:start w:val="1"/>
      <w:numFmt w:val="bullet"/>
      <w:lvlText w:val="•"/>
      <w:lvlJc w:val="left"/>
      <w:pPr>
        <w:tabs>
          <w:tab w:val="num" w:pos="5760"/>
        </w:tabs>
        <w:ind w:left="5760" w:hanging="360"/>
      </w:pPr>
      <w:rPr>
        <w:rFonts w:ascii="Arial" w:hAnsi="Arial" w:hint="default"/>
      </w:rPr>
    </w:lvl>
    <w:lvl w:ilvl="8" w:tplc="E73A5C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330D50"/>
    <w:multiLevelType w:val="hybridMultilevel"/>
    <w:tmpl w:val="B394AA26"/>
    <w:lvl w:ilvl="0" w:tplc="007E4622">
      <w:start w:val="1"/>
      <w:numFmt w:val="bullet"/>
      <w:lvlText w:val="•"/>
      <w:lvlJc w:val="left"/>
      <w:pPr>
        <w:tabs>
          <w:tab w:val="num" w:pos="720"/>
        </w:tabs>
        <w:ind w:left="720" w:hanging="360"/>
      </w:pPr>
      <w:rPr>
        <w:rFonts w:ascii="Arial" w:hAnsi="Arial" w:hint="default"/>
      </w:rPr>
    </w:lvl>
    <w:lvl w:ilvl="1" w:tplc="E22086E6" w:tentative="1">
      <w:start w:val="1"/>
      <w:numFmt w:val="bullet"/>
      <w:lvlText w:val="•"/>
      <w:lvlJc w:val="left"/>
      <w:pPr>
        <w:tabs>
          <w:tab w:val="num" w:pos="1440"/>
        </w:tabs>
        <w:ind w:left="1440" w:hanging="360"/>
      </w:pPr>
      <w:rPr>
        <w:rFonts w:ascii="Arial" w:hAnsi="Arial" w:hint="default"/>
      </w:rPr>
    </w:lvl>
    <w:lvl w:ilvl="2" w:tplc="C5CEF44C" w:tentative="1">
      <w:start w:val="1"/>
      <w:numFmt w:val="bullet"/>
      <w:lvlText w:val="•"/>
      <w:lvlJc w:val="left"/>
      <w:pPr>
        <w:tabs>
          <w:tab w:val="num" w:pos="2160"/>
        </w:tabs>
        <w:ind w:left="2160" w:hanging="360"/>
      </w:pPr>
      <w:rPr>
        <w:rFonts w:ascii="Arial" w:hAnsi="Arial" w:hint="default"/>
      </w:rPr>
    </w:lvl>
    <w:lvl w:ilvl="3" w:tplc="9DBCAC32" w:tentative="1">
      <w:start w:val="1"/>
      <w:numFmt w:val="bullet"/>
      <w:lvlText w:val="•"/>
      <w:lvlJc w:val="left"/>
      <w:pPr>
        <w:tabs>
          <w:tab w:val="num" w:pos="2880"/>
        </w:tabs>
        <w:ind w:left="2880" w:hanging="360"/>
      </w:pPr>
      <w:rPr>
        <w:rFonts w:ascii="Arial" w:hAnsi="Arial" w:hint="default"/>
      </w:rPr>
    </w:lvl>
    <w:lvl w:ilvl="4" w:tplc="8C18EF3E" w:tentative="1">
      <w:start w:val="1"/>
      <w:numFmt w:val="bullet"/>
      <w:lvlText w:val="•"/>
      <w:lvlJc w:val="left"/>
      <w:pPr>
        <w:tabs>
          <w:tab w:val="num" w:pos="3600"/>
        </w:tabs>
        <w:ind w:left="3600" w:hanging="360"/>
      </w:pPr>
      <w:rPr>
        <w:rFonts w:ascii="Arial" w:hAnsi="Arial" w:hint="default"/>
      </w:rPr>
    </w:lvl>
    <w:lvl w:ilvl="5" w:tplc="A7FCED60" w:tentative="1">
      <w:start w:val="1"/>
      <w:numFmt w:val="bullet"/>
      <w:lvlText w:val="•"/>
      <w:lvlJc w:val="left"/>
      <w:pPr>
        <w:tabs>
          <w:tab w:val="num" w:pos="4320"/>
        </w:tabs>
        <w:ind w:left="4320" w:hanging="360"/>
      </w:pPr>
      <w:rPr>
        <w:rFonts w:ascii="Arial" w:hAnsi="Arial" w:hint="default"/>
      </w:rPr>
    </w:lvl>
    <w:lvl w:ilvl="6" w:tplc="3C702770" w:tentative="1">
      <w:start w:val="1"/>
      <w:numFmt w:val="bullet"/>
      <w:lvlText w:val="•"/>
      <w:lvlJc w:val="left"/>
      <w:pPr>
        <w:tabs>
          <w:tab w:val="num" w:pos="5040"/>
        </w:tabs>
        <w:ind w:left="5040" w:hanging="360"/>
      </w:pPr>
      <w:rPr>
        <w:rFonts w:ascii="Arial" w:hAnsi="Arial" w:hint="default"/>
      </w:rPr>
    </w:lvl>
    <w:lvl w:ilvl="7" w:tplc="43D00176" w:tentative="1">
      <w:start w:val="1"/>
      <w:numFmt w:val="bullet"/>
      <w:lvlText w:val="•"/>
      <w:lvlJc w:val="left"/>
      <w:pPr>
        <w:tabs>
          <w:tab w:val="num" w:pos="5760"/>
        </w:tabs>
        <w:ind w:left="5760" w:hanging="360"/>
      </w:pPr>
      <w:rPr>
        <w:rFonts w:ascii="Arial" w:hAnsi="Arial" w:hint="default"/>
      </w:rPr>
    </w:lvl>
    <w:lvl w:ilvl="8" w:tplc="80187F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1AD571F"/>
    <w:multiLevelType w:val="hybridMultilevel"/>
    <w:tmpl w:val="0ED081CE"/>
    <w:lvl w:ilvl="0" w:tplc="464AF464">
      <w:start w:val="1"/>
      <w:numFmt w:val="bullet"/>
      <w:lvlText w:val="•"/>
      <w:lvlJc w:val="left"/>
      <w:pPr>
        <w:tabs>
          <w:tab w:val="num" w:pos="720"/>
        </w:tabs>
        <w:ind w:left="720" w:hanging="360"/>
      </w:pPr>
      <w:rPr>
        <w:rFonts w:ascii="Arial" w:hAnsi="Arial" w:hint="default"/>
      </w:rPr>
    </w:lvl>
    <w:lvl w:ilvl="1" w:tplc="36526814" w:tentative="1">
      <w:start w:val="1"/>
      <w:numFmt w:val="bullet"/>
      <w:lvlText w:val="•"/>
      <w:lvlJc w:val="left"/>
      <w:pPr>
        <w:tabs>
          <w:tab w:val="num" w:pos="1440"/>
        </w:tabs>
        <w:ind w:left="1440" w:hanging="360"/>
      </w:pPr>
      <w:rPr>
        <w:rFonts w:ascii="Arial" w:hAnsi="Arial" w:hint="default"/>
      </w:rPr>
    </w:lvl>
    <w:lvl w:ilvl="2" w:tplc="6338DFB2" w:tentative="1">
      <w:start w:val="1"/>
      <w:numFmt w:val="bullet"/>
      <w:lvlText w:val="•"/>
      <w:lvlJc w:val="left"/>
      <w:pPr>
        <w:tabs>
          <w:tab w:val="num" w:pos="2160"/>
        </w:tabs>
        <w:ind w:left="2160" w:hanging="360"/>
      </w:pPr>
      <w:rPr>
        <w:rFonts w:ascii="Arial" w:hAnsi="Arial" w:hint="default"/>
      </w:rPr>
    </w:lvl>
    <w:lvl w:ilvl="3" w:tplc="53347AFC" w:tentative="1">
      <w:start w:val="1"/>
      <w:numFmt w:val="bullet"/>
      <w:lvlText w:val="•"/>
      <w:lvlJc w:val="left"/>
      <w:pPr>
        <w:tabs>
          <w:tab w:val="num" w:pos="2880"/>
        </w:tabs>
        <w:ind w:left="2880" w:hanging="360"/>
      </w:pPr>
      <w:rPr>
        <w:rFonts w:ascii="Arial" w:hAnsi="Arial" w:hint="default"/>
      </w:rPr>
    </w:lvl>
    <w:lvl w:ilvl="4" w:tplc="A24260BA" w:tentative="1">
      <w:start w:val="1"/>
      <w:numFmt w:val="bullet"/>
      <w:lvlText w:val="•"/>
      <w:lvlJc w:val="left"/>
      <w:pPr>
        <w:tabs>
          <w:tab w:val="num" w:pos="3600"/>
        </w:tabs>
        <w:ind w:left="3600" w:hanging="360"/>
      </w:pPr>
      <w:rPr>
        <w:rFonts w:ascii="Arial" w:hAnsi="Arial" w:hint="default"/>
      </w:rPr>
    </w:lvl>
    <w:lvl w:ilvl="5" w:tplc="151ACEE0" w:tentative="1">
      <w:start w:val="1"/>
      <w:numFmt w:val="bullet"/>
      <w:lvlText w:val="•"/>
      <w:lvlJc w:val="left"/>
      <w:pPr>
        <w:tabs>
          <w:tab w:val="num" w:pos="4320"/>
        </w:tabs>
        <w:ind w:left="4320" w:hanging="360"/>
      </w:pPr>
      <w:rPr>
        <w:rFonts w:ascii="Arial" w:hAnsi="Arial" w:hint="default"/>
      </w:rPr>
    </w:lvl>
    <w:lvl w:ilvl="6" w:tplc="E23CB7D8" w:tentative="1">
      <w:start w:val="1"/>
      <w:numFmt w:val="bullet"/>
      <w:lvlText w:val="•"/>
      <w:lvlJc w:val="left"/>
      <w:pPr>
        <w:tabs>
          <w:tab w:val="num" w:pos="5040"/>
        </w:tabs>
        <w:ind w:left="5040" w:hanging="360"/>
      </w:pPr>
      <w:rPr>
        <w:rFonts w:ascii="Arial" w:hAnsi="Arial" w:hint="default"/>
      </w:rPr>
    </w:lvl>
    <w:lvl w:ilvl="7" w:tplc="524A6E6A" w:tentative="1">
      <w:start w:val="1"/>
      <w:numFmt w:val="bullet"/>
      <w:lvlText w:val="•"/>
      <w:lvlJc w:val="left"/>
      <w:pPr>
        <w:tabs>
          <w:tab w:val="num" w:pos="5760"/>
        </w:tabs>
        <w:ind w:left="5760" w:hanging="360"/>
      </w:pPr>
      <w:rPr>
        <w:rFonts w:ascii="Arial" w:hAnsi="Arial" w:hint="default"/>
      </w:rPr>
    </w:lvl>
    <w:lvl w:ilvl="8" w:tplc="79B46E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E87791"/>
    <w:multiLevelType w:val="hybridMultilevel"/>
    <w:tmpl w:val="9D9032B4"/>
    <w:lvl w:ilvl="0" w:tplc="AAA62AAA">
      <w:start w:val="1"/>
      <w:numFmt w:val="bullet"/>
      <w:lvlText w:val="•"/>
      <w:lvlJc w:val="left"/>
      <w:pPr>
        <w:tabs>
          <w:tab w:val="num" w:pos="720"/>
        </w:tabs>
        <w:ind w:left="720" w:hanging="360"/>
      </w:pPr>
      <w:rPr>
        <w:rFonts w:ascii="Arial" w:hAnsi="Arial" w:hint="default"/>
      </w:rPr>
    </w:lvl>
    <w:lvl w:ilvl="1" w:tplc="3E6C2F4A" w:tentative="1">
      <w:start w:val="1"/>
      <w:numFmt w:val="bullet"/>
      <w:lvlText w:val="•"/>
      <w:lvlJc w:val="left"/>
      <w:pPr>
        <w:tabs>
          <w:tab w:val="num" w:pos="1440"/>
        </w:tabs>
        <w:ind w:left="1440" w:hanging="360"/>
      </w:pPr>
      <w:rPr>
        <w:rFonts w:ascii="Arial" w:hAnsi="Arial" w:hint="default"/>
      </w:rPr>
    </w:lvl>
    <w:lvl w:ilvl="2" w:tplc="A9407FA2" w:tentative="1">
      <w:start w:val="1"/>
      <w:numFmt w:val="bullet"/>
      <w:lvlText w:val="•"/>
      <w:lvlJc w:val="left"/>
      <w:pPr>
        <w:tabs>
          <w:tab w:val="num" w:pos="2160"/>
        </w:tabs>
        <w:ind w:left="2160" w:hanging="360"/>
      </w:pPr>
      <w:rPr>
        <w:rFonts w:ascii="Arial" w:hAnsi="Arial" w:hint="default"/>
      </w:rPr>
    </w:lvl>
    <w:lvl w:ilvl="3" w:tplc="E2543902" w:tentative="1">
      <w:start w:val="1"/>
      <w:numFmt w:val="bullet"/>
      <w:lvlText w:val="•"/>
      <w:lvlJc w:val="left"/>
      <w:pPr>
        <w:tabs>
          <w:tab w:val="num" w:pos="2880"/>
        </w:tabs>
        <w:ind w:left="2880" w:hanging="360"/>
      </w:pPr>
      <w:rPr>
        <w:rFonts w:ascii="Arial" w:hAnsi="Arial" w:hint="default"/>
      </w:rPr>
    </w:lvl>
    <w:lvl w:ilvl="4" w:tplc="775C8DF0" w:tentative="1">
      <w:start w:val="1"/>
      <w:numFmt w:val="bullet"/>
      <w:lvlText w:val="•"/>
      <w:lvlJc w:val="left"/>
      <w:pPr>
        <w:tabs>
          <w:tab w:val="num" w:pos="3600"/>
        </w:tabs>
        <w:ind w:left="3600" w:hanging="360"/>
      </w:pPr>
      <w:rPr>
        <w:rFonts w:ascii="Arial" w:hAnsi="Arial" w:hint="default"/>
      </w:rPr>
    </w:lvl>
    <w:lvl w:ilvl="5" w:tplc="9B6881C0" w:tentative="1">
      <w:start w:val="1"/>
      <w:numFmt w:val="bullet"/>
      <w:lvlText w:val="•"/>
      <w:lvlJc w:val="left"/>
      <w:pPr>
        <w:tabs>
          <w:tab w:val="num" w:pos="4320"/>
        </w:tabs>
        <w:ind w:left="4320" w:hanging="360"/>
      </w:pPr>
      <w:rPr>
        <w:rFonts w:ascii="Arial" w:hAnsi="Arial" w:hint="default"/>
      </w:rPr>
    </w:lvl>
    <w:lvl w:ilvl="6" w:tplc="12E64AF6" w:tentative="1">
      <w:start w:val="1"/>
      <w:numFmt w:val="bullet"/>
      <w:lvlText w:val="•"/>
      <w:lvlJc w:val="left"/>
      <w:pPr>
        <w:tabs>
          <w:tab w:val="num" w:pos="5040"/>
        </w:tabs>
        <w:ind w:left="5040" w:hanging="360"/>
      </w:pPr>
      <w:rPr>
        <w:rFonts w:ascii="Arial" w:hAnsi="Arial" w:hint="default"/>
      </w:rPr>
    </w:lvl>
    <w:lvl w:ilvl="7" w:tplc="57EA48D0" w:tentative="1">
      <w:start w:val="1"/>
      <w:numFmt w:val="bullet"/>
      <w:lvlText w:val="•"/>
      <w:lvlJc w:val="left"/>
      <w:pPr>
        <w:tabs>
          <w:tab w:val="num" w:pos="5760"/>
        </w:tabs>
        <w:ind w:left="5760" w:hanging="360"/>
      </w:pPr>
      <w:rPr>
        <w:rFonts w:ascii="Arial" w:hAnsi="Arial" w:hint="default"/>
      </w:rPr>
    </w:lvl>
    <w:lvl w:ilvl="8" w:tplc="D918182A" w:tentative="1">
      <w:start w:val="1"/>
      <w:numFmt w:val="bullet"/>
      <w:lvlText w:val="•"/>
      <w:lvlJc w:val="left"/>
      <w:pPr>
        <w:tabs>
          <w:tab w:val="num" w:pos="6480"/>
        </w:tabs>
        <w:ind w:left="6480" w:hanging="360"/>
      </w:pPr>
      <w:rPr>
        <w:rFonts w:ascii="Arial" w:hAnsi="Arial" w:hint="default"/>
      </w:rPr>
    </w:lvl>
  </w:abstractNum>
  <w:num w:numId="1" w16cid:durableId="928392882">
    <w:abstractNumId w:val="3"/>
  </w:num>
  <w:num w:numId="2" w16cid:durableId="1076705634">
    <w:abstractNumId w:val="2"/>
  </w:num>
  <w:num w:numId="3" w16cid:durableId="1958561480">
    <w:abstractNumId w:val="1"/>
  </w:num>
  <w:num w:numId="4" w16cid:durableId="94804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5E9D74"/>
    <w:rsid w:val="00005089"/>
    <w:rsid w:val="00005A9A"/>
    <w:rsid w:val="00016168"/>
    <w:rsid w:val="0007030C"/>
    <w:rsid w:val="001422E3"/>
    <w:rsid w:val="001536A5"/>
    <w:rsid w:val="001B3AC0"/>
    <w:rsid w:val="001B6658"/>
    <w:rsid w:val="0020442F"/>
    <w:rsid w:val="00214D0F"/>
    <w:rsid w:val="002256C2"/>
    <w:rsid w:val="0023651C"/>
    <w:rsid w:val="00276310"/>
    <w:rsid w:val="00282E10"/>
    <w:rsid w:val="00306DB5"/>
    <w:rsid w:val="003511B9"/>
    <w:rsid w:val="00365578"/>
    <w:rsid w:val="00381ECC"/>
    <w:rsid w:val="00393EB8"/>
    <w:rsid w:val="004C544C"/>
    <w:rsid w:val="004F4A58"/>
    <w:rsid w:val="004F7A42"/>
    <w:rsid w:val="005A1D28"/>
    <w:rsid w:val="005B787F"/>
    <w:rsid w:val="00604BD0"/>
    <w:rsid w:val="006523F4"/>
    <w:rsid w:val="00676251"/>
    <w:rsid w:val="007D3D8A"/>
    <w:rsid w:val="007D64E1"/>
    <w:rsid w:val="007F6CC6"/>
    <w:rsid w:val="00816188"/>
    <w:rsid w:val="00825312"/>
    <w:rsid w:val="00830517"/>
    <w:rsid w:val="008C51C9"/>
    <w:rsid w:val="008E2531"/>
    <w:rsid w:val="008F5217"/>
    <w:rsid w:val="008F5500"/>
    <w:rsid w:val="008F7525"/>
    <w:rsid w:val="00957BC6"/>
    <w:rsid w:val="00960FB6"/>
    <w:rsid w:val="009C4C01"/>
    <w:rsid w:val="00A108E3"/>
    <w:rsid w:val="00A50ED5"/>
    <w:rsid w:val="00A7773F"/>
    <w:rsid w:val="00B028B3"/>
    <w:rsid w:val="00B07983"/>
    <w:rsid w:val="00B91BB1"/>
    <w:rsid w:val="00BB7F82"/>
    <w:rsid w:val="00C61333"/>
    <w:rsid w:val="00C82698"/>
    <w:rsid w:val="00CA460F"/>
    <w:rsid w:val="00D7787D"/>
    <w:rsid w:val="00DD21FC"/>
    <w:rsid w:val="00EA593A"/>
    <w:rsid w:val="00F8762D"/>
    <w:rsid w:val="00FE1814"/>
    <w:rsid w:val="495E9D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9D74"/>
  <w15:chartTrackingRefBased/>
  <w15:docId w15:val="{A01E1861-F95F-4DB5-AFC1-B8040F09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523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96">
      <w:bodyDiv w:val="1"/>
      <w:marLeft w:val="0"/>
      <w:marRight w:val="0"/>
      <w:marTop w:val="0"/>
      <w:marBottom w:val="0"/>
      <w:divBdr>
        <w:top w:val="none" w:sz="0" w:space="0" w:color="auto"/>
        <w:left w:val="none" w:sz="0" w:space="0" w:color="auto"/>
        <w:bottom w:val="none" w:sz="0" w:space="0" w:color="auto"/>
        <w:right w:val="none" w:sz="0" w:space="0" w:color="auto"/>
      </w:divBdr>
    </w:div>
    <w:div w:id="4946124">
      <w:bodyDiv w:val="1"/>
      <w:marLeft w:val="0"/>
      <w:marRight w:val="0"/>
      <w:marTop w:val="0"/>
      <w:marBottom w:val="0"/>
      <w:divBdr>
        <w:top w:val="none" w:sz="0" w:space="0" w:color="auto"/>
        <w:left w:val="none" w:sz="0" w:space="0" w:color="auto"/>
        <w:bottom w:val="none" w:sz="0" w:space="0" w:color="auto"/>
        <w:right w:val="none" w:sz="0" w:space="0" w:color="auto"/>
      </w:divBdr>
    </w:div>
    <w:div w:id="123433080">
      <w:bodyDiv w:val="1"/>
      <w:marLeft w:val="0"/>
      <w:marRight w:val="0"/>
      <w:marTop w:val="0"/>
      <w:marBottom w:val="0"/>
      <w:divBdr>
        <w:top w:val="none" w:sz="0" w:space="0" w:color="auto"/>
        <w:left w:val="none" w:sz="0" w:space="0" w:color="auto"/>
        <w:bottom w:val="none" w:sz="0" w:space="0" w:color="auto"/>
        <w:right w:val="none" w:sz="0" w:space="0" w:color="auto"/>
      </w:divBdr>
    </w:div>
    <w:div w:id="188569360">
      <w:bodyDiv w:val="1"/>
      <w:marLeft w:val="0"/>
      <w:marRight w:val="0"/>
      <w:marTop w:val="0"/>
      <w:marBottom w:val="0"/>
      <w:divBdr>
        <w:top w:val="none" w:sz="0" w:space="0" w:color="auto"/>
        <w:left w:val="none" w:sz="0" w:space="0" w:color="auto"/>
        <w:bottom w:val="none" w:sz="0" w:space="0" w:color="auto"/>
        <w:right w:val="none" w:sz="0" w:space="0" w:color="auto"/>
      </w:divBdr>
    </w:div>
    <w:div w:id="268777503">
      <w:bodyDiv w:val="1"/>
      <w:marLeft w:val="0"/>
      <w:marRight w:val="0"/>
      <w:marTop w:val="0"/>
      <w:marBottom w:val="0"/>
      <w:divBdr>
        <w:top w:val="none" w:sz="0" w:space="0" w:color="auto"/>
        <w:left w:val="none" w:sz="0" w:space="0" w:color="auto"/>
        <w:bottom w:val="none" w:sz="0" w:space="0" w:color="auto"/>
        <w:right w:val="none" w:sz="0" w:space="0" w:color="auto"/>
      </w:divBdr>
    </w:div>
    <w:div w:id="321855969">
      <w:bodyDiv w:val="1"/>
      <w:marLeft w:val="0"/>
      <w:marRight w:val="0"/>
      <w:marTop w:val="0"/>
      <w:marBottom w:val="0"/>
      <w:divBdr>
        <w:top w:val="none" w:sz="0" w:space="0" w:color="auto"/>
        <w:left w:val="none" w:sz="0" w:space="0" w:color="auto"/>
        <w:bottom w:val="none" w:sz="0" w:space="0" w:color="auto"/>
        <w:right w:val="none" w:sz="0" w:space="0" w:color="auto"/>
      </w:divBdr>
    </w:div>
    <w:div w:id="381295798">
      <w:bodyDiv w:val="1"/>
      <w:marLeft w:val="0"/>
      <w:marRight w:val="0"/>
      <w:marTop w:val="0"/>
      <w:marBottom w:val="0"/>
      <w:divBdr>
        <w:top w:val="none" w:sz="0" w:space="0" w:color="auto"/>
        <w:left w:val="none" w:sz="0" w:space="0" w:color="auto"/>
        <w:bottom w:val="none" w:sz="0" w:space="0" w:color="auto"/>
        <w:right w:val="none" w:sz="0" w:space="0" w:color="auto"/>
      </w:divBdr>
    </w:div>
    <w:div w:id="389426871">
      <w:bodyDiv w:val="1"/>
      <w:marLeft w:val="0"/>
      <w:marRight w:val="0"/>
      <w:marTop w:val="0"/>
      <w:marBottom w:val="0"/>
      <w:divBdr>
        <w:top w:val="none" w:sz="0" w:space="0" w:color="auto"/>
        <w:left w:val="none" w:sz="0" w:space="0" w:color="auto"/>
        <w:bottom w:val="none" w:sz="0" w:space="0" w:color="auto"/>
        <w:right w:val="none" w:sz="0" w:space="0" w:color="auto"/>
      </w:divBdr>
      <w:divsChild>
        <w:div w:id="204682621">
          <w:marLeft w:val="547"/>
          <w:marRight w:val="0"/>
          <w:marTop w:val="200"/>
          <w:marBottom w:val="160"/>
          <w:divBdr>
            <w:top w:val="none" w:sz="0" w:space="0" w:color="auto"/>
            <w:left w:val="none" w:sz="0" w:space="0" w:color="auto"/>
            <w:bottom w:val="none" w:sz="0" w:space="0" w:color="auto"/>
            <w:right w:val="none" w:sz="0" w:space="0" w:color="auto"/>
          </w:divBdr>
        </w:div>
        <w:div w:id="808788688">
          <w:marLeft w:val="547"/>
          <w:marRight w:val="0"/>
          <w:marTop w:val="200"/>
          <w:marBottom w:val="160"/>
          <w:divBdr>
            <w:top w:val="none" w:sz="0" w:space="0" w:color="auto"/>
            <w:left w:val="none" w:sz="0" w:space="0" w:color="auto"/>
            <w:bottom w:val="none" w:sz="0" w:space="0" w:color="auto"/>
            <w:right w:val="none" w:sz="0" w:space="0" w:color="auto"/>
          </w:divBdr>
        </w:div>
        <w:div w:id="1618369319">
          <w:marLeft w:val="547"/>
          <w:marRight w:val="0"/>
          <w:marTop w:val="200"/>
          <w:marBottom w:val="160"/>
          <w:divBdr>
            <w:top w:val="none" w:sz="0" w:space="0" w:color="auto"/>
            <w:left w:val="none" w:sz="0" w:space="0" w:color="auto"/>
            <w:bottom w:val="none" w:sz="0" w:space="0" w:color="auto"/>
            <w:right w:val="none" w:sz="0" w:space="0" w:color="auto"/>
          </w:divBdr>
        </w:div>
        <w:div w:id="1934625908">
          <w:marLeft w:val="547"/>
          <w:marRight w:val="0"/>
          <w:marTop w:val="200"/>
          <w:marBottom w:val="160"/>
          <w:divBdr>
            <w:top w:val="none" w:sz="0" w:space="0" w:color="auto"/>
            <w:left w:val="none" w:sz="0" w:space="0" w:color="auto"/>
            <w:bottom w:val="none" w:sz="0" w:space="0" w:color="auto"/>
            <w:right w:val="none" w:sz="0" w:space="0" w:color="auto"/>
          </w:divBdr>
        </w:div>
      </w:divsChild>
    </w:div>
    <w:div w:id="424376158">
      <w:bodyDiv w:val="1"/>
      <w:marLeft w:val="0"/>
      <w:marRight w:val="0"/>
      <w:marTop w:val="0"/>
      <w:marBottom w:val="0"/>
      <w:divBdr>
        <w:top w:val="none" w:sz="0" w:space="0" w:color="auto"/>
        <w:left w:val="none" w:sz="0" w:space="0" w:color="auto"/>
        <w:bottom w:val="none" w:sz="0" w:space="0" w:color="auto"/>
        <w:right w:val="none" w:sz="0" w:space="0" w:color="auto"/>
      </w:divBdr>
    </w:div>
    <w:div w:id="437717704">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
    <w:div w:id="535701807">
      <w:bodyDiv w:val="1"/>
      <w:marLeft w:val="0"/>
      <w:marRight w:val="0"/>
      <w:marTop w:val="0"/>
      <w:marBottom w:val="0"/>
      <w:divBdr>
        <w:top w:val="none" w:sz="0" w:space="0" w:color="auto"/>
        <w:left w:val="none" w:sz="0" w:space="0" w:color="auto"/>
        <w:bottom w:val="none" w:sz="0" w:space="0" w:color="auto"/>
        <w:right w:val="none" w:sz="0" w:space="0" w:color="auto"/>
      </w:divBdr>
    </w:div>
    <w:div w:id="625813618">
      <w:bodyDiv w:val="1"/>
      <w:marLeft w:val="0"/>
      <w:marRight w:val="0"/>
      <w:marTop w:val="0"/>
      <w:marBottom w:val="0"/>
      <w:divBdr>
        <w:top w:val="none" w:sz="0" w:space="0" w:color="auto"/>
        <w:left w:val="none" w:sz="0" w:space="0" w:color="auto"/>
        <w:bottom w:val="none" w:sz="0" w:space="0" w:color="auto"/>
        <w:right w:val="none" w:sz="0" w:space="0" w:color="auto"/>
      </w:divBdr>
    </w:div>
    <w:div w:id="797182916">
      <w:bodyDiv w:val="1"/>
      <w:marLeft w:val="0"/>
      <w:marRight w:val="0"/>
      <w:marTop w:val="0"/>
      <w:marBottom w:val="0"/>
      <w:divBdr>
        <w:top w:val="none" w:sz="0" w:space="0" w:color="auto"/>
        <w:left w:val="none" w:sz="0" w:space="0" w:color="auto"/>
        <w:bottom w:val="none" w:sz="0" w:space="0" w:color="auto"/>
        <w:right w:val="none" w:sz="0" w:space="0" w:color="auto"/>
      </w:divBdr>
    </w:div>
    <w:div w:id="939262938">
      <w:bodyDiv w:val="1"/>
      <w:marLeft w:val="0"/>
      <w:marRight w:val="0"/>
      <w:marTop w:val="0"/>
      <w:marBottom w:val="0"/>
      <w:divBdr>
        <w:top w:val="none" w:sz="0" w:space="0" w:color="auto"/>
        <w:left w:val="none" w:sz="0" w:space="0" w:color="auto"/>
        <w:bottom w:val="none" w:sz="0" w:space="0" w:color="auto"/>
        <w:right w:val="none" w:sz="0" w:space="0" w:color="auto"/>
      </w:divBdr>
    </w:div>
    <w:div w:id="973829742">
      <w:bodyDiv w:val="1"/>
      <w:marLeft w:val="0"/>
      <w:marRight w:val="0"/>
      <w:marTop w:val="0"/>
      <w:marBottom w:val="0"/>
      <w:divBdr>
        <w:top w:val="none" w:sz="0" w:space="0" w:color="auto"/>
        <w:left w:val="none" w:sz="0" w:space="0" w:color="auto"/>
        <w:bottom w:val="none" w:sz="0" w:space="0" w:color="auto"/>
        <w:right w:val="none" w:sz="0" w:space="0" w:color="auto"/>
      </w:divBdr>
    </w:div>
    <w:div w:id="1190069575">
      <w:bodyDiv w:val="1"/>
      <w:marLeft w:val="0"/>
      <w:marRight w:val="0"/>
      <w:marTop w:val="0"/>
      <w:marBottom w:val="0"/>
      <w:divBdr>
        <w:top w:val="none" w:sz="0" w:space="0" w:color="auto"/>
        <w:left w:val="none" w:sz="0" w:space="0" w:color="auto"/>
        <w:bottom w:val="none" w:sz="0" w:space="0" w:color="auto"/>
        <w:right w:val="none" w:sz="0" w:space="0" w:color="auto"/>
      </w:divBdr>
    </w:div>
    <w:div w:id="1200972293">
      <w:bodyDiv w:val="1"/>
      <w:marLeft w:val="0"/>
      <w:marRight w:val="0"/>
      <w:marTop w:val="0"/>
      <w:marBottom w:val="0"/>
      <w:divBdr>
        <w:top w:val="none" w:sz="0" w:space="0" w:color="auto"/>
        <w:left w:val="none" w:sz="0" w:space="0" w:color="auto"/>
        <w:bottom w:val="none" w:sz="0" w:space="0" w:color="auto"/>
        <w:right w:val="none" w:sz="0" w:space="0" w:color="auto"/>
      </w:divBdr>
    </w:div>
    <w:div w:id="1235582350">
      <w:bodyDiv w:val="1"/>
      <w:marLeft w:val="0"/>
      <w:marRight w:val="0"/>
      <w:marTop w:val="0"/>
      <w:marBottom w:val="0"/>
      <w:divBdr>
        <w:top w:val="none" w:sz="0" w:space="0" w:color="auto"/>
        <w:left w:val="none" w:sz="0" w:space="0" w:color="auto"/>
        <w:bottom w:val="none" w:sz="0" w:space="0" w:color="auto"/>
        <w:right w:val="none" w:sz="0" w:space="0" w:color="auto"/>
      </w:divBdr>
    </w:div>
    <w:div w:id="1304656484">
      <w:bodyDiv w:val="1"/>
      <w:marLeft w:val="0"/>
      <w:marRight w:val="0"/>
      <w:marTop w:val="0"/>
      <w:marBottom w:val="0"/>
      <w:divBdr>
        <w:top w:val="none" w:sz="0" w:space="0" w:color="auto"/>
        <w:left w:val="none" w:sz="0" w:space="0" w:color="auto"/>
        <w:bottom w:val="none" w:sz="0" w:space="0" w:color="auto"/>
        <w:right w:val="none" w:sz="0" w:space="0" w:color="auto"/>
      </w:divBdr>
    </w:div>
    <w:div w:id="1438791283">
      <w:bodyDiv w:val="1"/>
      <w:marLeft w:val="0"/>
      <w:marRight w:val="0"/>
      <w:marTop w:val="0"/>
      <w:marBottom w:val="0"/>
      <w:divBdr>
        <w:top w:val="none" w:sz="0" w:space="0" w:color="auto"/>
        <w:left w:val="none" w:sz="0" w:space="0" w:color="auto"/>
        <w:bottom w:val="none" w:sz="0" w:space="0" w:color="auto"/>
        <w:right w:val="none" w:sz="0" w:space="0" w:color="auto"/>
      </w:divBdr>
      <w:divsChild>
        <w:div w:id="738747346">
          <w:marLeft w:val="547"/>
          <w:marRight w:val="0"/>
          <w:marTop w:val="200"/>
          <w:marBottom w:val="0"/>
          <w:divBdr>
            <w:top w:val="none" w:sz="0" w:space="0" w:color="auto"/>
            <w:left w:val="none" w:sz="0" w:space="0" w:color="auto"/>
            <w:bottom w:val="none" w:sz="0" w:space="0" w:color="auto"/>
            <w:right w:val="none" w:sz="0" w:space="0" w:color="auto"/>
          </w:divBdr>
        </w:div>
        <w:div w:id="772480678">
          <w:marLeft w:val="547"/>
          <w:marRight w:val="0"/>
          <w:marTop w:val="200"/>
          <w:marBottom w:val="0"/>
          <w:divBdr>
            <w:top w:val="none" w:sz="0" w:space="0" w:color="auto"/>
            <w:left w:val="none" w:sz="0" w:space="0" w:color="auto"/>
            <w:bottom w:val="none" w:sz="0" w:space="0" w:color="auto"/>
            <w:right w:val="none" w:sz="0" w:space="0" w:color="auto"/>
          </w:divBdr>
        </w:div>
        <w:div w:id="1286958655">
          <w:marLeft w:val="547"/>
          <w:marRight w:val="0"/>
          <w:marTop w:val="200"/>
          <w:marBottom w:val="0"/>
          <w:divBdr>
            <w:top w:val="none" w:sz="0" w:space="0" w:color="auto"/>
            <w:left w:val="none" w:sz="0" w:space="0" w:color="auto"/>
            <w:bottom w:val="none" w:sz="0" w:space="0" w:color="auto"/>
            <w:right w:val="none" w:sz="0" w:space="0" w:color="auto"/>
          </w:divBdr>
        </w:div>
        <w:div w:id="1586449671">
          <w:marLeft w:val="547"/>
          <w:marRight w:val="0"/>
          <w:marTop w:val="200"/>
          <w:marBottom w:val="0"/>
          <w:divBdr>
            <w:top w:val="none" w:sz="0" w:space="0" w:color="auto"/>
            <w:left w:val="none" w:sz="0" w:space="0" w:color="auto"/>
            <w:bottom w:val="none" w:sz="0" w:space="0" w:color="auto"/>
            <w:right w:val="none" w:sz="0" w:space="0" w:color="auto"/>
          </w:divBdr>
        </w:div>
        <w:div w:id="1656104458">
          <w:marLeft w:val="547"/>
          <w:marRight w:val="0"/>
          <w:marTop w:val="200"/>
          <w:marBottom w:val="0"/>
          <w:divBdr>
            <w:top w:val="none" w:sz="0" w:space="0" w:color="auto"/>
            <w:left w:val="none" w:sz="0" w:space="0" w:color="auto"/>
            <w:bottom w:val="none" w:sz="0" w:space="0" w:color="auto"/>
            <w:right w:val="none" w:sz="0" w:space="0" w:color="auto"/>
          </w:divBdr>
        </w:div>
        <w:div w:id="2066294803">
          <w:marLeft w:val="547"/>
          <w:marRight w:val="0"/>
          <w:marTop w:val="200"/>
          <w:marBottom w:val="0"/>
          <w:divBdr>
            <w:top w:val="none" w:sz="0" w:space="0" w:color="auto"/>
            <w:left w:val="none" w:sz="0" w:space="0" w:color="auto"/>
            <w:bottom w:val="none" w:sz="0" w:space="0" w:color="auto"/>
            <w:right w:val="none" w:sz="0" w:space="0" w:color="auto"/>
          </w:divBdr>
        </w:div>
      </w:divsChild>
    </w:div>
    <w:div w:id="1479108982">
      <w:bodyDiv w:val="1"/>
      <w:marLeft w:val="0"/>
      <w:marRight w:val="0"/>
      <w:marTop w:val="0"/>
      <w:marBottom w:val="0"/>
      <w:divBdr>
        <w:top w:val="none" w:sz="0" w:space="0" w:color="auto"/>
        <w:left w:val="none" w:sz="0" w:space="0" w:color="auto"/>
        <w:bottom w:val="none" w:sz="0" w:space="0" w:color="auto"/>
        <w:right w:val="none" w:sz="0" w:space="0" w:color="auto"/>
      </w:divBdr>
    </w:div>
    <w:div w:id="1648317797">
      <w:bodyDiv w:val="1"/>
      <w:marLeft w:val="0"/>
      <w:marRight w:val="0"/>
      <w:marTop w:val="0"/>
      <w:marBottom w:val="0"/>
      <w:divBdr>
        <w:top w:val="none" w:sz="0" w:space="0" w:color="auto"/>
        <w:left w:val="none" w:sz="0" w:space="0" w:color="auto"/>
        <w:bottom w:val="none" w:sz="0" w:space="0" w:color="auto"/>
        <w:right w:val="none" w:sz="0" w:space="0" w:color="auto"/>
      </w:divBdr>
    </w:div>
    <w:div w:id="1699817565">
      <w:bodyDiv w:val="1"/>
      <w:marLeft w:val="0"/>
      <w:marRight w:val="0"/>
      <w:marTop w:val="0"/>
      <w:marBottom w:val="0"/>
      <w:divBdr>
        <w:top w:val="none" w:sz="0" w:space="0" w:color="auto"/>
        <w:left w:val="none" w:sz="0" w:space="0" w:color="auto"/>
        <w:bottom w:val="none" w:sz="0" w:space="0" w:color="auto"/>
        <w:right w:val="none" w:sz="0" w:space="0" w:color="auto"/>
      </w:divBdr>
    </w:div>
    <w:div w:id="1736734143">
      <w:bodyDiv w:val="1"/>
      <w:marLeft w:val="0"/>
      <w:marRight w:val="0"/>
      <w:marTop w:val="0"/>
      <w:marBottom w:val="0"/>
      <w:divBdr>
        <w:top w:val="none" w:sz="0" w:space="0" w:color="auto"/>
        <w:left w:val="none" w:sz="0" w:space="0" w:color="auto"/>
        <w:bottom w:val="none" w:sz="0" w:space="0" w:color="auto"/>
        <w:right w:val="none" w:sz="0" w:space="0" w:color="auto"/>
      </w:divBdr>
    </w:div>
    <w:div w:id="1817408015">
      <w:bodyDiv w:val="1"/>
      <w:marLeft w:val="0"/>
      <w:marRight w:val="0"/>
      <w:marTop w:val="0"/>
      <w:marBottom w:val="0"/>
      <w:divBdr>
        <w:top w:val="none" w:sz="0" w:space="0" w:color="auto"/>
        <w:left w:val="none" w:sz="0" w:space="0" w:color="auto"/>
        <w:bottom w:val="none" w:sz="0" w:space="0" w:color="auto"/>
        <w:right w:val="none" w:sz="0" w:space="0" w:color="auto"/>
      </w:divBdr>
    </w:div>
    <w:div w:id="1962569547">
      <w:bodyDiv w:val="1"/>
      <w:marLeft w:val="0"/>
      <w:marRight w:val="0"/>
      <w:marTop w:val="0"/>
      <w:marBottom w:val="0"/>
      <w:divBdr>
        <w:top w:val="none" w:sz="0" w:space="0" w:color="auto"/>
        <w:left w:val="none" w:sz="0" w:space="0" w:color="auto"/>
        <w:bottom w:val="none" w:sz="0" w:space="0" w:color="auto"/>
        <w:right w:val="none" w:sz="0" w:space="0" w:color="auto"/>
      </w:divBdr>
    </w:div>
    <w:div w:id="2096785564">
      <w:bodyDiv w:val="1"/>
      <w:marLeft w:val="0"/>
      <w:marRight w:val="0"/>
      <w:marTop w:val="0"/>
      <w:marBottom w:val="0"/>
      <w:divBdr>
        <w:top w:val="none" w:sz="0" w:space="0" w:color="auto"/>
        <w:left w:val="none" w:sz="0" w:space="0" w:color="auto"/>
        <w:bottom w:val="none" w:sz="0" w:space="0" w:color="auto"/>
        <w:right w:val="none" w:sz="0" w:space="0" w:color="auto"/>
      </w:divBdr>
      <w:divsChild>
        <w:div w:id="294144830">
          <w:marLeft w:val="547"/>
          <w:marRight w:val="0"/>
          <w:marTop w:val="200"/>
          <w:marBottom w:val="240"/>
          <w:divBdr>
            <w:top w:val="none" w:sz="0" w:space="0" w:color="auto"/>
            <w:left w:val="none" w:sz="0" w:space="0" w:color="auto"/>
            <w:bottom w:val="none" w:sz="0" w:space="0" w:color="auto"/>
            <w:right w:val="none" w:sz="0" w:space="0" w:color="auto"/>
          </w:divBdr>
        </w:div>
        <w:div w:id="1033723865">
          <w:marLeft w:val="547"/>
          <w:marRight w:val="0"/>
          <w:marTop w:val="200"/>
          <w:marBottom w:val="240"/>
          <w:divBdr>
            <w:top w:val="none" w:sz="0" w:space="0" w:color="auto"/>
            <w:left w:val="none" w:sz="0" w:space="0" w:color="auto"/>
            <w:bottom w:val="none" w:sz="0" w:space="0" w:color="auto"/>
            <w:right w:val="none" w:sz="0" w:space="0" w:color="auto"/>
          </w:divBdr>
        </w:div>
        <w:div w:id="1847594255">
          <w:marLeft w:val="547"/>
          <w:marRight w:val="0"/>
          <w:marTop w:val="200"/>
          <w:marBottom w:val="240"/>
          <w:divBdr>
            <w:top w:val="none" w:sz="0" w:space="0" w:color="auto"/>
            <w:left w:val="none" w:sz="0" w:space="0" w:color="auto"/>
            <w:bottom w:val="none" w:sz="0" w:space="0" w:color="auto"/>
            <w:right w:val="none" w:sz="0" w:space="0" w:color="auto"/>
          </w:divBdr>
        </w:div>
        <w:div w:id="2034376317">
          <w:marLeft w:val="547"/>
          <w:marRight w:val="0"/>
          <w:marTop w:val="20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6CE47971-4314-43BF-8EC6-0D1DC60BBC84}"/>
</file>

<file path=customXml/itemProps2.xml><?xml version="1.0" encoding="utf-8"?>
<ds:datastoreItem xmlns:ds="http://schemas.openxmlformats.org/officeDocument/2006/customXml" ds:itemID="{68D93662-B5CD-4C2A-A309-365FF4580AE0}">
  <ds:schemaRefs>
    <ds:schemaRef ds:uri="http://schemas.microsoft.com/sharepoint/v3/contenttype/forms"/>
  </ds:schemaRefs>
</ds:datastoreItem>
</file>

<file path=customXml/itemProps3.xml><?xml version="1.0" encoding="utf-8"?>
<ds:datastoreItem xmlns:ds="http://schemas.openxmlformats.org/officeDocument/2006/customXml" ds:itemID="{1B79FED3-994A-4050-8E5E-F15580765A9C}">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1553</Words>
  <Characters>8856</Characters>
  <Application>Microsoft Office Word</Application>
  <DocSecurity>0</DocSecurity>
  <Lines>73</Lines>
  <Paragraphs>20</Paragraphs>
  <ScaleCrop>false</ScaleCrop>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Acquah</dc:creator>
  <cp:keywords/>
  <dc:description/>
  <cp:lastModifiedBy>Abigail Flack</cp:lastModifiedBy>
  <cp:revision>4</cp:revision>
  <dcterms:created xsi:type="dcterms:W3CDTF">2024-10-31T12:19:00Z</dcterms:created>
  <dcterms:modified xsi:type="dcterms:W3CDTF">2024-10-31T12:24:00Z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3325100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