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F096" w14:textId="77777777" w:rsidR="000755E1" w:rsidRPr="000755E1" w:rsidRDefault="000755E1" w:rsidP="000755E1">
      <w:r w:rsidRPr="000755E1">
        <w:rPr>
          <w:b/>
          <w:bCs/>
        </w:rPr>
        <w:t>The conduct of general meetings</w:t>
      </w:r>
    </w:p>
    <w:p w14:paraId="0FB919F0" w14:textId="77777777" w:rsidR="00C05FDE" w:rsidRPr="00C05FDE" w:rsidRDefault="00C05FDE" w:rsidP="00C05FDE">
      <w:r w:rsidRPr="00C05FDE">
        <w:t>This element explains how general meetings are conducted.</w:t>
      </w:r>
    </w:p>
    <w:p w14:paraId="4A338C63" w14:textId="77777777" w:rsidR="00077C60" w:rsidRPr="00077C60" w:rsidRDefault="00077C60" w:rsidP="00077C60">
      <w:r w:rsidRPr="00077C60">
        <w:t>AGMs are</w:t>
      </w:r>
      <w:r w:rsidRPr="00077C60">
        <w:rPr>
          <w:lang w:val="en-US"/>
        </w:rPr>
        <w:t xml:space="preserve"> extremely important to listed companies, given the nature of the issues that are raised and resolved. They are also an important forum for shareholders. </w:t>
      </w:r>
    </w:p>
    <w:p w14:paraId="369D83B6" w14:textId="77777777" w:rsidR="00077C60" w:rsidRPr="00077C60" w:rsidRDefault="00077C60" w:rsidP="00077C60">
      <w:r w:rsidRPr="00077C60">
        <w:rPr>
          <w:lang w:val="en-US"/>
        </w:rPr>
        <w:t>The importance of AGMs – to both the company and its shareholders – means that there are many practical issues that must be considered. These include the following:</w:t>
      </w:r>
    </w:p>
    <w:p w14:paraId="53D2BD79" w14:textId="77777777" w:rsidR="00077C60" w:rsidRPr="00077C60" w:rsidRDefault="00077C60" w:rsidP="00077C60">
      <w:pPr>
        <w:numPr>
          <w:ilvl w:val="0"/>
          <w:numId w:val="1"/>
        </w:numPr>
      </w:pPr>
      <w:r w:rsidRPr="00077C60">
        <w:rPr>
          <w:lang w:val="en-US"/>
        </w:rPr>
        <w:t>The shareholders’ rights to ask questions at meetings</w:t>
      </w:r>
    </w:p>
    <w:p w14:paraId="56BBBB6C" w14:textId="77777777" w:rsidR="00077C60" w:rsidRPr="00077C60" w:rsidRDefault="00077C60" w:rsidP="00077C60">
      <w:pPr>
        <w:numPr>
          <w:ilvl w:val="0"/>
          <w:numId w:val="1"/>
        </w:numPr>
      </w:pPr>
      <w:r w:rsidRPr="00077C60">
        <w:rPr>
          <w:lang w:val="en-US"/>
        </w:rPr>
        <w:t>Shareholder requisition rights</w:t>
      </w:r>
    </w:p>
    <w:p w14:paraId="7B1210B9" w14:textId="77777777" w:rsidR="00077C60" w:rsidRPr="00077C60" w:rsidRDefault="00077C60" w:rsidP="00077C60">
      <w:pPr>
        <w:numPr>
          <w:ilvl w:val="0"/>
          <w:numId w:val="1"/>
        </w:numPr>
      </w:pPr>
      <w:r w:rsidRPr="00077C60">
        <w:rPr>
          <w:lang w:val="en-US"/>
        </w:rPr>
        <w:t>Circulars</w:t>
      </w:r>
    </w:p>
    <w:p w14:paraId="7F187806" w14:textId="77777777" w:rsidR="00077C60" w:rsidRPr="00077C60" w:rsidRDefault="00077C60" w:rsidP="00077C60">
      <w:pPr>
        <w:numPr>
          <w:ilvl w:val="0"/>
          <w:numId w:val="1"/>
        </w:numPr>
      </w:pPr>
      <w:r w:rsidRPr="00077C60">
        <w:rPr>
          <w:lang w:val="en-US"/>
        </w:rPr>
        <w:t>Methods of communication</w:t>
      </w:r>
    </w:p>
    <w:p w14:paraId="68C170E5" w14:textId="77777777" w:rsidR="00077C60" w:rsidRPr="00077C60" w:rsidRDefault="00077C60" w:rsidP="00077C60">
      <w:pPr>
        <w:numPr>
          <w:ilvl w:val="0"/>
          <w:numId w:val="1"/>
        </w:numPr>
      </w:pPr>
      <w:r w:rsidRPr="00077C60">
        <w:rPr>
          <w:lang w:val="en-US"/>
        </w:rPr>
        <w:t>Proxies</w:t>
      </w:r>
    </w:p>
    <w:p w14:paraId="6014DEA0" w14:textId="77777777" w:rsidR="00077C60" w:rsidRPr="00077C60" w:rsidRDefault="00077C60" w:rsidP="00077C60">
      <w:pPr>
        <w:numPr>
          <w:ilvl w:val="0"/>
          <w:numId w:val="1"/>
        </w:numPr>
      </w:pPr>
      <w:r w:rsidRPr="00077C60">
        <w:rPr>
          <w:lang w:val="en-US"/>
        </w:rPr>
        <w:t>Voting information services</w:t>
      </w:r>
    </w:p>
    <w:p w14:paraId="1BAD8D5F" w14:textId="77777777" w:rsidR="00077C60" w:rsidRPr="00077C60" w:rsidRDefault="00077C60" w:rsidP="008D3900">
      <w:pPr>
        <w:numPr>
          <w:ilvl w:val="0"/>
          <w:numId w:val="1"/>
        </w:numPr>
        <w:tabs>
          <w:tab w:val="left" w:pos="5812"/>
        </w:tabs>
      </w:pPr>
      <w:r w:rsidRPr="00077C60">
        <w:rPr>
          <w:lang w:val="en-US"/>
        </w:rPr>
        <w:t>Persons nominated to enjoy information rights</w:t>
      </w:r>
    </w:p>
    <w:p w14:paraId="6C1548E8" w14:textId="77777777" w:rsidR="00077C60" w:rsidRDefault="00077C60" w:rsidP="00077C60">
      <w:pPr>
        <w:rPr>
          <w:lang w:val="en-US"/>
        </w:rPr>
      </w:pPr>
      <w:r w:rsidRPr="00077C60">
        <w:rPr>
          <w:lang w:val="en-US"/>
        </w:rPr>
        <w:t>These will each be considered in turn.</w:t>
      </w:r>
    </w:p>
    <w:p w14:paraId="28090F80" w14:textId="77777777" w:rsidR="009A5CEB" w:rsidRPr="00077C60" w:rsidRDefault="009A5CEB" w:rsidP="00077C60"/>
    <w:p w14:paraId="5631FC27" w14:textId="77777777" w:rsidR="00077C60" w:rsidRPr="00077C60" w:rsidRDefault="00077C60" w:rsidP="00077C60">
      <w:r w:rsidRPr="00077C60">
        <w:rPr>
          <w:b/>
          <w:bCs/>
          <w:lang w:val="en-US"/>
        </w:rPr>
        <w:t>Shareholders’ rights to ask questions at meetings</w:t>
      </w:r>
    </w:p>
    <w:p w14:paraId="221C88D2" w14:textId="7D82BAB8" w:rsidR="00DC10FB" w:rsidRPr="00DC10FB" w:rsidRDefault="00DC10FB" w:rsidP="00DC10FB">
      <w:r w:rsidRPr="00DC10FB">
        <w:rPr>
          <w:lang w:val="en-US"/>
        </w:rPr>
        <w:t xml:space="preserve">Shareholders of a traded company have a statutory right to ask questions at meetings which the company must </w:t>
      </w:r>
      <w:proofErr w:type="spellStart"/>
      <w:r w:rsidR="006252C6">
        <w:rPr>
          <w:lang w:val="en-US"/>
        </w:rPr>
        <w:t>‘</w:t>
      </w:r>
      <w:r w:rsidRPr="00DC10FB">
        <w:rPr>
          <w:lang w:val="en-US"/>
        </w:rPr>
        <w:t>cause</w:t>
      </w:r>
      <w:proofErr w:type="spellEnd"/>
      <w:r w:rsidRPr="00DC10FB">
        <w:rPr>
          <w:lang w:val="en-US"/>
        </w:rPr>
        <w:t xml:space="preserve"> to be answered</w:t>
      </w:r>
      <w:r w:rsidR="006252C6">
        <w:rPr>
          <w:lang w:val="en-US"/>
        </w:rPr>
        <w:t>’</w:t>
      </w:r>
      <w:r w:rsidRPr="00DC10FB">
        <w:rPr>
          <w:lang w:val="en-US"/>
        </w:rPr>
        <w:t xml:space="preserve"> (s.319A(1) CA 2006).  </w:t>
      </w:r>
    </w:p>
    <w:p w14:paraId="3BB9B290" w14:textId="77777777" w:rsidR="00DC10FB" w:rsidRPr="00DC10FB" w:rsidRDefault="00DC10FB" w:rsidP="00DC10FB">
      <w:r w:rsidRPr="00DC10FB">
        <w:rPr>
          <w:lang w:val="en-US"/>
        </w:rPr>
        <w:t xml:space="preserve">An answer need not be given in certain circumstances, including if answering the question would be undesirable in the interests of the company or good order of the meeting, would involve disclosure of confidential information or the answer has already been given on a website (in answer to a question) (s.319A(2) CA 2006). </w:t>
      </w:r>
    </w:p>
    <w:p w14:paraId="02EC5A85" w14:textId="77777777" w:rsidR="009A5CEB" w:rsidRDefault="009A5CEB" w:rsidP="00DC10FB">
      <w:pPr>
        <w:rPr>
          <w:b/>
          <w:bCs/>
        </w:rPr>
      </w:pPr>
    </w:p>
    <w:p w14:paraId="5B9A3DDE" w14:textId="7EA45F63" w:rsidR="00DC10FB" w:rsidRPr="00DC10FB" w:rsidRDefault="00DC10FB" w:rsidP="00DC10FB">
      <w:r w:rsidRPr="00DC10FB">
        <w:rPr>
          <w:b/>
          <w:bCs/>
        </w:rPr>
        <w:t>Shareholder requisition rights</w:t>
      </w:r>
    </w:p>
    <w:p w14:paraId="72772590" w14:textId="20293EC6" w:rsidR="00791738" w:rsidRPr="00791738" w:rsidRDefault="00791738" w:rsidP="00791738">
      <w:r w:rsidRPr="00791738">
        <w:t xml:space="preserve">In certain situations, shareholders have the right to compel the company to take certain actions. These are referred to as </w:t>
      </w:r>
      <w:r w:rsidR="006252C6">
        <w:t>‘</w:t>
      </w:r>
      <w:r w:rsidRPr="00791738">
        <w:t>requisition rights</w:t>
      </w:r>
      <w:r w:rsidR="006252C6">
        <w:t>’</w:t>
      </w:r>
      <w:r w:rsidRPr="00791738">
        <w:t xml:space="preserve">. The following shareholder requisition rights will each now be considered in turn: </w:t>
      </w:r>
    </w:p>
    <w:p w14:paraId="49C6706B" w14:textId="77777777" w:rsidR="00791738" w:rsidRPr="00791738" w:rsidRDefault="00791738" w:rsidP="00791738">
      <w:pPr>
        <w:numPr>
          <w:ilvl w:val="0"/>
          <w:numId w:val="2"/>
        </w:numPr>
      </w:pPr>
      <w:r w:rsidRPr="00791738">
        <w:t>Shareholder requisition rights</w:t>
      </w:r>
    </w:p>
    <w:p w14:paraId="5CD38F30" w14:textId="77777777" w:rsidR="00791738" w:rsidRPr="00791738" w:rsidRDefault="00791738" w:rsidP="00791738">
      <w:pPr>
        <w:numPr>
          <w:ilvl w:val="1"/>
          <w:numId w:val="2"/>
        </w:numPr>
      </w:pPr>
      <w:r w:rsidRPr="00791738">
        <w:t>Requisition of a general meeting</w:t>
      </w:r>
    </w:p>
    <w:p w14:paraId="3B2907DE" w14:textId="77777777" w:rsidR="00791738" w:rsidRPr="00791738" w:rsidRDefault="00791738" w:rsidP="00791738">
      <w:pPr>
        <w:numPr>
          <w:ilvl w:val="1"/>
          <w:numId w:val="2"/>
        </w:numPr>
      </w:pPr>
      <w:r w:rsidRPr="00791738">
        <w:t>Requisition of a resolution</w:t>
      </w:r>
    </w:p>
    <w:p w14:paraId="301FAAEA" w14:textId="77777777" w:rsidR="00791738" w:rsidRPr="00791738" w:rsidRDefault="00791738" w:rsidP="00791738">
      <w:pPr>
        <w:numPr>
          <w:ilvl w:val="1"/>
          <w:numId w:val="2"/>
        </w:numPr>
      </w:pPr>
      <w:r w:rsidRPr="00791738">
        <w:t>Requisition of a matter to be included in AGM business</w:t>
      </w:r>
    </w:p>
    <w:p w14:paraId="422DE37B" w14:textId="77777777" w:rsidR="00861762" w:rsidRPr="00861762" w:rsidRDefault="00861762" w:rsidP="00861762">
      <w:r w:rsidRPr="00861762">
        <w:rPr>
          <w:lang w:val="en-US"/>
        </w:rPr>
        <w:t>Shareholders of all companies in all circumstances holding at least 5% of voting rights can require the board to call a GM (s.303 CA 2006).</w:t>
      </w:r>
    </w:p>
    <w:p w14:paraId="757CBC86" w14:textId="77777777" w:rsidR="00861762" w:rsidRPr="00861762" w:rsidRDefault="00861762" w:rsidP="00861762">
      <w:r w:rsidRPr="00861762">
        <w:rPr>
          <w:lang w:val="en-US"/>
        </w:rPr>
        <w:lastRenderedPageBreak/>
        <w:t xml:space="preserve">Shareholders can require resolutions to be put before a general meeting that they have convened under s.303(4)-(5) CA 2006. </w:t>
      </w:r>
    </w:p>
    <w:p w14:paraId="4D594E86" w14:textId="77777777" w:rsidR="00861762" w:rsidRPr="00861762" w:rsidRDefault="00861762" w:rsidP="00861762">
      <w:r w:rsidRPr="00861762">
        <w:rPr>
          <w:lang w:val="en-US"/>
        </w:rPr>
        <w:t xml:space="preserve">In addition to the s. 303 right to requisition a GM, ss.338-340 CA 2006 provide shareholders of </w:t>
      </w:r>
      <w:r w:rsidRPr="00861762">
        <w:rPr>
          <w:b/>
          <w:bCs/>
          <w:lang w:val="en-US"/>
        </w:rPr>
        <w:t xml:space="preserve">public companies </w:t>
      </w:r>
      <w:r w:rsidRPr="00861762">
        <w:rPr>
          <w:lang w:val="en-US"/>
        </w:rPr>
        <w:t xml:space="preserve">the power to require resolutions to be put before an AGM.  </w:t>
      </w:r>
    </w:p>
    <w:p w14:paraId="76264F9B" w14:textId="77777777" w:rsidR="00861762" w:rsidRPr="00861762" w:rsidRDefault="00861762" w:rsidP="00861762">
      <w:r w:rsidRPr="00861762">
        <w:rPr>
          <w:lang w:val="en-US"/>
        </w:rPr>
        <w:t>Under s.338(3), to qualify for the right to request a resolution to be put before an AGM, the request must be made by either:</w:t>
      </w:r>
    </w:p>
    <w:p w14:paraId="36C8E0D9" w14:textId="77777777" w:rsidR="00861762" w:rsidRPr="00861762" w:rsidRDefault="00861762" w:rsidP="00861762">
      <w:pPr>
        <w:numPr>
          <w:ilvl w:val="1"/>
          <w:numId w:val="3"/>
        </w:numPr>
      </w:pPr>
      <w:r w:rsidRPr="00861762">
        <w:rPr>
          <w:lang w:val="en-US"/>
        </w:rPr>
        <w:t>a shareholder or shareholders holding at least 5% of the total voting rights; or</w:t>
      </w:r>
    </w:p>
    <w:p w14:paraId="5366C244" w14:textId="77777777" w:rsidR="00861762" w:rsidRPr="00861762" w:rsidRDefault="00861762" w:rsidP="00861762">
      <w:pPr>
        <w:numPr>
          <w:ilvl w:val="1"/>
          <w:numId w:val="3"/>
        </w:numPr>
      </w:pPr>
      <w:r w:rsidRPr="00861762">
        <w:rPr>
          <w:lang w:val="en-US"/>
        </w:rPr>
        <w:t>at least 100 shareholders with the right to vote on the resolution at the AGM and holding, on average, per shareholder, at least £100 of paid-up share capital.</w:t>
      </w:r>
    </w:p>
    <w:p w14:paraId="3E46A08A" w14:textId="77777777" w:rsidR="009A5CEB" w:rsidRDefault="009A5CEB" w:rsidP="00DB1618">
      <w:pPr>
        <w:rPr>
          <w:b/>
          <w:bCs/>
          <w:lang w:val="en-US"/>
        </w:rPr>
      </w:pPr>
    </w:p>
    <w:p w14:paraId="4706DA48" w14:textId="4059560A" w:rsidR="00DB1618" w:rsidRPr="00DB1618" w:rsidRDefault="00DB1618" w:rsidP="00DB1618">
      <w:r w:rsidRPr="00DB1618">
        <w:rPr>
          <w:b/>
          <w:bCs/>
          <w:lang w:val="en-US"/>
        </w:rPr>
        <w:t>Shareholders’ requisition of matter to be included in AGM business</w:t>
      </w:r>
    </w:p>
    <w:p w14:paraId="1144812C" w14:textId="77777777" w:rsidR="00DB1618" w:rsidRPr="00DB1618" w:rsidRDefault="00DB1618" w:rsidP="00DB1618">
      <w:r w:rsidRPr="00DB1618">
        <w:rPr>
          <w:lang w:val="en-US"/>
        </w:rPr>
        <w:t xml:space="preserve">In addition to the right of public company shareholders to requisition an AGM resolution (s.338 CA 2006), shareholders of traded companies also have a requisition right to require the company to include any matter (other than a resolution) that may properly be included in the business to be dealt with at an AGM (s.338A CA 2006).  </w:t>
      </w:r>
    </w:p>
    <w:p w14:paraId="0C1C3880" w14:textId="77777777" w:rsidR="00DB1618" w:rsidRPr="00DB1618" w:rsidRDefault="00DB1618" w:rsidP="00DB1618">
      <w:r w:rsidRPr="00DB1618">
        <w:rPr>
          <w:lang w:val="en-US"/>
        </w:rPr>
        <w:t>The qualification threshold to invoke s. 338A CA 2006 is the same as for s. 338 CA 2006.</w:t>
      </w:r>
    </w:p>
    <w:p w14:paraId="31B02CDD" w14:textId="77777777" w:rsidR="00DB1618" w:rsidRPr="00DB1618" w:rsidRDefault="00DB1618" w:rsidP="00DB1618">
      <w:r w:rsidRPr="00DB1618">
        <w:rPr>
          <w:lang w:val="en-US"/>
        </w:rPr>
        <w:t>On this basis, the request must be made by either:</w:t>
      </w:r>
    </w:p>
    <w:p w14:paraId="4EB5F420" w14:textId="77777777" w:rsidR="00DB1618" w:rsidRPr="00DB1618" w:rsidRDefault="00DB1618" w:rsidP="00DB1618">
      <w:pPr>
        <w:numPr>
          <w:ilvl w:val="1"/>
          <w:numId w:val="4"/>
        </w:numPr>
      </w:pPr>
      <w:r w:rsidRPr="00DB1618">
        <w:rPr>
          <w:lang w:val="en-US"/>
        </w:rPr>
        <w:t>a shareholder or shareholders holding at least 5% of the total voting rights; or</w:t>
      </w:r>
    </w:p>
    <w:p w14:paraId="3563414C" w14:textId="77777777" w:rsidR="00DB1618" w:rsidRPr="00DB1618" w:rsidRDefault="00DB1618" w:rsidP="00DB1618">
      <w:pPr>
        <w:numPr>
          <w:ilvl w:val="1"/>
          <w:numId w:val="4"/>
        </w:numPr>
      </w:pPr>
      <w:r w:rsidRPr="00DB1618">
        <w:rPr>
          <w:lang w:val="en-US"/>
        </w:rPr>
        <w:t>at least 100 shareholders with the right to vote on the resolution at the AGM and holding, on average, per shareholder, at least £100 of paid-up share capital.</w:t>
      </w:r>
    </w:p>
    <w:p w14:paraId="5C1754F2" w14:textId="77777777" w:rsidR="009A5CEB" w:rsidRDefault="009A5CEB" w:rsidP="00A26748">
      <w:pPr>
        <w:rPr>
          <w:b/>
          <w:bCs/>
        </w:rPr>
      </w:pPr>
    </w:p>
    <w:p w14:paraId="0152CD0D" w14:textId="3689B5FC" w:rsidR="00A26748" w:rsidRPr="00A26748" w:rsidRDefault="00A26748" w:rsidP="00A26748">
      <w:r w:rsidRPr="00A26748">
        <w:rPr>
          <w:b/>
          <w:bCs/>
        </w:rPr>
        <w:t xml:space="preserve">Circulars to shareholders </w:t>
      </w:r>
    </w:p>
    <w:p w14:paraId="7BDD9F27" w14:textId="7F8CD600" w:rsidR="00A26748" w:rsidRDefault="00A26748" w:rsidP="00A26748">
      <w:pPr>
        <w:rPr>
          <w:lang w:val="en-US"/>
        </w:rPr>
      </w:pPr>
      <w:r w:rsidRPr="00A26748">
        <w:rPr>
          <w:lang w:val="en-US"/>
        </w:rPr>
        <w:t>A circular is any document issued by a listed company to its shareholders, including notices of meetings but excluding (amongst other things) prospectuses, annual reports and accounts, interim reports and proxy cards (see</w:t>
      </w:r>
      <w:r w:rsidR="00767BBD">
        <w:rPr>
          <w:lang w:val="en-US"/>
        </w:rPr>
        <w:t xml:space="preserve"> the </w:t>
      </w:r>
      <w:r w:rsidR="00A95520">
        <w:rPr>
          <w:lang w:val="en-US"/>
        </w:rPr>
        <w:t xml:space="preserve">FCA </w:t>
      </w:r>
      <w:r w:rsidR="002702F1">
        <w:rPr>
          <w:lang w:val="en-US"/>
        </w:rPr>
        <w:t xml:space="preserve">Handbook </w:t>
      </w:r>
      <w:r w:rsidR="00A95520">
        <w:rPr>
          <w:lang w:val="en-US"/>
        </w:rPr>
        <w:t>Glossary</w:t>
      </w:r>
      <w:r w:rsidR="00767BBD">
        <w:rPr>
          <w:lang w:val="en-US"/>
        </w:rPr>
        <w:t xml:space="preserve"> for full definition</w:t>
      </w:r>
      <w:r w:rsidR="00A95520">
        <w:rPr>
          <w:lang w:val="en-US"/>
        </w:rPr>
        <w:t>)</w:t>
      </w:r>
      <w:r w:rsidRPr="00A26748">
        <w:rPr>
          <w:lang w:val="en-US"/>
        </w:rPr>
        <w:t xml:space="preserve">.   </w:t>
      </w:r>
    </w:p>
    <w:p w14:paraId="002F857F" w14:textId="77777777" w:rsidR="00A26748" w:rsidRPr="00A26748" w:rsidRDefault="00A26748" w:rsidP="00A26748">
      <w:r w:rsidRPr="00A26748">
        <w:rPr>
          <w:lang w:val="en-US"/>
        </w:rPr>
        <w:t xml:space="preserve">If the company undertakes a transaction which requires shareholder approval, a circular will be sent to the shareholders which contains the information necessary to enable them to make an informed decision in respect of the matter. The general meeting notice will form part of the circular. </w:t>
      </w:r>
    </w:p>
    <w:p w14:paraId="3A210306" w14:textId="5C40FD46" w:rsidR="00A26748" w:rsidRPr="00A26748" w:rsidRDefault="00F93C0E" w:rsidP="00A26748">
      <w:r>
        <w:rPr>
          <w:lang w:val="en-US"/>
        </w:rPr>
        <w:t>UK</w:t>
      </w:r>
      <w:r w:rsidR="00A26748" w:rsidRPr="00A26748">
        <w:rPr>
          <w:lang w:val="en-US"/>
        </w:rPr>
        <w:t>LR 1</w:t>
      </w:r>
      <w:r>
        <w:rPr>
          <w:lang w:val="en-US"/>
        </w:rPr>
        <w:t>0</w:t>
      </w:r>
      <w:r w:rsidR="00A26748" w:rsidRPr="00A26748">
        <w:rPr>
          <w:lang w:val="en-US"/>
        </w:rPr>
        <w:t xml:space="preserve"> contains the requirements relating to the content of circulars. </w:t>
      </w:r>
    </w:p>
    <w:p w14:paraId="1F7DC544" w14:textId="69AC9F11" w:rsidR="00A26748" w:rsidRPr="00A26748" w:rsidRDefault="00A26748" w:rsidP="00A26748">
      <w:r w:rsidRPr="00A26748">
        <w:rPr>
          <w:lang w:val="en-US"/>
        </w:rPr>
        <w:t>In a similar way to prospectuses, information may be incorporated in a circular by reference to information contained in that company’s approved prospectus or other document filed by that company with the FCA (</w:t>
      </w:r>
      <w:r w:rsidR="001652B5">
        <w:rPr>
          <w:lang w:val="en-US"/>
        </w:rPr>
        <w:t>UK</w:t>
      </w:r>
      <w:r w:rsidRPr="00A26748">
        <w:rPr>
          <w:lang w:val="en-US"/>
        </w:rPr>
        <w:t xml:space="preserve">LR </w:t>
      </w:r>
      <w:r w:rsidR="001652B5">
        <w:rPr>
          <w:lang w:val="en-US"/>
        </w:rPr>
        <w:t>7</w:t>
      </w:r>
      <w:r w:rsidRPr="00A26748">
        <w:rPr>
          <w:lang w:val="en-US"/>
        </w:rPr>
        <w:t>.</w:t>
      </w:r>
      <w:r w:rsidR="001652B5">
        <w:rPr>
          <w:lang w:val="en-US"/>
        </w:rPr>
        <w:t>3</w:t>
      </w:r>
      <w:r w:rsidRPr="00A26748">
        <w:rPr>
          <w:lang w:val="en-US"/>
        </w:rPr>
        <w:t>.</w:t>
      </w:r>
      <w:r w:rsidR="001652B5">
        <w:rPr>
          <w:lang w:val="en-US"/>
        </w:rPr>
        <w:t>6</w:t>
      </w:r>
      <w:r w:rsidR="003E40A0">
        <w:rPr>
          <w:lang w:val="en-US"/>
        </w:rPr>
        <w:t xml:space="preserve"> -7</w:t>
      </w:r>
      <w:r w:rsidRPr="00A26748">
        <w:rPr>
          <w:lang w:val="en-US"/>
        </w:rPr>
        <w:t>).</w:t>
      </w:r>
    </w:p>
    <w:p w14:paraId="7911A161" w14:textId="77777777" w:rsidR="009A5CEB" w:rsidRDefault="009A5CEB" w:rsidP="00750E4B">
      <w:pPr>
        <w:rPr>
          <w:b/>
          <w:bCs/>
        </w:rPr>
      </w:pPr>
    </w:p>
    <w:p w14:paraId="16C22C3C" w14:textId="06229DF0" w:rsidR="00750E4B" w:rsidRPr="00750E4B" w:rsidRDefault="00750E4B" w:rsidP="00750E4B">
      <w:r w:rsidRPr="00750E4B">
        <w:rPr>
          <w:b/>
          <w:bCs/>
        </w:rPr>
        <w:t>Circulars to shareholders:</w:t>
      </w:r>
    </w:p>
    <w:p w14:paraId="3227B48B" w14:textId="77777777" w:rsidR="00750E4B" w:rsidRPr="00750E4B" w:rsidRDefault="00750E4B" w:rsidP="00750E4B">
      <w:r w:rsidRPr="00750E4B">
        <w:rPr>
          <w:b/>
          <w:bCs/>
        </w:rPr>
        <w:t>FCA approval</w:t>
      </w:r>
    </w:p>
    <w:p w14:paraId="641854CF" w14:textId="1E5F50BB" w:rsidR="00750E4B" w:rsidRPr="00750E4B" w:rsidRDefault="00750E4B" w:rsidP="00750E4B">
      <w:r w:rsidRPr="00750E4B">
        <w:rPr>
          <w:lang w:val="en-US"/>
        </w:rPr>
        <w:t>Some circulars must be approved by the FCA before they are sent to shareholders</w:t>
      </w:r>
      <w:r w:rsidR="00BE5D4D">
        <w:rPr>
          <w:lang w:val="en-US"/>
        </w:rPr>
        <w:t xml:space="preserve"> (UKLR 10.2.1)</w:t>
      </w:r>
    </w:p>
    <w:p w14:paraId="65CE9ED1" w14:textId="2107EF6F" w:rsidR="00AE22BE" w:rsidRPr="00AE22BE" w:rsidRDefault="00AE22BE" w:rsidP="00AE22BE">
      <w:r w:rsidRPr="00AE22BE">
        <w:rPr>
          <w:lang w:val="en-US"/>
        </w:rPr>
        <w:lastRenderedPageBreak/>
        <w:t xml:space="preserve">These include circulars relating to </w:t>
      </w:r>
      <w:r w:rsidR="00160883">
        <w:rPr>
          <w:lang w:val="en-US"/>
        </w:rPr>
        <w:t xml:space="preserve">a reverse takeover, </w:t>
      </w:r>
      <w:r w:rsidR="00170964">
        <w:rPr>
          <w:lang w:val="en-US"/>
        </w:rPr>
        <w:t>a cancellation of listing and a transfer of a listing.</w:t>
      </w:r>
    </w:p>
    <w:p w14:paraId="78471C30" w14:textId="77777777" w:rsidR="00D755BC" w:rsidRDefault="00D755BC" w:rsidP="00D755BC">
      <w:pPr>
        <w:rPr>
          <w:b/>
          <w:bCs/>
        </w:rPr>
      </w:pPr>
    </w:p>
    <w:p w14:paraId="17898E23" w14:textId="77777777" w:rsidR="00D11B1F" w:rsidRPr="00D11B1F" w:rsidRDefault="00D11B1F" w:rsidP="00D11B1F">
      <w:r w:rsidRPr="00D11B1F">
        <w:rPr>
          <w:b/>
          <w:bCs/>
        </w:rPr>
        <w:t>Methods of communication</w:t>
      </w:r>
    </w:p>
    <w:p w14:paraId="3164D121" w14:textId="77777777" w:rsidR="00D11B1F" w:rsidRPr="00D11B1F" w:rsidRDefault="00D11B1F" w:rsidP="00D11B1F">
      <w:r w:rsidRPr="00D11B1F">
        <w:rPr>
          <w:lang w:val="en-US"/>
        </w:rPr>
        <w:t>Sending out circulars in hard copy form can be a significant logistical exercise.  As such, almost all shareholder communications are now undertaken electronically.</w:t>
      </w:r>
    </w:p>
    <w:p w14:paraId="03B7B1A3" w14:textId="77777777" w:rsidR="00D11B1F" w:rsidRPr="00D11B1F" w:rsidRDefault="00D11B1F" w:rsidP="00D11B1F">
      <w:r w:rsidRPr="00D11B1F">
        <w:rPr>
          <w:lang w:val="en-US"/>
        </w:rPr>
        <w:t xml:space="preserve">S.308 CA 2006 allows a company to give notice of a general meeting by: </w:t>
      </w:r>
    </w:p>
    <w:p w14:paraId="39267B1A" w14:textId="77777777" w:rsidR="00D11B1F" w:rsidRPr="00D11B1F" w:rsidRDefault="00D11B1F" w:rsidP="00D11B1F">
      <w:pPr>
        <w:numPr>
          <w:ilvl w:val="1"/>
          <w:numId w:val="6"/>
        </w:numPr>
      </w:pPr>
      <w:r w:rsidRPr="00D11B1F">
        <w:rPr>
          <w:lang w:val="en-US"/>
        </w:rPr>
        <w:t xml:space="preserve">hard </w:t>
      </w:r>
      <w:proofErr w:type="gramStart"/>
      <w:r w:rsidRPr="00D11B1F">
        <w:rPr>
          <w:lang w:val="en-US"/>
        </w:rPr>
        <w:t>copy;</w:t>
      </w:r>
      <w:proofErr w:type="gramEnd"/>
    </w:p>
    <w:p w14:paraId="144D79D4" w14:textId="77777777" w:rsidR="00D11B1F" w:rsidRPr="00D11B1F" w:rsidRDefault="00D11B1F" w:rsidP="00D11B1F">
      <w:pPr>
        <w:numPr>
          <w:ilvl w:val="1"/>
          <w:numId w:val="6"/>
        </w:numPr>
      </w:pPr>
      <w:r w:rsidRPr="00D11B1F">
        <w:rPr>
          <w:lang w:val="en-US"/>
        </w:rPr>
        <w:t xml:space="preserve">electronic form; and </w:t>
      </w:r>
    </w:p>
    <w:p w14:paraId="7B476446" w14:textId="77777777" w:rsidR="00D11B1F" w:rsidRPr="00D11B1F" w:rsidRDefault="00D11B1F" w:rsidP="00D11B1F">
      <w:pPr>
        <w:numPr>
          <w:ilvl w:val="1"/>
          <w:numId w:val="6"/>
        </w:numPr>
      </w:pPr>
      <w:r w:rsidRPr="00D11B1F">
        <w:rPr>
          <w:lang w:val="en-US"/>
        </w:rPr>
        <w:t>means of website.</w:t>
      </w:r>
    </w:p>
    <w:p w14:paraId="7CDEBC59" w14:textId="77777777" w:rsidR="00D11B1F" w:rsidRPr="00D11B1F" w:rsidRDefault="00D11B1F" w:rsidP="00D11B1F">
      <w:r w:rsidRPr="00D11B1F">
        <w:rPr>
          <w:lang w:val="en-US"/>
        </w:rPr>
        <w:t>The definitions of these different types of communication will each now be considered in turn.</w:t>
      </w:r>
    </w:p>
    <w:p w14:paraId="3918322E" w14:textId="77777777" w:rsidR="009A5CEB" w:rsidRDefault="009A5CEB" w:rsidP="007E016F">
      <w:pPr>
        <w:rPr>
          <w:b/>
          <w:bCs/>
        </w:rPr>
      </w:pPr>
    </w:p>
    <w:p w14:paraId="23FEC0C4" w14:textId="3468F1FC" w:rsidR="007E016F" w:rsidRPr="007E016F" w:rsidRDefault="007E016F" w:rsidP="007E016F">
      <w:r w:rsidRPr="007E016F">
        <w:rPr>
          <w:b/>
          <w:bCs/>
        </w:rPr>
        <w:t>Methods of communication: Hard copy</w:t>
      </w:r>
    </w:p>
    <w:p w14:paraId="7DC98FBF" w14:textId="23F0309B" w:rsidR="007E016F" w:rsidRPr="007E016F" w:rsidRDefault="00EE5CE5" w:rsidP="007E016F">
      <w:r>
        <w:rPr>
          <w:lang w:val="en-US"/>
        </w:rPr>
        <w:t>‘</w:t>
      </w:r>
      <w:r w:rsidR="007E016F" w:rsidRPr="007E016F">
        <w:rPr>
          <w:lang w:val="en-US"/>
        </w:rPr>
        <w:t>Hard copy</w:t>
      </w:r>
      <w:r>
        <w:rPr>
          <w:lang w:val="en-US"/>
        </w:rPr>
        <w:t>’</w:t>
      </w:r>
      <w:r w:rsidR="007E016F" w:rsidRPr="007E016F">
        <w:rPr>
          <w:lang w:val="en-US"/>
        </w:rPr>
        <w:t xml:space="preserve"> is defined by s.1168(2) CA 2006 as information supplied in paper copy or similar form capable of being read. </w:t>
      </w:r>
    </w:p>
    <w:p w14:paraId="389C9344" w14:textId="77777777" w:rsidR="007E016F" w:rsidRPr="007E016F" w:rsidRDefault="007E016F" w:rsidP="007E016F">
      <w:r w:rsidRPr="007E016F">
        <w:rPr>
          <w:lang w:val="en-US"/>
        </w:rPr>
        <w:t>Where a shareholder receives information other than in hard copy, s.1145 CA 2006 allows that shareholder to request a form in hard copy form (at no charge).</w:t>
      </w:r>
    </w:p>
    <w:p w14:paraId="69CA5B5C" w14:textId="77777777" w:rsidR="007E016F" w:rsidRPr="007E016F" w:rsidRDefault="007E016F" w:rsidP="007E016F">
      <w:r w:rsidRPr="007E016F">
        <w:rPr>
          <w:lang w:val="en-US"/>
        </w:rPr>
        <w:t xml:space="preserve">Most FTSE 100 companies have taken advantage of the electronic communication regime by changing their articles or passing a shareholder resolution to permit electronic communication, with most companies preferring to change their articles of association.  This has the advantage that there is a permanent record embedded in the company’s articles of association of the procedure for communicating electronically with shareholders.  </w:t>
      </w:r>
      <w:proofErr w:type="gramStart"/>
      <w:r w:rsidRPr="007E016F">
        <w:rPr>
          <w:lang w:val="en-US"/>
        </w:rPr>
        <w:t>The majority of</w:t>
      </w:r>
      <w:proofErr w:type="gramEnd"/>
      <w:r w:rsidRPr="007E016F">
        <w:rPr>
          <w:lang w:val="en-US"/>
        </w:rPr>
        <w:t xml:space="preserve"> shareholders of FTSE 100 companies have been defaulted (by deemed consent) to the website route. </w:t>
      </w:r>
    </w:p>
    <w:p w14:paraId="5C90F03B" w14:textId="77777777" w:rsidR="009A5CEB" w:rsidRDefault="009A5CEB" w:rsidP="00AD7CAC">
      <w:pPr>
        <w:rPr>
          <w:b/>
          <w:bCs/>
        </w:rPr>
      </w:pPr>
    </w:p>
    <w:p w14:paraId="2B0FD710" w14:textId="7049DC2F" w:rsidR="00AD7CAC" w:rsidRPr="00AD7CAC" w:rsidRDefault="00AD7CAC" w:rsidP="00AD7CAC">
      <w:r w:rsidRPr="00AD7CAC">
        <w:rPr>
          <w:b/>
          <w:bCs/>
        </w:rPr>
        <w:t>Methods of communication: Electronic form</w:t>
      </w:r>
    </w:p>
    <w:p w14:paraId="4A210A7B" w14:textId="3610E6F2" w:rsidR="00AD7CAC" w:rsidRPr="00AD7CAC" w:rsidRDefault="00AD7CAC" w:rsidP="00AD7CAC">
      <w:r w:rsidRPr="00AD7CAC">
        <w:rPr>
          <w:lang w:val="en-US"/>
        </w:rPr>
        <w:t xml:space="preserve">S.1168(3) CA 2006 provides that a document is sent in </w:t>
      </w:r>
      <w:r w:rsidR="006252C6">
        <w:rPr>
          <w:lang w:val="en-US"/>
        </w:rPr>
        <w:t>‘</w:t>
      </w:r>
      <w:r w:rsidRPr="00AD7CAC">
        <w:rPr>
          <w:lang w:val="en-US"/>
        </w:rPr>
        <w:t>electronic form</w:t>
      </w:r>
      <w:r w:rsidR="006252C6">
        <w:rPr>
          <w:lang w:val="en-US"/>
        </w:rPr>
        <w:t>’</w:t>
      </w:r>
      <w:r w:rsidRPr="00AD7CAC">
        <w:rPr>
          <w:lang w:val="en-US"/>
        </w:rPr>
        <w:t xml:space="preserve"> if it is sent or supplied by electronic means, such as by email and fax, or by any other means while in electronic form (e.g. sending a disc by post).   Under paragraph 6 of Part 3 of Schedule 5, CA 2006, a document or information may only be sent or supplied by a company in electronic form to a shareholder who has expressly opted in and agreed to receive communications in that way or is deemed to have so agreed by a provision of the CA 2006.</w:t>
      </w:r>
    </w:p>
    <w:p w14:paraId="2EB265D8" w14:textId="77777777" w:rsidR="00F07866" w:rsidRDefault="00F07866" w:rsidP="00F07866">
      <w:pPr>
        <w:rPr>
          <w:b/>
          <w:bCs/>
        </w:rPr>
      </w:pPr>
    </w:p>
    <w:p w14:paraId="24A5B5BA" w14:textId="711E33B4" w:rsidR="00F07866" w:rsidRPr="00F07866" w:rsidRDefault="00F07866" w:rsidP="00F07866">
      <w:r w:rsidRPr="00F07866">
        <w:rPr>
          <w:b/>
          <w:bCs/>
        </w:rPr>
        <w:t>Methods of communication: Website communications</w:t>
      </w:r>
    </w:p>
    <w:p w14:paraId="0B84E811" w14:textId="77777777" w:rsidR="00F07866" w:rsidRPr="00F07866" w:rsidRDefault="00F07866" w:rsidP="00F07866">
      <w:r w:rsidRPr="00F07866">
        <w:rPr>
          <w:lang w:val="en-US"/>
        </w:rPr>
        <w:t xml:space="preserve">Paragraphs 9 and 10 of Part 4 of Schedule 5 TO CA 2006 enable a shareholder to agree - or be deemed to have agreed - to receive information from the company by means of a </w:t>
      </w:r>
      <w:r w:rsidRPr="00F07866">
        <w:rPr>
          <w:b/>
          <w:bCs/>
          <w:lang w:val="en-US"/>
        </w:rPr>
        <w:t>website</w:t>
      </w:r>
      <w:r w:rsidRPr="00F07866">
        <w:rPr>
          <w:lang w:val="en-US"/>
        </w:rPr>
        <w:t>.  A shareholder will be deemed to have agreed to communication by website where:</w:t>
      </w:r>
    </w:p>
    <w:p w14:paraId="04C77C7E" w14:textId="77777777" w:rsidR="00F07866" w:rsidRPr="00F07866" w:rsidRDefault="00F07866" w:rsidP="00F07866">
      <w:pPr>
        <w:numPr>
          <w:ilvl w:val="0"/>
          <w:numId w:val="7"/>
        </w:numPr>
      </w:pPr>
      <w:r w:rsidRPr="00F07866">
        <w:rPr>
          <w:lang w:val="en-US"/>
        </w:rPr>
        <w:lastRenderedPageBreak/>
        <w:t xml:space="preserve">the company has resolved or its articles state the company may communicate by making documents available on a </w:t>
      </w:r>
      <w:proofErr w:type="gramStart"/>
      <w:r w:rsidRPr="00F07866">
        <w:rPr>
          <w:lang w:val="en-US"/>
        </w:rPr>
        <w:t>website;</w:t>
      </w:r>
      <w:proofErr w:type="gramEnd"/>
      <w:r w:rsidRPr="00F07866">
        <w:rPr>
          <w:lang w:val="en-US"/>
        </w:rPr>
        <w:t xml:space="preserve"> </w:t>
      </w:r>
    </w:p>
    <w:p w14:paraId="73FF969B" w14:textId="77777777" w:rsidR="00F07866" w:rsidRPr="00F07866" w:rsidRDefault="00F07866" w:rsidP="00F07866">
      <w:pPr>
        <w:numPr>
          <w:ilvl w:val="0"/>
          <w:numId w:val="7"/>
        </w:numPr>
      </w:pPr>
      <w:r w:rsidRPr="00F07866">
        <w:rPr>
          <w:lang w:val="en-US"/>
        </w:rPr>
        <w:t xml:space="preserve">the shareholder has in either case been asked individually by the company to agree to the use of website communication by the company; and </w:t>
      </w:r>
    </w:p>
    <w:p w14:paraId="57A591F8" w14:textId="77777777" w:rsidR="00544400" w:rsidRDefault="00F07866" w:rsidP="00AF064F">
      <w:pPr>
        <w:numPr>
          <w:ilvl w:val="0"/>
          <w:numId w:val="7"/>
        </w:numPr>
      </w:pPr>
      <w:r w:rsidRPr="00544400">
        <w:rPr>
          <w:lang w:val="en-US"/>
        </w:rPr>
        <w:t>the shareholder has not responded within 28 days of the invitation to indicate that he would like to opt out of website communication.</w:t>
      </w:r>
    </w:p>
    <w:p w14:paraId="2434A302" w14:textId="77777777" w:rsidR="00AF6D0E" w:rsidRDefault="00AF6D0E" w:rsidP="00AF6D0E"/>
    <w:p w14:paraId="6C49679F" w14:textId="70DE88D7" w:rsidR="0055646D" w:rsidRPr="0055646D" w:rsidRDefault="0055646D" w:rsidP="00AF6D0E">
      <w:r w:rsidRPr="00544400">
        <w:rPr>
          <w:lang w:val="en-US"/>
        </w:rPr>
        <w:t xml:space="preserve">Paragraph 13 of Part 4 of Schedule 5 requires notification to shareholders of the fact that information has been posted on a website and the way in which the information can be accessed.  </w:t>
      </w:r>
    </w:p>
    <w:p w14:paraId="57193D64" w14:textId="77777777" w:rsidR="0055646D" w:rsidRDefault="0055646D" w:rsidP="0055646D">
      <w:pPr>
        <w:rPr>
          <w:lang w:val="en-US"/>
        </w:rPr>
      </w:pPr>
      <w:r w:rsidRPr="0055646D">
        <w:rPr>
          <w:lang w:val="en-US"/>
        </w:rPr>
        <w:t>Where a shareholder is deemed to have consented to receive information by means of a website (in other words, it has not responded negatively to the company’s invitation), the notification can be sent by post or electronic means, provided that the company has been supplied with an appropriate address.  Where the shareholder has expressly agreed to receive communications in electronic form and has supplied an e-mail address, notification can be sent by email. In all other cases, however, the shareholder will need to be sent the notification in hard copy.  Shareholders who have indicated that they do not want to access information by a website link have to be sent the information or document itself in hard copy.</w:t>
      </w:r>
    </w:p>
    <w:p w14:paraId="455B81D6" w14:textId="77777777" w:rsidR="00AF6D0E" w:rsidRPr="0055646D" w:rsidRDefault="00AF6D0E" w:rsidP="0055646D"/>
    <w:p w14:paraId="65ED45C7" w14:textId="77777777" w:rsidR="00433F19" w:rsidRPr="00433F19" w:rsidRDefault="00433F19" w:rsidP="00433F19">
      <w:r w:rsidRPr="00433F19">
        <w:rPr>
          <w:b/>
          <w:bCs/>
        </w:rPr>
        <w:t xml:space="preserve">The FCA: Disclosure Guidance and Transparency Rules sourcebook (DTRs) </w:t>
      </w:r>
    </w:p>
    <w:p w14:paraId="0D401B38" w14:textId="77777777" w:rsidR="00433F19" w:rsidRPr="00433F19" w:rsidRDefault="00433F19" w:rsidP="00433F19">
      <w:r w:rsidRPr="00433F19">
        <w:rPr>
          <w:lang w:val="en-US"/>
        </w:rPr>
        <w:t xml:space="preserve">The FCA’s DTRs impose further obligations on issuers with transferable securities admitted to trading on a regulated market (including the Main Market) and who use electronic means to communicate with shareholders. </w:t>
      </w:r>
    </w:p>
    <w:p w14:paraId="6F60EF6F" w14:textId="77777777" w:rsidR="00433F19" w:rsidRPr="00433F19" w:rsidRDefault="00433F19" w:rsidP="00433F19">
      <w:proofErr w:type="gramStart"/>
      <w:r w:rsidRPr="00433F19">
        <w:rPr>
          <w:lang w:val="en-US"/>
        </w:rPr>
        <w:t>In particular, a</w:t>
      </w:r>
      <w:proofErr w:type="gramEnd"/>
      <w:r w:rsidRPr="00433F19">
        <w:rPr>
          <w:lang w:val="en-US"/>
        </w:rPr>
        <w:t xml:space="preserve"> decision to use electronic means to convey information must be taken at a general meeting of the issuer; see DTR 6.1.8(1). </w:t>
      </w:r>
    </w:p>
    <w:p w14:paraId="74CE6916" w14:textId="77777777" w:rsidR="00433F19" w:rsidRPr="00433F19" w:rsidRDefault="00433F19" w:rsidP="00433F19">
      <w:r w:rsidRPr="00433F19">
        <w:rPr>
          <w:lang w:val="en-US"/>
        </w:rPr>
        <w:t xml:space="preserve">Note, however, that the procedure in DTR 6.1.8(4) for getting shareholder consent to electronic communications does </w:t>
      </w:r>
      <w:r w:rsidRPr="00433F19">
        <w:rPr>
          <w:b/>
          <w:bCs/>
          <w:lang w:val="en-US"/>
        </w:rPr>
        <w:t>not</w:t>
      </w:r>
      <w:r w:rsidRPr="00433F19">
        <w:rPr>
          <w:lang w:val="en-US"/>
        </w:rPr>
        <w:t xml:space="preserve"> apply where Schedule 5 CA 2006 applies.</w:t>
      </w:r>
    </w:p>
    <w:p w14:paraId="4EC8FC41" w14:textId="77777777" w:rsidR="009A5CEB" w:rsidRDefault="009A5CEB" w:rsidP="00C95902">
      <w:pPr>
        <w:rPr>
          <w:b/>
          <w:bCs/>
        </w:rPr>
      </w:pPr>
    </w:p>
    <w:p w14:paraId="581F7356" w14:textId="41F77ED1" w:rsidR="00C95902" w:rsidRPr="00C95902" w:rsidRDefault="00C95902" w:rsidP="00C95902">
      <w:r w:rsidRPr="00C95902">
        <w:rPr>
          <w:b/>
          <w:bCs/>
        </w:rPr>
        <w:t>Forms of Proxy</w:t>
      </w:r>
    </w:p>
    <w:p w14:paraId="1DA74858" w14:textId="77777777" w:rsidR="00C95902" w:rsidRPr="00C95902" w:rsidRDefault="00C95902" w:rsidP="00C95902">
      <w:r w:rsidRPr="00C95902">
        <w:rPr>
          <w:lang w:val="en-US"/>
        </w:rPr>
        <w:t xml:space="preserve">Any notice in respect of a meeting of the company must notify the shareholder of their right to appoint a </w:t>
      </w:r>
      <w:r w:rsidRPr="00C95902">
        <w:rPr>
          <w:b/>
          <w:bCs/>
          <w:lang w:val="en-US"/>
        </w:rPr>
        <w:t>proxy</w:t>
      </w:r>
      <w:r w:rsidRPr="00C95902">
        <w:rPr>
          <w:lang w:val="en-US"/>
        </w:rPr>
        <w:t xml:space="preserve"> to attend, speak and vote at a meeting of the company (ss. 324 to 326 CA 2006).  </w:t>
      </w:r>
    </w:p>
    <w:p w14:paraId="358F0B12" w14:textId="418E35D1" w:rsidR="00C95902" w:rsidRPr="00C95902" w:rsidRDefault="00C95902" w:rsidP="00C95902">
      <w:r w:rsidRPr="00C95902">
        <w:rPr>
          <w:lang w:val="en-US"/>
        </w:rPr>
        <w:t xml:space="preserve">Forms of proxy typically allow the shareholder to direct how a proxy should vote (in other words, for or against a motion).  This is a </w:t>
      </w:r>
      <w:r w:rsidR="00E525DC">
        <w:rPr>
          <w:lang w:val="en-US"/>
        </w:rPr>
        <w:t>‘</w:t>
      </w:r>
      <w:r w:rsidR="002B6E85">
        <w:rPr>
          <w:b/>
          <w:bCs/>
          <w:lang w:val="en-US"/>
        </w:rPr>
        <w:t>2</w:t>
      </w:r>
      <w:r w:rsidRPr="00C95902">
        <w:rPr>
          <w:b/>
          <w:bCs/>
          <w:lang w:val="en-US"/>
        </w:rPr>
        <w:t>-way</w:t>
      </w:r>
      <w:r w:rsidR="00E525DC">
        <w:rPr>
          <w:lang w:val="en-US"/>
        </w:rPr>
        <w:t>’</w:t>
      </w:r>
      <w:r w:rsidRPr="00C95902">
        <w:rPr>
          <w:lang w:val="en-US"/>
        </w:rPr>
        <w:t xml:space="preserve"> form of proxy.</w:t>
      </w:r>
    </w:p>
    <w:p w14:paraId="4BA886BB" w14:textId="07B35DC8" w:rsidR="00C95902" w:rsidRPr="00C95902" w:rsidRDefault="00C95902" w:rsidP="00C95902">
      <w:r w:rsidRPr="00C95902">
        <w:rPr>
          <w:lang w:val="en-US"/>
        </w:rPr>
        <w:t xml:space="preserve">Institutional shareholders are being increasingly pressured to vote their shares at general meetings and to make use of their proxy rights.  A </w:t>
      </w:r>
      <w:r w:rsidR="002B6E85">
        <w:rPr>
          <w:lang w:val="en-US"/>
        </w:rPr>
        <w:t>2</w:t>
      </w:r>
      <w:r w:rsidRPr="00C95902">
        <w:rPr>
          <w:lang w:val="en-US"/>
        </w:rPr>
        <w:t xml:space="preserve">-way form of proxy does, however, limit the options for a shareholder who does not feel able to support a resolution but nevertheless does not wish to vote against a resolution (as it might alienate the company’s board and could even affect the company’s share price).  </w:t>
      </w:r>
    </w:p>
    <w:p w14:paraId="002EA9DA" w14:textId="0A8FA53B" w:rsidR="00974367" w:rsidRPr="00974367" w:rsidRDefault="00974367" w:rsidP="00974367">
      <w:r w:rsidRPr="00974367">
        <w:rPr>
          <w:lang w:val="en-US"/>
        </w:rPr>
        <w:t xml:space="preserve">Given the above, </w:t>
      </w:r>
      <w:r w:rsidR="006F3003">
        <w:rPr>
          <w:lang w:val="en-US"/>
        </w:rPr>
        <w:t>UK</w:t>
      </w:r>
      <w:r w:rsidRPr="00974367">
        <w:rPr>
          <w:lang w:val="en-US"/>
        </w:rPr>
        <w:t xml:space="preserve">LR </w:t>
      </w:r>
      <w:r w:rsidR="006F3003">
        <w:rPr>
          <w:lang w:val="en-US"/>
        </w:rPr>
        <w:t>6</w:t>
      </w:r>
      <w:r w:rsidRPr="00974367">
        <w:rPr>
          <w:lang w:val="en-US"/>
        </w:rPr>
        <w:t>.3.</w:t>
      </w:r>
      <w:r w:rsidR="006F3003">
        <w:rPr>
          <w:lang w:val="en-US"/>
        </w:rPr>
        <w:t>1</w:t>
      </w:r>
      <w:r w:rsidRPr="00974367">
        <w:rPr>
          <w:lang w:val="en-US"/>
        </w:rPr>
        <w:t xml:space="preserve"> imposes an obligation on listed companies to include a third, </w:t>
      </w:r>
      <w:r w:rsidR="006252C6">
        <w:rPr>
          <w:lang w:val="en-US"/>
        </w:rPr>
        <w:t>‘</w:t>
      </w:r>
      <w:r w:rsidRPr="00974367">
        <w:rPr>
          <w:lang w:val="en-US"/>
        </w:rPr>
        <w:t>vote withheld</w:t>
      </w:r>
      <w:r w:rsidR="006252C6">
        <w:rPr>
          <w:lang w:val="en-US"/>
        </w:rPr>
        <w:t>’</w:t>
      </w:r>
      <w:r w:rsidRPr="00974367">
        <w:rPr>
          <w:lang w:val="en-US"/>
        </w:rPr>
        <w:t xml:space="preserve">, option on forms of proxy.  Such a </w:t>
      </w:r>
      <w:r w:rsidR="00E525DC">
        <w:rPr>
          <w:lang w:val="en-US"/>
        </w:rPr>
        <w:t>‘</w:t>
      </w:r>
      <w:r w:rsidR="00737C44">
        <w:rPr>
          <w:b/>
          <w:bCs/>
          <w:lang w:val="en-US"/>
        </w:rPr>
        <w:t>3</w:t>
      </w:r>
      <w:r w:rsidRPr="00974367">
        <w:rPr>
          <w:b/>
          <w:bCs/>
          <w:lang w:val="en-US"/>
        </w:rPr>
        <w:t>-way</w:t>
      </w:r>
      <w:r w:rsidR="00E525DC">
        <w:rPr>
          <w:lang w:val="en-US"/>
        </w:rPr>
        <w:t>’</w:t>
      </w:r>
      <w:r w:rsidRPr="00974367">
        <w:rPr>
          <w:lang w:val="en-US"/>
        </w:rPr>
        <w:t xml:space="preserve"> form of proxy allows the shareholder to deliver </w:t>
      </w:r>
      <w:r w:rsidRPr="00974367">
        <w:rPr>
          <w:lang w:val="en-US"/>
        </w:rPr>
        <w:lastRenderedPageBreak/>
        <w:t xml:space="preserve">a warning message to the company without voting against the resolution. </w:t>
      </w:r>
      <w:r w:rsidR="00BE7A9B">
        <w:t>I</w:t>
      </w:r>
      <w:r w:rsidR="00BE7A9B" w:rsidRPr="00BE7A9B">
        <w:t>t is not necessary to provide proxy forms with 3-way voting on procedural resolutions</w:t>
      </w:r>
    </w:p>
    <w:p w14:paraId="1936B151" w14:textId="6A3FE6C0" w:rsidR="00974367" w:rsidRPr="00974367" w:rsidRDefault="00153BA8" w:rsidP="00974367">
      <w:r>
        <w:rPr>
          <w:lang w:val="en-US"/>
        </w:rPr>
        <w:t>E</w:t>
      </w:r>
      <w:r w:rsidRPr="00974367">
        <w:rPr>
          <w:lang w:val="en-US"/>
        </w:rPr>
        <w:t xml:space="preserve">lectronic proxy </w:t>
      </w:r>
      <w:r>
        <w:rPr>
          <w:lang w:val="en-US"/>
        </w:rPr>
        <w:t xml:space="preserve">voting is </w:t>
      </w:r>
      <w:r w:rsidR="00F55FC2">
        <w:rPr>
          <w:lang w:val="en-US"/>
        </w:rPr>
        <w:t xml:space="preserve">now </w:t>
      </w:r>
      <w:r>
        <w:rPr>
          <w:lang w:val="en-US"/>
        </w:rPr>
        <w:t>mostly used - t</w:t>
      </w:r>
      <w:r w:rsidR="00974367" w:rsidRPr="00974367">
        <w:rPr>
          <w:lang w:val="en-US"/>
        </w:rPr>
        <w:t xml:space="preserve">his is a service provided by company registrars. </w:t>
      </w:r>
    </w:p>
    <w:p w14:paraId="0C069369" w14:textId="77777777" w:rsidR="008B50C8" w:rsidRDefault="008B50C8" w:rsidP="00974367">
      <w:pPr>
        <w:rPr>
          <w:b/>
          <w:bCs/>
        </w:rPr>
      </w:pPr>
    </w:p>
    <w:p w14:paraId="6ED2FFC0" w14:textId="50FCC461" w:rsidR="00974367" w:rsidRPr="00974367" w:rsidRDefault="00974367" w:rsidP="00974367">
      <w:r w:rsidRPr="00974367">
        <w:rPr>
          <w:b/>
          <w:bCs/>
        </w:rPr>
        <w:t>Voting information services</w:t>
      </w:r>
    </w:p>
    <w:p w14:paraId="42CA4529" w14:textId="77777777" w:rsidR="00FE72A7" w:rsidRPr="00FE72A7" w:rsidRDefault="00FE72A7" w:rsidP="00FE72A7">
      <w:r w:rsidRPr="00FE72A7">
        <w:rPr>
          <w:lang w:val="en-US"/>
        </w:rPr>
        <w:t>The Institutional Voting Information Service (‘</w:t>
      </w:r>
      <w:r w:rsidRPr="00E720D5">
        <w:rPr>
          <w:b/>
          <w:bCs/>
          <w:lang w:val="en-US"/>
        </w:rPr>
        <w:t>IVIS’</w:t>
      </w:r>
      <w:r w:rsidRPr="00FE72A7">
        <w:rPr>
          <w:lang w:val="en-US"/>
        </w:rPr>
        <w:t xml:space="preserve">) (part of the Investment Association) is an example of a voting information service used by listed company shareholders.  These service providers </w:t>
      </w:r>
      <w:proofErr w:type="spellStart"/>
      <w:r w:rsidRPr="00FE72A7">
        <w:rPr>
          <w:lang w:val="en-US"/>
        </w:rPr>
        <w:t>analyse</w:t>
      </w:r>
      <w:proofErr w:type="spellEnd"/>
      <w:r w:rsidRPr="00FE72A7">
        <w:rPr>
          <w:lang w:val="en-US"/>
        </w:rPr>
        <w:t xml:space="preserve"> the annual report and notice of AGM published by key listed companies each year.  </w:t>
      </w:r>
    </w:p>
    <w:p w14:paraId="64CC10A1" w14:textId="77777777" w:rsidR="00FE72A7" w:rsidRPr="00FE72A7" w:rsidRDefault="00FE72A7" w:rsidP="00FE72A7">
      <w:r w:rsidRPr="00FE72A7">
        <w:rPr>
          <w:lang w:val="en-US"/>
        </w:rPr>
        <w:t xml:space="preserve">As part of its service, IVIS produces a proxy report which provides commentary on the resolutions proposed at the company’s AGM.  It attributes a </w:t>
      </w:r>
      <w:proofErr w:type="spellStart"/>
      <w:r w:rsidRPr="00FE72A7">
        <w:rPr>
          <w:lang w:val="en-US"/>
        </w:rPr>
        <w:t>colour</w:t>
      </w:r>
      <w:proofErr w:type="spellEnd"/>
      <w:r w:rsidRPr="00FE72A7">
        <w:rPr>
          <w:lang w:val="en-US"/>
        </w:rPr>
        <w:t>-coded header to its report on the AGM notice.  This rating highlights whether there are areas for concern in the resolutions being proposed. ‘Red Top’ denotes an area of strongest concern; ‘Amber Top’ indicates that there are areas to bring to investors’ attention; ‘Blue Top’ indicates no areas of major concern; and ‘Green Top’ indicates an issue which has been resolved.</w:t>
      </w:r>
    </w:p>
    <w:p w14:paraId="03A6EF6C" w14:textId="77777777" w:rsidR="00FE72A7" w:rsidRPr="00FE72A7" w:rsidRDefault="00FE72A7" w:rsidP="00FE72A7">
      <w:r w:rsidRPr="00FE72A7">
        <w:rPr>
          <w:lang w:val="en-US"/>
        </w:rPr>
        <w:t xml:space="preserve">Investors subscribe to services such as IVIS </w:t>
      </w:r>
      <w:proofErr w:type="gramStart"/>
      <w:r w:rsidRPr="00FE72A7">
        <w:rPr>
          <w:lang w:val="en-US"/>
        </w:rPr>
        <w:t>in order to</w:t>
      </w:r>
      <w:proofErr w:type="gramEnd"/>
      <w:r w:rsidRPr="00FE72A7">
        <w:rPr>
          <w:lang w:val="en-US"/>
        </w:rPr>
        <w:t xml:space="preserve"> help determine whether they should vote in </w:t>
      </w:r>
      <w:proofErr w:type="spellStart"/>
      <w:r w:rsidRPr="00FE72A7">
        <w:rPr>
          <w:lang w:val="en-US"/>
        </w:rPr>
        <w:t>favour</w:t>
      </w:r>
      <w:proofErr w:type="spellEnd"/>
      <w:r w:rsidRPr="00FE72A7">
        <w:rPr>
          <w:lang w:val="en-US"/>
        </w:rPr>
        <w:t xml:space="preserve"> of each of the resolutions at the AGM.</w:t>
      </w:r>
    </w:p>
    <w:p w14:paraId="363BAA2C" w14:textId="77777777" w:rsidR="00FE72A7" w:rsidRPr="00FE72A7" w:rsidRDefault="00FE72A7" w:rsidP="00FE72A7">
      <w:r w:rsidRPr="00FE72A7">
        <w:rPr>
          <w:lang w:val="en-US"/>
        </w:rPr>
        <w:t>For a listed company, being the subject of a ‘Red Top’ report (or even an ‘Amber Top’) can cause major concern as there is a strong risk that investors will follow the guidance and vote against the resolutions which cause concern.  In these circumstances, it would not be unusual for the problematic resolution(s) to be pulled from the AGM.</w:t>
      </w:r>
    </w:p>
    <w:p w14:paraId="0FD5FC76" w14:textId="77777777" w:rsidR="009A5CEB" w:rsidRDefault="009A5CEB" w:rsidP="00FE72A7">
      <w:pPr>
        <w:rPr>
          <w:b/>
          <w:bCs/>
          <w:lang w:val="en-US"/>
        </w:rPr>
      </w:pPr>
    </w:p>
    <w:p w14:paraId="485E1C9D" w14:textId="0F822BC6" w:rsidR="00FE72A7" w:rsidRPr="00FE72A7" w:rsidRDefault="00FE72A7" w:rsidP="00FE72A7">
      <w:r w:rsidRPr="00FE72A7">
        <w:rPr>
          <w:b/>
          <w:bCs/>
          <w:lang w:val="en-US"/>
        </w:rPr>
        <w:t>Persons nominated to enjoy information rights</w:t>
      </w:r>
    </w:p>
    <w:p w14:paraId="512CD27B" w14:textId="77777777" w:rsidR="00847E2D" w:rsidRPr="00847E2D" w:rsidRDefault="00847E2D" w:rsidP="00847E2D">
      <w:r w:rsidRPr="00847E2D">
        <w:rPr>
          <w:lang w:val="en-US"/>
        </w:rPr>
        <w:t xml:space="preserve">Under s.146 (et seq.) CA 2006, a registered member (the legal owner of the shares) of a traded company can request that copies of all communications sent by the company to its members generally (or to any class of its members that includes the member) to be sent to one or more specified beneficial holders of the shares (s.146(3)(a) CA 2006). </w:t>
      </w:r>
    </w:p>
    <w:p w14:paraId="3F938FD3" w14:textId="4C551703" w:rsidR="00847E2D" w:rsidRDefault="00847E2D" w:rsidP="00847E2D">
      <w:pPr>
        <w:rPr>
          <w:lang w:val="en-US"/>
        </w:rPr>
      </w:pPr>
      <w:r w:rsidRPr="00847E2D">
        <w:rPr>
          <w:lang w:val="en-US"/>
        </w:rPr>
        <w:t>The aim of these provisions is to foster engagement between traded companies and their indirect investors. The latter might, for example, hold their shares through intermediaries.  This is often the case where uncertificated shares are held through CREST.</w:t>
      </w:r>
    </w:p>
    <w:p w14:paraId="7760A544" w14:textId="3A29B2BA" w:rsidR="006E1182" w:rsidRPr="00847E2D" w:rsidRDefault="00CA16A6" w:rsidP="00847E2D">
      <w:r>
        <w:rPr>
          <w:lang w:val="en-US"/>
        </w:rPr>
        <w:t>[</w:t>
      </w:r>
      <w:r w:rsidRPr="00CA16A6">
        <w:rPr>
          <w:i/>
          <w:iCs/>
          <w:lang w:val="en-US"/>
        </w:rPr>
        <w:t>Information from diagram</w:t>
      </w:r>
      <w:r>
        <w:rPr>
          <w:lang w:val="en-US"/>
        </w:rPr>
        <w:t>]</w:t>
      </w:r>
    </w:p>
    <w:p w14:paraId="20F77FA3" w14:textId="78921C0B" w:rsidR="0026440E" w:rsidRPr="009E0EB5" w:rsidRDefault="00847E2D">
      <w:r w:rsidRPr="00847E2D">
        <w:t>Traded company</w:t>
      </w:r>
      <w:r w:rsidR="006E35B8">
        <w:t xml:space="preserve"> </w:t>
      </w:r>
      <w:r w:rsidR="009E0EB5">
        <w:t xml:space="preserve">- </w:t>
      </w:r>
      <w:r w:rsidRPr="00847E2D">
        <w:t>Registered member (legal owner) of shares</w:t>
      </w:r>
      <w:r w:rsidR="009E0EB5">
        <w:t xml:space="preserve"> - </w:t>
      </w:r>
      <w:r w:rsidRPr="00847E2D">
        <w:t>Beneficial owner of shares</w:t>
      </w:r>
    </w:p>
    <w:p w14:paraId="5BB81293" w14:textId="77777777" w:rsidR="0026440E" w:rsidRDefault="0026440E">
      <w:pPr>
        <w:rPr>
          <w:b/>
          <w:bCs/>
        </w:rPr>
      </w:pPr>
    </w:p>
    <w:p w14:paraId="1E9B2259" w14:textId="51E866AE" w:rsidR="00704B97" w:rsidRPr="0026440E" w:rsidRDefault="00333B07">
      <w:pPr>
        <w:rPr>
          <w:b/>
          <w:bCs/>
        </w:rPr>
      </w:pPr>
      <w:r w:rsidRPr="0026440E">
        <w:rPr>
          <w:b/>
          <w:bCs/>
        </w:rPr>
        <w:t>Summary</w:t>
      </w:r>
    </w:p>
    <w:p w14:paraId="66BA1CB1" w14:textId="77777777" w:rsidR="0026440E" w:rsidRPr="0026440E" w:rsidRDefault="0026440E" w:rsidP="0026440E">
      <w:pPr>
        <w:numPr>
          <w:ilvl w:val="0"/>
          <w:numId w:val="9"/>
        </w:numPr>
      </w:pPr>
      <w:r w:rsidRPr="0026440E">
        <w:t>General meetings play an important role for both the company and its shareholders.</w:t>
      </w:r>
    </w:p>
    <w:p w14:paraId="0CEBAAF0" w14:textId="77777777" w:rsidR="0026440E" w:rsidRPr="0026440E" w:rsidRDefault="0026440E" w:rsidP="0026440E">
      <w:pPr>
        <w:numPr>
          <w:ilvl w:val="0"/>
          <w:numId w:val="9"/>
        </w:numPr>
      </w:pPr>
      <w:r w:rsidRPr="0026440E">
        <w:t xml:space="preserve">Given their importance, there are legal and regulatory requirements governing how they are conducted. </w:t>
      </w:r>
    </w:p>
    <w:p w14:paraId="48097D99" w14:textId="77777777" w:rsidR="0026440E" w:rsidRPr="0026440E" w:rsidRDefault="0026440E" w:rsidP="0026440E">
      <w:pPr>
        <w:numPr>
          <w:ilvl w:val="0"/>
          <w:numId w:val="9"/>
        </w:numPr>
      </w:pPr>
      <w:r w:rsidRPr="0026440E">
        <w:t>Key practical issues relating to the conduct of general meetings include: t</w:t>
      </w:r>
      <w:r w:rsidRPr="0026440E">
        <w:rPr>
          <w:lang w:val="en-US"/>
        </w:rPr>
        <w:t xml:space="preserve">he shareholders’ rights to ask questions at meetings; shareholder requisition rights; circulars; methods of </w:t>
      </w:r>
      <w:r w:rsidRPr="0026440E">
        <w:rPr>
          <w:lang w:val="en-US"/>
        </w:rPr>
        <w:lastRenderedPageBreak/>
        <w:t>communication; proxies; voting information services; and persons nominated to enjoy information rights.</w:t>
      </w:r>
    </w:p>
    <w:p w14:paraId="2F242A34" w14:textId="77777777" w:rsidR="0026440E" w:rsidRPr="0026440E" w:rsidRDefault="0026440E" w:rsidP="0026440E">
      <w:pPr>
        <w:numPr>
          <w:ilvl w:val="0"/>
          <w:numId w:val="9"/>
        </w:numPr>
      </w:pPr>
      <w:r w:rsidRPr="0026440E">
        <w:rPr>
          <w:lang w:val="en-US"/>
        </w:rPr>
        <w:t xml:space="preserve">Certain transactions involving listed companies require </w:t>
      </w:r>
      <w:proofErr w:type="gramStart"/>
      <w:r w:rsidRPr="0026440E">
        <w:rPr>
          <w:lang w:val="en-US"/>
        </w:rPr>
        <w:t>particular procedures</w:t>
      </w:r>
      <w:proofErr w:type="gramEnd"/>
      <w:r w:rsidRPr="0026440E">
        <w:rPr>
          <w:lang w:val="en-US"/>
        </w:rPr>
        <w:t xml:space="preserve"> to be followed.</w:t>
      </w:r>
    </w:p>
    <w:p w14:paraId="795AD80E" w14:textId="77777777" w:rsidR="0026440E" w:rsidRPr="0026440E" w:rsidRDefault="0026440E"/>
    <w:sectPr w:rsidR="0026440E" w:rsidRPr="0026440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56AD0" w14:textId="77777777" w:rsidR="00F0607B" w:rsidRDefault="00F0607B" w:rsidP="00FA30E4">
      <w:pPr>
        <w:spacing w:after="0" w:line="240" w:lineRule="auto"/>
      </w:pPr>
      <w:r>
        <w:separator/>
      </w:r>
    </w:p>
  </w:endnote>
  <w:endnote w:type="continuationSeparator" w:id="0">
    <w:p w14:paraId="5E5490AC" w14:textId="77777777" w:rsidR="00F0607B" w:rsidRDefault="00F0607B" w:rsidP="00FA3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3FB5" w14:textId="77777777" w:rsidR="00FA30E4" w:rsidRDefault="00FA30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3F8FE" w14:textId="77777777" w:rsidR="00FA30E4" w:rsidRDefault="00FA30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7D91E" w14:textId="77777777" w:rsidR="00FA30E4" w:rsidRDefault="00FA3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5AEE0" w14:textId="77777777" w:rsidR="00F0607B" w:rsidRDefault="00F0607B" w:rsidP="00FA30E4">
      <w:pPr>
        <w:spacing w:after="0" w:line="240" w:lineRule="auto"/>
      </w:pPr>
      <w:r>
        <w:separator/>
      </w:r>
    </w:p>
  </w:footnote>
  <w:footnote w:type="continuationSeparator" w:id="0">
    <w:p w14:paraId="230AFD7C" w14:textId="77777777" w:rsidR="00F0607B" w:rsidRDefault="00F0607B" w:rsidP="00FA3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50ECF" w14:textId="77777777" w:rsidR="00FA30E4" w:rsidRDefault="00FA30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B5FC1" w14:textId="77777777" w:rsidR="00FA30E4" w:rsidRDefault="00FA30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1D39" w14:textId="77777777" w:rsidR="00FA30E4" w:rsidRDefault="00FA30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0FEA"/>
    <w:multiLevelType w:val="hybridMultilevel"/>
    <w:tmpl w:val="5BBEE73C"/>
    <w:lvl w:ilvl="0" w:tplc="98C89B34">
      <w:start w:val="1"/>
      <w:numFmt w:val="decimal"/>
      <w:lvlText w:val="%1."/>
      <w:lvlJc w:val="left"/>
      <w:pPr>
        <w:tabs>
          <w:tab w:val="num" w:pos="720"/>
        </w:tabs>
        <w:ind w:left="720" w:hanging="360"/>
      </w:pPr>
    </w:lvl>
    <w:lvl w:ilvl="1" w:tplc="8DCC56D2" w:tentative="1">
      <w:start w:val="1"/>
      <w:numFmt w:val="decimal"/>
      <w:lvlText w:val="%2."/>
      <w:lvlJc w:val="left"/>
      <w:pPr>
        <w:tabs>
          <w:tab w:val="num" w:pos="1440"/>
        </w:tabs>
        <w:ind w:left="1440" w:hanging="360"/>
      </w:pPr>
    </w:lvl>
    <w:lvl w:ilvl="2" w:tplc="0FEAE8AC" w:tentative="1">
      <w:start w:val="1"/>
      <w:numFmt w:val="decimal"/>
      <w:lvlText w:val="%3."/>
      <w:lvlJc w:val="left"/>
      <w:pPr>
        <w:tabs>
          <w:tab w:val="num" w:pos="2160"/>
        </w:tabs>
        <w:ind w:left="2160" w:hanging="360"/>
      </w:pPr>
    </w:lvl>
    <w:lvl w:ilvl="3" w:tplc="AB5A3AD0" w:tentative="1">
      <w:start w:val="1"/>
      <w:numFmt w:val="decimal"/>
      <w:lvlText w:val="%4."/>
      <w:lvlJc w:val="left"/>
      <w:pPr>
        <w:tabs>
          <w:tab w:val="num" w:pos="2880"/>
        </w:tabs>
        <w:ind w:left="2880" w:hanging="360"/>
      </w:pPr>
    </w:lvl>
    <w:lvl w:ilvl="4" w:tplc="CAA0F810" w:tentative="1">
      <w:start w:val="1"/>
      <w:numFmt w:val="decimal"/>
      <w:lvlText w:val="%5."/>
      <w:lvlJc w:val="left"/>
      <w:pPr>
        <w:tabs>
          <w:tab w:val="num" w:pos="3600"/>
        </w:tabs>
        <w:ind w:left="3600" w:hanging="360"/>
      </w:pPr>
    </w:lvl>
    <w:lvl w:ilvl="5" w:tplc="1EC869E6" w:tentative="1">
      <w:start w:val="1"/>
      <w:numFmt w:val="decimal"/>
      <w:lvlText w:val="%6."/>
      <w:lvlJc w:val="left"/>
      <w:pPr>
        <w:tabs>
          <w:tab w:val="num" w:pos="4320"/>
        </w:tabs>
        <w:ind w:left="4320" w:hanging="360"/>
      </w:pPr>
    </w:lvl>
    <w:lvl w:ilvl="6" w:tplc="0706D08A" w:tentative="1">
      <w:start w:val="1"/>
      <w:numFmt w:val="decimal"/>
      <w:lvlText w:val="%7."/>
      <w:lvlJc w:val="left"/>
      <w:pPr>
        <w:tabs>
          <w:tab w:val="num" w:pos="5040"/>
        </w:tabs>
        <w:ind w:left="5040" w:hanging="360"/>
      </w:pPr>
    </w:lvl>
    <w:lvl w:ilvl="7" w:tplc="BE1CF232" w:tentative="1">
      <w:start w:val="1"/>
      <w:numFmt w:val="decimal"/>
      <w:lvlText w:val="%8."/>
      <w:lvlJc w:val="left"/>
      <w:pPr>
        <w:tabs>
          <w:tab w:val="num" w:pos="5760"/>
        </w:tabs>
        <w:ind w:left="5760" w:hanging="360"/>
      </w:pPr>
    </w:lvl>
    <w:lvl w:ilvl="8" w:tplc="EBA0EC7A" w:tentative="1">
      <w:start w:val="1"/>
      <w:numFmt w:val="decimal"/>
      <w:lvlText w:val="%9."/>
      <w:lvlJc w:val="left"/>
      <w:pPr>
        <w:tabs>
          <w:tab w:val="num" w:pos="6480"/>
        </w:tabs>
        <w:ind w:left="6480" w:hanging="360"/>
      </w:pPr>
    </w:lvl>
  </w:abstractNum>
  <w:abstractNum w:abstractNumId="1" w15:restartNumberingAfterBreak="0">
    <w:nsid w:val="1A364A4B"/>
    <w:multiLevelType w:val="hybridMultilevel"/>
    <w:tmpl w:val="C278FE16"/>
    <w:lvl w:ilvl="0" w:tplc="47AC1F86">
      <w:start w:val="1"/>
      <w:numFmt w:val="lowerLetter"/>
      <w:lvlText w:val="%1)"/>
      <w:lvlJc w:val="left"/>
      <w:pPr>
        <w:tabs>
          <w:tab w:val="num" w:pos="720"/>
        </w:tabs>
        <w:ind w:left="720" w:hanging="360"/>
      </w:pPr>
    </w:lvl>
    <w:lvl w:ilvl="1" w:tplc="B49A1C3A">
      <w:start w:val="1"/>
      <w:numFmt w:val="lowerLetter"/>
      <w:lvlText w:val="%2)"/>
      <w:lvlJc w:val="left"/>
      <w:pPr>
        <w:tabs>
          <w:tab w:val="num" w:pos="1440"/>
        </w:tabs>
        <w:ind w:left="1440" w:hanging="360"/>
      </w:pPr>
    </w:lvl>
    <w:lvl w:ilvl="2" w:tplc="4FAA9F78" w:tentative="1">
      <w:start w:val="1"/>
      <w:numFmt w:val="lowerLetter"/>
      <w:lvlText w:val="%3)"/>
      <w:lvlJc w:val="left"/>
      <w:pPr>
        <w:tabs>
          <w:tab w:val="num" w:pos="2160"/>
        </w:tabs>
        <w:ind w:left="2160" w:hanging="360"/>
      </w:pPr>
    </w:lvl>
    <w:lvl w:ilvl="3" w:tplc="2DAA5A26" w:tentative="1">
      <w:start w:val="1"/>
      <w:numFmt w:val="lowerLetter"/>
      <w:lvlText w:val="%4)"/>
      <w:lvlJc w:val="left"/>
      <w:pPr>
        <w:tabs>
          <w:tab w:val="num" w:pos="2880"/>
        </w:tabs>
        <w:ind w:left="2880" w:hanging="360"/>
      </w:pPr>
    </w:lvl>
    <w:lvl w:ilvl="4" w:tplc="BC8611BE" w:tentative="1">
      <w:start w:val="1"/>
      <w:numFmt w:val="lowerLetter"/>
      <w:lvlText w:val="%5)"/>
      <w:lvlJc w:val="left"/>
      <w:pPr>
        <w:tabs>
          <w:tab w:val="num" w:pos="3600"/>
        </w:tabs>
        <w:ind w:left="3600" w:hanging="360"/>
      </w:pPr>
    </w:lvl>
    <w:lvl w:ilvl="5" w:tplc="F5F0820C" w:tentative="1">
      <w:start w:val="1"/>
      <w:numFmt w:val="lowerLetter"/>
      <w:lvlText w:val="%6)"/>
      <w:lvlJc w:val="left"/>
      <w:pPr>
        <w:tabs>
          <w:tab w:val="num" w:pos="4320"/>
        </w:tabs>
        <w:ind w:left="4320" w:hanging="360"/>
      </w:pPr>
    </w:lvl>
    <w:lvl w:ilvl="6" w:tplc="95D6D898" w:tentative="1">
      <w:start w:val="1"/>
      <w:numFmt w:val="lowerLetter"/>
      <w:lvlText w:val="%7)"/>
      <w:lvlJc w:val="left"/>
      <w:pPr>
        <w:tabs>
          <w:tab w:val="num" w:pos="5040"/>
        </w:tabs>
        <w:ind w:left="5040" w:hanging="360"/>
      </w:pPr>
    </w:lvl>
    <w:lvl w:ilvl="7" w:tplc="E5826E7E" w:tentative="1">
      <w:start w:val="1"/>
      <w:numFmt w:val="lowerLetter"/>
      <w:lvlText w:val="%8)"/>
      <w:lvlJc w:val="left"/>
      <w:pPr>
        <w:tabs>
          <w:tab w:val="num" w:pos="5760"/>
        </w:tabs>
        <w:ind w:left="5760" w:hanging="360"/>
      </w:pPr>
    </w:lvl>
    <w:lvl w:ilvl="8" w:tplc="4112A2C0" w:tentative="1">
      <w:start w:val="1"/>
      <w:numFmt w:val="lowerLetter"/>
      <w:lvlText w:val="%9)"/>
      <w:lvlJc w:val="left"/>
      <w:pPr>
        <w:tabs>
          <w:tab w:val="num" w:pos="6480"/>
        </w:tabs>
        <w:ind w:left="6480" w:hanging="360"/>
      </w:pPr>
    </w:lvl>
  </w:abstractNum>
  <w:abstractNum w:abstractNumId="2" w15:restartNumberingAfterBreak="0">
    <w:nsid w:val="22F5494D"/>
    <w:multiLevelType w:val="hybridMultilevel"/>
    <w:tmpl w:val="9306F9BC"/>
    <w:lvl w:ilvl="0" w:tplc="59CEA47E">
      <w:start w:val="1"/>
      <w:numFmt w:val="bullet"/>
      <w:lvlText w:val="•"/>
      <w:lvlJc w:val="left"/>
      <w:pPr>
        <w:tabs>
          <w:tab w:val="num" w:pos="720"/>
        </w:tabs>
        <w:ind w:left="720" w:hanging="360"/>
      </w:pPr>
      <w:rPr>
        <w:rFonts w:ascii="Arial" w:hAnsi="Arial" w:hint="default"/>
      </w:rPr>
    </w:lvl>
    <w:lvl w:ilvl="1" w:tplc="E4089E06" w:tentative="1">
      <w:start w:val="1"/>
      <w:numFmt w:val="bullet"/>
      <w:lvlText w:val="•"/>
      <w:lvlJc w:val="left"/>
      <w:pPr>
        <w:tabs>
          <w:tab w:val="num" w:pos="1440"/>
        </w:tabs>
        <w:ind w:left="1440" w:hanging="360"/>
      </w:pPr>
      <w:rPr>
        <w:rFonts w:ascii="Arial" w:hAnsi="Arial" w:hint="default"/>
      </w:rPr>
    </w:lvl>
    <w:lvl w:ilvl="2" w:tplc="C390267E" w:tentative="1">
      <w:start w:val="1"/>
      <w:numFmt w:val="bullet"/>
      <w:lvlText w:val="•"/>
      <w:lvlJc w:val="left"/>
      <w:pPr>
        <w:tabs>
          <w:tab w:val="num" w:pos="2160"/>
        </w:tabs>
        <w:ind w:left="2160" w:hanging="360"/>
      </w:pPr>
      <w:rPr>
        <w:rFonts w:ascii="Arial" w:hAnsi="Arial" w:hint="default"/>
      </w:rPr>
    </w:lvl>
    <w:lvl w:ilvl="3" w:tplc="1BC0118E" w:tentative="1">
      <w:start w:val="1"/>
      <w:numFmt w:val="bullet"/>
      <w:lvlText w:val="•"/>
      <w:lvlJc w:val="left"/>
      <w:pPr>
        <w:tabs>
          <w:tab w:val="num" w:pos="2880"/>
        </w:tabs>
        <w:ind w:left="2880" w:hanging="360"/>
      </w:pPr>
      <w:rPr>
        <w:rFonts w:ascii="Arial" w:hAnsi="Arial" w:hint="default"/>
      </w:rPr>
    </w:lvl>
    <w:lvl w:ilvl="4" w:tplc="E8B650FC" w:tentative="1">
      <w:start w:val="1"/>
      <w:numFmt w:val="bullet"/>
      <w:lvlText w:val="•"/>
      <w:lvlJc w:val="left"/>
      <w:pPr>
        <w:tabs>
          <w:tab w:val="num" w:pos="3600"/>
        </w:tabs>
        <w:ind w:left="3600" w:hanging="360"/>
      </w:pPr>
      <w:rPr>
        <w:rFonts w:ascii="Arial" w:hAnsi="Arial" w:hint="default"/>
      </w:rPr>
    </w:lvl>
    <w:lvl w:ilvl="5" w:tplc="44ACF7B2" w:tentative="1">
      <w:start w:val="1"/>
      <w:numFmt w:val="bullet"/>
      <w:lvlText w:val="•"/>
      <w:lvlJc w:val="left"/>
      <w:pPr>
        <w:tabs>
          <w:tab w:val="num" w:pos="4320"/>
        </w:tabs>
        <w:ind w:left="4320" w:hanging="360"/>
      </w:pPr>
      <w:rPr>
        <w:rFonts w:ascii="Arial" w:hAnsi="Arial" w:hint="default"/>
      </w:rPr>
    </w:lvl>
    <w:lvl w:ilvl="6" w:tplc="19EE3D50" w:tentative="1">
      <w:start w:val="1"/>
      <w:numFmt w:val="bullet"/>
      <w:lvlText w:val="•"/>
      <w:lvlJc w:val="left"/>
      <w:pPr>
        <w:tabs>
          <w:tab w:val="num" w:pos="5040"/>
        </w:tabs>
        <w:ind w:left="5040" w:hanging="360"/>
      </w:pPr>
      <w:rPr>
        <w:rFonts w:ascii="Arial" w:hAnsi="Arial" w:hint="default"/>
      </w:rPr>
    </w:lvl>
    <w:lvl w:ilvl="7" w:tplc="A94C5214" w:tentative="1">
      <w:start w:val="1"/>
      <w:numFmt w:val="bullet"/>
      <w:lvlText w:val="•"/>
      <w:lvlJc w:val="left"/>
      <w:pPr>
        <w:tabs>
          <w:tab w:val="num" w:pos="5760"/>
        </w:tabs>
        <w:ind w:left="5760" w:hanging="360"/>
      </w:pPr>
      <w:rPr>
        <w:rFonts w:ascii="Arial" w:hAnsi="Arial" w:hint="default"/>
      </w:rPr>
    </w:lvl>
    <w:lvl w:ilvl="8" w:tplc="1B0AA2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17544B"/>
    <w:multiLevelType w:val="hybridMultilevel"/>
    <w:tmpl w:val="31863702"/>
    <w:lvl w:ilvl="0" w:tplc="D28240BA">
      <w:start w:val="1"/>
      <w:numFmt w:val="lowerLetter"/>
      <w:lvlText w:val="%1)"/>
      <w:lvlJc w:val="left"/>
      <w:pPr>
        <w:tabs>
          <w:tab w:val="num" w:pos="720"/>
        </w:tabs>
        <w:ind w:left="720" w:hanging="360"/>
      </w:pPr>
    </w:lvl>
    <w:lvl w:ilvl="1" w:tplc="84BA6C78">
      <w:start w:val="1"/>
      <w:numFmt w:val="lowerLetter"/>
      <w:lvlText w:val="%2)"/>
      <w:lvlJc w:val="left"/>
      <w:pPr>
        <w:tabs>
          <w:tab w:val="num" w:pos="1440"/>
        </w:tabs>
        <w:ind w:left="1440" w:hanging="360"/>
      </w:pPr>
    </w:lvl>
    <w:lvl w:ilvl="2" w:tplc="C1BCE204" w:tentative="1">
      <w:start w:val="1"/>
      <w:numFmt w:val="lowerLetter"/>
      <w:lvlText w:val="%3)"/>
      <w:lvlJc w:val="left"/>
      <w:pPr>
        <w:tabs>
          <w:tab w:val="num" w:pos="2160"/>
        </w:tabs>
        <w:ind w:left="2160" w:hanging="360"/>
      </w:pPr>
    </w:lvl>
    <w:lvl w:ilvl="3" w:tplc="35545426" w:tentative="1">
      <w:start w:val="1"/>
      <w:numFmt w:val="lowerLetter"/>
      <w:lvlText w:val="%4)"/>
      <w:lvlJc w:val="left"/>
      <w:pPr>
        <w:tabs>
          <w:tab w:val="num" w:pos="2880"/>
        </w:tabs>
        <w:ind w:left="2880" w:hanging="360"/>
      </w:pPr>
    </w:lvl>
    <w:lvl w:ilvl="4" w:tplc="9028F898" w:tentative="1">
      <w:start w:val="1"/>
      <w:numFmt w:val="lowerLetter"/>
      <w:lvlText w:val="%5)"/>
      <w:lvlJc w:val="left"/>
      <w:pPr>
        <w:tabs>
          <w:tab w:val="num" w:pos="3600"/>
        </w:tabs>
        <w:ind w:left="3600" w:hanging="360"/>
      </w:pPr>
    </w:lvl>
    <w:lvl w:ilvl="5" w:tplc="62E094DA" w:tentative="1">
      <w:start w:val="1"/>
      <w:numFmt w:val="lowerLetter"/>
      <w:lvlText w:val="%6)"/>
      <w:lvlJc w:val="left"/>
      <w:pPr>
        <w:tabs>
          <w:tab w:val="num" w:pos="4320"/>
        </w:tabs>
        <w:ind w:left="4320" w:hanging="360"/>
      </w:pPr>
    </w:lvl>
    <w:lvl w:ilvl="6" w:tplc="E88A9BD8" w:tentative="1">
      <w:start w:val="1"/>
      <w:numFmt w:val="lowerLetter"/>
      <w:lvlText w:val="%7)"/>
      <w:lvlJc w:val="left"/>
      <w:pPr>
        <w:tabs>
          <w:tab w:val="num" w:pos="5040"/>
        </w:tabs>
        <w:ind w:left="5040" w:hanging="360"/>
      </w:pPr>
    </w:lvl>
    <w:lvl w:ilvl="7" w:tplc="5D32A812" w:tentative="1">
      <w:start w:val="1"/>
      <w:numFmt w:val="lowerLetter"/>
      <w:lvlText w:val="%8)"/>
      <w:lvlJc w:val="left"/>
      <w:pPr>
        <w:tabs>
          <w:tab w:val="num" w:pos="5760"/>
        </w:tabs>
        <w:ind w:left="5760" w:hanging="360"/>
      </w:pPr>
    </w:lvl>
    <w:lvl w:ilvl="8" w:tplc="4566AB38" w:tentative="1">
      <w:start w:val="1"/>
      <w:numFmt w:val="lowerLetter"/>
      <w:lvlText w:val="%9)"/>
      <w:lvlJc w:val="left"/>
      <w:pPr>
        <w:tabs>
          <w:tab w:val="num" w:pos="6480"/>
        </w:tabs>
        <w:ind w:left="6480" w:hanging="360"/>
      </w:pPr>
    </w:lvl>
  </w:abstractNum>
  <w:abstractNum w:abstractNumId="4" w15:restartNumberingAfterBreak="0">
    <w:nsid w:val="35E24E80"/>
    <w:multiLevelType w:val="hybridMultilevel"/>
    <w:tmpl w:val="A600E130"/>
    <w:lvl w:ilvl="0" w:tplc="7F682550">
      <w:start w:val="1"/>
      <w:numFmt w:val="bullet"/>
      <w:lvlText w:val="•"/>
      <w:lvlJc w:val="left"/>
      <w:pPr>
        <w:tabs>
          <w:tab w:val="num" w:pos="720"/>
        </w:tabs>
        <w:ind w:left="720" w:hanging="360"/>
      </w:pPr>
      <w:rPr>
        <w:rFonts w:ascii="Times New Roman" w:hAnsi="Times New Roman" w:hint="default"/>
      </w:rPr>
    </w:lvl>
    <w:lvl w:ilvl="1" w:tplc="E462129A" w:tentative="1">
      <w:start w:val="1"/>
      <w:numFmt w:val="bullet"/>
      <w:lvlText w:val="•"/>
      <w:lvlJc w:val="left"/>
      <w:pPr>
        <w:tabs>
          <w:tab w:val="num" w:pos="1440"/>
        </w:tabs>
        <w:ind w:left="1440" w:hanging="360"/>
      </w:pPr>
      <w:rPr>
        <w:rFonts w:ascii="Times New Roman" w:hAnsi="Times New Roman" w:hint="default"/>
      </w:rPr>
    </w:lvl>
    <w:lvl w:ilvl="2" w:tplc="FEBC0C4A" w:tentative="1">
      <w:start w:val="1"/>
      <w:numFmt w:val="bullet"/>
      <w:lvlText w:val="•"/>
      <w:lvlJc w:val="left"/>
      <w:pPr>
        <w:tabs>
          <w:tab w:val="num" w:pos="2160"/>
        </w:tabs>
        <w:ind w:left="2160" w:hanging="360"/>
      </w:pPr>
      <w:rPr>
        <w:rFonts w:ascii="Times New Roman" w:hAnsi="Times New Roman" w:hint="default"/>
      </w:rPr>
    </w:lvl>
    <w:lvl w:ilvl="3" w:tplc="E49CE33E" w:tentative="1">
      <w:start w:val="1"/>
      <w:numFmt w:val="bullet"/>
      <w:lvlText w:val="•"/>
      <w:lvlJc w:val="left"/>
      <w:pPr>
        <w:tabs>
          <w:tab w:val="num" w:pos="2880"/>
        </w:tabs>
        <w:ind w:left="2880" w:hanging="360"/>
      </w:pPr>
      <w:rPr>
        <w:rFonts w:ascii="Times New Roman" w:hAnsi="Times New Roman" w:hint="default"/>
      </w:rPr>
    </w:lvl>
    <w:lvl w:ilvl="4" w:tplc="4C84BEF2" w:tentative="1">
      <w:start w:val="1"/>
      <w:numFmt w:val="bullet"/>
      <w:lvlText w:val="•"/>
      <w:lvlJc w:val="left"/>
      <w:pPr>
        <w:tabs>
          <w:tab w:val="num" w:pos="3600"/>
        </w:tabs>
        <w:ind w:left="3600" w:hanging="360"/>
      </w:pPr>
      <w:rPr>
        <w:rFonts w:ascii="Times New Roman" w:hAnsi="Times New Roman" w:hint="default"/>
      </w:rPr>
    </w:lvl>
    <w:lvl w:ilvl="5" w:tplc="FC24A758" w:tentative="1">
      <w:start w:val="1"/>
      <w:numFmt w:val="bullet"/>
      <w:lvlText w:val="•"/>
      <w:lvlJc w:val="left"/>
      <w:pPr>
        <w:tabs>
          <w:tab w:val="num" w:pos="4320"/>
        </w:tabs>
        <w:ind w:left="4320" w:hanging="360"/>
      </w:pPr>
      <w:rPr>
        <w:rFonts w:ascii="Times New Roman" w:hAnsi="Times New Roman" w:hint="default"/>
      </w:rPr>
    </w:lvl>
    <w:lvl w:ilvl="6" w:tplc="49EC6F9A" w:tentative="1">
      <w:start w:val="1"/>
      <w:numFmt w:val="bullet"/>
      <w:lvlText w:val="•"/>
      <w:lvlJc w:val="left"/>
      <w:pPr>
        <w:tabs>
          <w:tab w:val="num" w:pos="5040"/>
        </w:tabs>
        <w:ind w:left="5040" w:hanging="360"/>
      </w:pPr>
      <w:rPr>
        <w:rFonts w:ascii="Times New Roman" w:hAnsi="Times New Roman" w:hint="default"/>
      </w:rPr>
    </w:lvl>
    <w:lvl w:ilvl="7" w:tplc="DDB8688E" w:tentative="1">
      <w:start w:val="1"/>
      <w:numFmt w:val="bullet"/>
      <w:lvlText w:val="•"/>
      <w:lvlJc w:val="left"/>
      <w:pPr>
        <w:tabs>
          <w:tab w:val="num" w:pos="5760"/>
        </w:tabs>
        <w:ind w:left="5760" w:hanging="360"/>
      </w:pPr>
      <w:rPr>
        <w:rFonts w:ascii="Times New Roman" w:hAnsi="Times New Roman" w:hint="default"/>
      </w:rPr>
    </w:lvl>
    <w:lvl w:ilvl="8" w:tplc="88D4CA3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3C0914"/>
    <w:multiLevelType w:val="hybridMultilevel"/>
    <w:tmpl w:val="E138AD0A"/>
    <w:lvl w:ilvl="0" w:tplc="F4D889FE">
      <w:start w:val="1"/>
      <w:numFmt w:val="bullet"/>
      <w:lvlText w:val="•"/>
      <w:lvlJc w:val="left"/>
      <w:pPr>
        <w:tabs>
          <w:tab w:val="num" w:pos="720"/>
        </w:tabs>
        <w:ind w:left="720" w:hanging="360"/>
      </w:pPr>
      <w:rPr>
        <w:rFonts w:ascii="Arial" w:hAnsi="Arial" w:hint="default"/>
      </w:rPr>
    </w:lvl>
    <w:lvl w:ilvl="1" w:tplc="6CFC7FF8">
      <w:start w:val="1"/>
      <w:numFmt w:val="bullet"/>
      <w:lvlText w:val="•"/>
      <w:lvlJc w:val="left"/>
      <w:pPr>
        <w:tabs>
          <w:tab w:val="num" w:pos="1440"/>
        </w:tabs>
        <w:ind w:left="1440" w:hanging="360"/>
      </w:pPr>
      <w:rPr>
        <w:rFonts w:ascii="Arial" w:hAnsi="Arial" w:hint="default"/>
      </w:rPr>
    </w:lvl>
    <w:lvl w:ilvl="2" w:tplc="EB2CA090" w:tentative="1">
      <w:start w:val="1"/>
      <w:numFmt w:val="bullet"/>
      <w:lvlText w:val="•"/>
      <w:lvlJc w:val="left"/>
      <w:pPr>
        <w:tabs>
          <w:tab w:val="num" w:pos="2160"/>
        </w:tabs>
        <w:ind w:left="2160" w:hanging="360"/>
      </w:pPr>
      <w:rPr>
        <w:rFonts w:ascii="Arial" w:hAnsi="Arial" w:hint="default"/>
      </w:rPr>
    </w:lvl>
    <w:lvl w:ilvl="3" w:tplc="5CFC89FE" w:tentative="1">
      <w:start w:val="1"/>
      <w:numFmt w:val="bullet"/>
      <w:lvlText w:val="•"/>
      <w:lvlJc w:val="left"/>
      <w:pPr>
        <w:tabs>
          <w:tab w:val="num" w:pos="2880"/>
        </w:tabs>
        <w:ind w:left="2880" w:hanging="360"/>
      </w:pPr>
      <w:rPr>
        <w:rFonts w:ascii="Arial" w:hAnsi="Arial" w:hint="default"/>
      </w:rPr>
    </w:lvl>
    <w:lvl w:ilvl="4" w:tplc="3768E6E0" w:tentative="1">
      <w:start w:val="1"/>
      <w:numFmt w:val="bullet"/>
      <w:lvlText w:val="•"/>
      <w:lvlJc w:val="left"/>
      <w:pPr>
        <w:tabs>
          <w:tab w:val="num" w:pos="3600"/>
        </w:tabs>
        <w:ind w:left="3600" w:hanging="360"/>
      </w:pPr>
      <w:rPr>
        <w:rFonts w:ascii="Arial" w:hAnsi="Arial" w:hint="default"/>
      </w:rPr>
    </w:lvl>
    <w:lvl w:ilvl="5" w:tplc="C3727414" w:tentative="1">
      <w:start w:val="1"/>
      <w:numFmt w:val="bullet"/>
      <w:lvlText w:val="•"/>
      <w:lvlJc w:val="left"/>
      <w:pPr>
        <w:tabs>
          <w:tab w:val="num" w:pos="4320"/>
        </w:tabs>
        <w:ind w:left="4320" w:hanging="360"/>
      </w:pPr>
      <w:rPr>
        <w:rFonts w:ascii="Arial" w:hAnsi="Arial" w:hint="default"/>
      </w:rPr>
    </w:lvl>
    <w:lvl w:ilvl="6" w:tplc="8CA28490" w:tentative="1">
      <w:start w:val="1"/>
      <w:numFmt w:val="bullet"/>
      <w:lvlText w:val="•"/>
      <w:lvlJc w:val="left"/>
      <w:pPr>
        <w:tabs>
          <w:tab w:val="num" w:pos="5040"/>
        </w:tabs>
        <w:ind w:left="5040" w:hanging="360"/>
      </w:pPr>
      <w:rPr>
        <w:rFonts w:ascii="Arial" w:hAnsi="Arial" w:hint="default"/>
      </w:rPr>
    </w:lvl>
    <w:lvl w:ilvl="7" w:tplc="F9E8BD86" w:tentative="1">
      <w:start w:val="1"/>
      <w:numFmt w:val="bullet"/>
      <w:lvlText w:val="•"/>
      <w:lvlJc w:val="left"/>
      <w:pPr>
        <w:tabs>
          <w:tab w:val="num" w:pos="5760"/>
        </w:tabs>
        <w:ind w:left="5760" w:hanging="360"/>
      </w:pPr>
      <w:rPr>
        <w:rFonts w:ascii="Arial" w:hAnsi="Arial" w:hint="default"/>
      </w:rPr>
    </w:lvl>
    <w:lvl w:ilvl="8" w:tplc="55A4F7E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0F222F"/>
    <w:multiLevelType w:val="multilevel"/>
    <w:tmpl w:val="490C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252135"/>
    <w:multiLevelType w:val="hybridMultilevel"/>
    <w:tmpl w:val="426A63BE"/>
    <w:lvl w:ilvl="0" w:tplc="ECE004BC">
      <w:start w:val="1"/>
      <w:numFmt w:val="bullet"/>
      <w:lvlText w:val="•"/>
      <w:lvlJc w:val="left"/>
      <w:pPr>
        <w:tabs>
          <w:tab w:val="num" w:pos="720"/>
        </w:tabs>
        <w:ind w:left="720" w:hanging="360"/>
      </w:pPr>
      <w:rPr>
        <w:rFonts w:ascii="Arial" w:hAnsi="Arial" w:hint="default"/>
      </w:rPr>
    </w:lvl>
    <w:lvl w:ilvl="1" w:tplc="F0989182" w:tentative="1">
      <w:start w:val="1"/>
      <w:numFmt w:val="bullet"/>
      <w:lvlText w:val="•"/>
      <w:lvlJc w:val="left"/>
      <w:pPr>
        <w:tabs>
          <w:tab w:val="num" w:pos="1440"/>
        </w:tabs>
        <w:ind w:left="1440" w:hanging="360"/>
      </w:pPr>
      <w:rPr>
        <w:rFonts w:ascii="Arial" w:hAnsi="Arial" w:hint="default"/>
      </w:rPr>
    </w:lvl>
    <w:lvl w:ilvl="2" w:tplc="B276F080" w:tentative="1">
      <w:start w:val="1"/>
      <w:numFmt w:val="bullet"/>
      <w:lvlText w:val="•"/>
      <w:lvlJc w:val="left"/>
      <w:pPr>
        <w:tabs>
          <w:tab w:val="num" w:pos="2160"/>
        </w:tabs>
        <w:ind w:left="2160" w:hanging="360"/>
      </w:pPr>
      <w:rPr>
        <w:rFonts w:ascii="Arial" w:hAnsi="Arial" w:hint="default"/>
      </w:rPr>
    </w:lvl>
    <w:lvl w:ilvl="3" w:tplc="01F0C032" w:tentative="1">
      <w:start w:val="1"/>
      <w:numFmt w:val="bullet"/>
      <w:lvlText w:val="•"/>
      <w:lvlJc w:val="left"/>
      <w:pPr>
        <w:tabs>
          <w:tab w:val="num" w:pos="2880"/>
        </w:tabs>
        <w:ind w:left="2880" w:hanging="360"/>
      </w:pPr>
      <w:rPr>
        <w:rFonts w:ascii="Arial" w:hAnsi="Arial" w:hint="default"/>
      </w:rPr>
    </w:lvl>
    <w:lvl w:ilvl="4" w:tplc="C8584F90" w:tentative="1">
      <w:start w:val="1"/>
      <w:numFmt w:val="bullet"/>
      <w:lvlText w:val="•"/>
      <w:lvlJc w:val="left"/>
      <w:pPr>
        <w:tabs>
          <w:tab w:val="num" w:pos="3600"/>
        </w:tabs>
        <w:ind w:left="3600" w:hanging="360"/>
      </w:pPr>
      <w:rPr>
        <w:rFonts w:ascii="Arial" w:hAnsi="Arial" w:hint="default"/>
      </w:rPr>
    </w:lvl>
    <w:lvl w:ilvl="5" w:tplc="D5747E9E" w:tentative="1">
      <w:start w:val="1"/>
      <w:numFmt w:val="bullet"/>
      <w:lvlText w:val="•"/>
      <w:lvlJc w:val="left"/>
      <w:pPr>
        <w:tabs>
          <w:tab w:val="num" w:pos="4320"/>
        </w:tabs>
        <w:ind w:left="4320" w:hanging="360"/>
      </w:pPr>
      <w:rPr>
        <w:rFonts w:ascii="Arial" w:hAnsi="Arial" w:hint="default"/>
      </w:rPr>
    </w:lvl>
    <w:lvl w:ilvl="6" w:tplc="D9286782" w:tentative="1">
      <w:start w:val="1"/>
      <w:numFmt w:val="bullet"/>
      <w:lvlText w:val="•"/>
      <w:lvlJc w:val="left"/>
      <w:pPr>
        <w:tabs>
          <w:tab w:val="num" w:pos="5040"/>
        </w:tabs>
        <w:ind w:left="5040" w:hanging="360"/>
      </w:pPr>
      <w:rPr>
        <w:rFonts w:ascii="Arial" w:hAnsi="Arial" w:hint="default"/>
      </w:rPr>
    </w:lvl>
    <w:lvl w:ilvl="7" w:tplc="63A4131C" w:tentative="1">
      <w:start w:val="1"/>
      <w:numFmt w:val="bullet"/>
      <w:lvlText w:val="•"/>
      <w:lvlJc w:val="left"/>
      <w:pPr>
        <w:tabs>
          <w:tab w:val="num" w:pos="5760"/>
        </w:tabs>
        <w:ind w:left="5760" w:hanging="360"/>
      </w:pPr>
      <w:rPr>
        <w:rFonts w:ascii="Arial" w:hAnsi="Arial" w:hint="default"/>
      </w:rPr>
    </w:lvl>
    <w:lvl w:ilvl="8" w:tplc="6BE82F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B844AB5"/>
    <w:multiLevelType w:val="hybridMultilevel"/>
    <w:tmpl w:val="8924D53E"/>
    <w:lvl w:ilvl="0" w:tplc="35CAF85E">
      <w:start w:val="1"/>
      <w:numFmt w:val="bullet"/>
      <w:lvlText w:val="•"/>
      <w:lvlJc w:val="left"/>
      <w:pPr>
        <w:tabs>
          <w:tab w:val="num" w:pos="720"/>
        </w:tabs>
        <w:ind w:left="720" w:hanging="360"/>
      </w:pPr>
      <w:rPr>
        <w:rFonts w:ascii="Arial" w:hAnsi="Arial" w:hint="default"/>
      </w:rPr>
    </w:lvl>
    <w:lvl w:ilvl="1" w:tplc="E062A116" w:tentative="1">
      <w:start w:val="1"/>
      <w:numFmt w:val="bullet"/>
      <w:lvlText w:val="•"/>
      <w:lvlJc w:val="left"/>
      <w:pPr>
        <w:tabs>
          <w:tab w:val="num" w:pos="1440"/>
        </w:tabs>
        <w:ind w:left="1440" w:hanging="360"/>
      </w:pPr>
      <w:rPr>
        <w:rFonts w:ascii="Arial" w:hAnsi="Arial" w:hint="default"/>
      </w:rPr>
    </w:lvl>
    <w:lvl w:ilvl="2" w:tplc="6FB277F6" w:tentative="1">
      <w:start w:val="1"/>
      <w:numFmt w:val="bullet"/>
      <w:lvlText w:val="•"/>
      <w:lvlJc w:val="left"/>
      <w:pPr>
        <w:tabs>
          <w:tab w:val="num" w:pos="2160"/>
        </w:tabs>
        <w:ind w:left="2160" w:hanging="360"/>
      </w:pPr>
      <w:rPr>
        <w:rFonts w:ascii="Arial" w:hAnsi="Arial" w:hint="default"/>
      </w:rPr>
    </w:lvl>
    <w:lvl w:ilvl="3" w:tplc="7CBE0EA2" w:tentative="1">
      <w:start w:val="1"/>
      <w:numFmt w:val="bullet"/>
      <w:lvlText w:val="•"/>
      <w:lvlJc w:val="left"/>
      <w:pPr>
        <w:tabs>
          <w:tab w:val="num" w:pos="2880"/>
        </w:tabs>
        <w:ind w:left="2880" w:hanging="360"/>
      </w:pPr>
      <w:rPr>
        <w:rFonts w:ascii="Arial" w:hAnsi="Arial" w:hint="default"/>
      </w:rPr>
    </w:lvl>
    <w:lvl w:ilvl="4" w:tplc="C5E43920" w:tentative="1">
      <w:start w:val="1"/>
      <w:numFmt w:val="bullet"/>
      <w:lvlText w:val="•"/>
      <w:lvlJc w:val="left"/>
      <w:pPr>
        <w:tabs>
          <w:tab w:val="num" w:pos="3600"/>
        </w:tabs>
        <w:ind w:left="3600" w:hanging="360"/>
      </w:pPr>
      <w:rPr>
        <w:rFonts w:ascii="Arial" w:hAnsi="Arial" w:hint="default"/>
      </w:rPr>
    </w:lvl>
    <w:lvl w:ilvl="5" w:tplc="CB924B06" w:tentative="1">
      <w:start w:val="1"/>
      <w:numFmt w:val="bullet"/>
      <w:lvlText w:val="•"/>
      <w:lvlJc w:val="left"/>
      <w:pPr>
        <w:tabs>
          <w:tab w:val="num" w:pos="4320"/>
        </w:tabs>
        <w:ind w:left="4320" w:hanging="360"/>
      </w:pPr>
      <w:rPr>
        <w:rFonts w:ascii="Arial" w:hAnsi="Arial" w:hint="default"/>
      </w:rPr>
    </w:lvl>
    <w:lvl w:ilvl="6" w:tplc="83C822A6" w:tentative="1">
      <w:start w:val="1"/>
      <w:numFmt w:val="bullet"/>
      <w:lvlText w:val="•"/>
      <w:lvlJc w:val="left"/>
      <w:pPr>
        <w:tabs>
          <w:tab w:val="num" w:pos="5040"/>
        </w:tabs>
        <w:ind w:left="5040" w:hanging="360"/>
      </w:pPr>
      <w:rPr>
        <w:rFonts w:ascii="Arial" w:hAnsi="Arial" w:hint="default"/>
      </w:rPr>
    </w:lvl>
    <w:lvl w:ilvl="7" w:tplc="80C8FE2A" w:tentative="1">
      <w:start w:val="1"/>
      <w:numFmt w:val="bullet"/>
      <w:lvlText w:val="•"/>
      <w:lvlJc w:val="left"/>
      <w:pPr>
        <w:tabs>
          <w:tab w:val="num" w:pos="5760"/>
        </w:tabs>
        <w:ind w:left="5760" w:hanging="360"/>
      </w:pPr>
      <w:rPr>
        <w:rFonts w:ascii="Arial" w:hAnsi="Arial" w:hint="default"/>
      </w:rPr>
    </w:lvl>
    <w:lvl w:ilvl="8" w:tplc="1ED88E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8F737E"/>
    <w:multiLevelType w:val="hybridMultilevel"/>
    <w:tmpl w:val="D91E0FFA"/>
    <w:lvl w:ilvl="0" w:tplc="6682E06E">
      <w:start w:val="1"/>
      <w:numFmt w:val="bullet"/>
      <w:lvlText w:val="•"/>
      <w:lvlJc w:val="left"/>
      <w:pPr>
        <w:tabs>
          <w:tab w:val="num" w:pos="720"/>
        </w:tabs>
        <w:ind w:left="720" w:hanging="360"/>
      </w:pPr>
      <w:rPr>
        <w:rFonts w:ascii="Times New Roman" w:hAnsi="Times New Roman" w:hint="default"/>
      </w:rPr>
    </w:lvl>
    <w:lvl w:ilvl="1" w:tplc="852C4D98">
      <w:numFmt w:val="bullet"/>
      <w:lvlText w:val="•"/>
      <w:lvlJc w:val="left"/>
      <w:pPr>
        <w:tabs>
          <w:tab w:val="num" w:pos="1440"/>
        </w:tabs>
        <w:ind w:left="1440" w:hanging="360"/>
      </w:pPr>
      <w:rPr>
        <w:rFonts w:ascii="Times New Roman" w:hAnsi="Times New Roman" w:hint="default"/>
      </w:rPr>
    </w:lvl>
    <w:lvl w:ilvl="2" w:tplc="1CD4325A" w:tentative="1">
      <w:start w:val="1"/>
      <w:numFmt w:val="bullet"/>
      <w:lvlText w:val="•"/>
      <w:lvlJc w:val="left"/>
      <w:pPr>
        <w:tabs>
          <w:tab w:val="num" w:pos="2160"/>
        </w:tabs>
        <w:ind w:left="2160" w:hanging="360"/>
      </w:pPr>
      <w:rPr>
        <w:rFonts w:ascii="Times New Roman" w:hAnsi="Times New Roman" w:hint="default"/>
      </w:rPr>
    </w:lvl>
    <w:lvl w:ilvl="3" w:tplc="1A7E9C92" w:tentative="1">
      <w:start w:val="1"/>
      <w:numFmt w:val="bullet"/>
      <w:lvlText w:val="•"/>
      <w:lvlJc w:val="left"/>
      <w:pPr>
        <w:tabs>
          <w:tab w:val="num" w:pos="2880"/>
        </w:tabs>
        <w:ind w:left="2880" w:hanging="360"/>
      </w:pPr>
      <w:rPr>
        <w:rFonts w:ascii="Times New Roman" w:hAnsi="Times New Roman" w:hint="default"/>
      </w:rPr>
    </w:lvl>
    <w:lvl w:ilvl="4" w:tplc="F3A45AB4" w:tentative="1">
      <w:start w:val="1"/>
      <w:numFmt w:val="bullet"/>
      <w:lvlText w:val="•"/>
      <w:lvlJc w:val="left"/>
      <w:pPr>
        <w:tabs>
          <w:tab w:val="num" w:pos="3600"/>
        </w:tabs>
        <w:ind w:left="3600" w:hanging="360"/>
      </w:pPr>
      <w:rPr>
        <w:rFonts w:ascii="Times New Roman" w:hAnsi="Times New Roman" w:hint="default"/>
      </w:rPr>
    </w:lvl>
    <w:lvl w:ilvl="5" w:tplc="48928AFC" w:tentative="1">
      <w:start w:val="1"/>
      <w:numFmt w:val="bullet"/>
      <w:lvlText w:val="•"/>
      <w:lvlJc w:val="left"/>
      <w:pPr>
        <w:tabs>
          <w:tab w:val="num" w:pos="4320"/>
        </w:tabs>
        <w:ind w:left="4320" w:hanging="360"/>
      </w:pPr>
      <w:rPr>
        <w:rFonts w:ascii="Times New Roman" w:hAnsi="Times New Roman" w:hint="default"/>
      </w:rPr>
    </w:lvl>
    <w:lvl w:ilvl="6" w:tplc="71E86DC8" w:tentative="1">
      <w:start w:val="1"/>
      <w:numFmt w:val="bullet"/>
      <w:lvlText w:val="•"/>
      <w:lvlJc w:val="left"/>
      <w:pPr>
        <w:tabs>
          <w:tab w:val="num" w:pos="5040"/>
        </w:tabs>
        <w:ind w:left="5040" w:hanging="360"/>
      </w:pPr>
      <w:rPr>
        <w:rFonts w:ascii="Times New Roman" w:hAnsi="Times New Roman" w:hint="default"/>
      </w:rPr>
    </w:lvl>
    <w:lvl w:ilvl="7" w:tplc="2EF0338A" w:tentative="1">
      <w:start w:val="1"/>
      <w:numFmt w:val="bullet"/>
      <w:lvlText w:val="•"/>
      <w:lvlJc w:val="left"/>
      <w:pPr>
        <w:tabs>
          <w:tab w:val="num" w:pos="5760"/>
        </w:tabs>
        <w:ind w:left="5760" w:hanging="360"/>
      </w:pPr>
      <w:rPr>
        <w:rFonts w:ascii="Times New Roman" w:hAnsi="Times New Roman" w:hint="default"/>
      </w:rPr>
    </w:lvl>
    <w:lvl w:ilvl="8" w:tplc="BEA68AAE" w:tentative="1">
      <w:start w:val="1"/>
      <w:numFmt w:val="bullet"/>
      <w:lvlText w:val="•"/>
      <w:lvlJc w:val="left"/>
      <w:pPr>
        <w:tabs>
          <w:tab w:val="num" w:pos="6480"/>
        </w:tabs>
        <w:ind w:left="6480" w:hanging="360"/>
      </w:pPr>
      <w:rPr>
        <w:rFonts w:ascii="Times New Roman" w:hAnsi="Times New Roman" w:hint="default"/>
      </w:rPr>
    </w:lvl>
  </w:abstractNum>
  <w:num w:numId="1" w16cid:durableId="127555747">
    <w:abstractNumId w:val="7"/>
  </w:num>
  <w:num w:numId="2" w16cid:durableId="1587809672">
    <w:abstractNumId w:val="9"/>
  </w:num>
  <w:num w:numId="3" w16cid:durableId="1110710030">
    <w:abstractNumId w:val="3"/>
  </w:num>
  <w:num w:numId="4" w16cid:durableId="1601916181">
    <w:abstractNumId w:val="1"/>
  </w:num>
  <w:num w:numId="5" w16cid:durableId="472449786">
    <w:abstractNumId w:val="2"/>
  </w:num>
  <w:num w:numId="6" w16cid:durableId="1103577837">
    <w:abstractNumId w:val="5"/>
  </w:num>
  <w:num w:numId="7" w16cid:durableId="1376924483">
    <w:abstractNumId w:val="0"/>
  </w:num>
  <w:num w:numId="8" w16cid:durableId="1084953918">
    <w:abstractNumId w:val="4"/>
  </w:num>
  <w:num w:numId="9" w16cid:durableId="877625263">
    <w:abstractNumId w:val="8"/>
  </w:num>
  <w:num w:numId="10" w16cid:durableId="1646397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C35"/>
    <w:rsid w:val="000755E1"/>
    <w:rsid w:val="00077C60"/>
    <w:rsid w:val="00147F11"/>
    <w:rsid w:val="00153BA8"/>
    <w:rsid w:val="00160883"/>
    <w:rsid w:val="001652B5"/>
    <w:rsid w:val="00170964"/>
    <w:rsid w:val="0026440E"/>
    <w:rsid w:val="002702F1"/>
    <w:rsid w:val="002B6E85"/>
    <w:rsid w:val="002D42A0"/>
    <w:rsid w:val="00333B07"/>
    <w:rsid w:val="003505F9"/>
    <w:rsid w:val="00350C35"/>
    <w:rsid w:val="00376D63"/>
    <w:rsid w:val="003D426D"/>
    <w:rsid w:val="003E40A0"/>
    <w:rsid w:val="004212CA"/>
    <w:rsid w:val="00433F19"/>
    <w:rsid w:val="00544400"/>
    <w:rsid w:val="0055646D"/>
    <w:rsid w:val="00585FF1"/>
    <w:rsid w:val="005B6198"/>
    <w:rsid w:val="006252C6"/>
    <w:rsid w:val="006E1182"/>
    <w:rsid w:val="006E35B8"/>
    <w:rsid w:val="006F3003"/>
    <w:rsid w:val="00704B97"/>
    <w:rsid w:val="0072506D"/>
    <w:rsid w:val="00737C44"/>
    <w:rsid w:val="00750E4B"/>
    <w:rsid w:val="00767BBD"/>
    <w:rsid w:val="00791738"/>
    <w:rsid w:val="007E016F"/>
    <w:rsid w:val="00847E2D"/>
    <w:rsid w:val="00861762"/>
    <w:rsid w:val="008B50C8"/>
    <w:rsid w:val="008D3900"/>
    <w:rsid w:val="0097193B"/>
    <w:rsid w:val="00974367"/>
    <w:rsid w:val="009A5CEB"/>
    <w:rsid w:val="009E0EB5"/>
    <w:rsid w:val="009F0C06"/>
    <w:rsid w:val="00A26748"/>
    <w:rsid w:val="00A95520"/>
    <w:rsid w:val="00AD1704"/>
    <w:rsid w:val="00AD7CAC"/>
    <w:rsid w:val="00AE22BE"/>
    <w:rsid w:val="00AF6D0E"/>
    <w:rsid w:val="00BE5D4D"/>
    <w:rsid w:val="00BE7A9B"/>
    <w:rsid w:val="00C05FDE"/>
    <w:rsid w:val="00C95902"/>
    <w:rsid w:val="00CA16A6"/>
    <w:rsid w:val="00CD0C9B"/>
    <w:rsid w:val="00D11B1F"/>
    <w:rsid w:val="00D755BC"/>
    <w:rsid w:val="00DB1618"/>
    <w:rsid w:val="00DC10FB"/>
    <w:rsid w:val="00E525DC"/>
    <w:rsid w:val="00E53A4B"/>
    <w:rsid w:val="00E720D5"/>
    <w:rsid w:val="00EE5CE5"/>
    <w:rsid w:val="00F0607B"/>
    <w:rsid w:val="00F07866"/>
    <w:rsid w:val="00F55FC2"/>
    <w:rsid w:val="00F672A7"/>
    <w:rsid w:val="00F93C0E"/>
    <w:rsid w:val="00FA30E4"/>
    <w:rsid w:val="00FE7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DC78"/>
  <w15:chartTrackingRefBased/>
  <w15:docId w15:val="{511BD667-56DC-4A53-A285-56D6291A3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618"/>
    <w:pPr>
      <w:ind w:left="720"/>
      <w:contextualSpacing/>
    </w:pPr>
  </w:style>
  <w:style w:type="paragraph" w:styleId="Header">
    <w:name w:val="header"/>
    <w:basedOn w:val="Normal"/>
    <w:link w:val="HeaderChar"/>
    <w:uiPriority w:val="99"/>
    <w:unhideWhenUsed/>
    <w:rsid w:val="00FA30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0E4"/>
  </w:style>
  <w:style w:type="paragraph" w:styleId="Footer">
    <w:name w:val="footer"/>
    <w:basedOn w:val="Normal"/>
    <w:link w:val="FooterChar"/>
    <w:uiPriority w:val="99"/>
    <w:unhideWhenUsed/>
    <w:rsid w:val="00FA30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0E4"/>
  </w:style>
  <w:style w:type="paragraph" w:styleId="Revision">
    <w:name w:val="Revision"/>
    <w:hidden/>
    <w:uiPriority w:val="99"/>
    <w:semiHidden/>
    <w:rsid w:val="00AD1704"/>
    <w:pPr>
      <w:spacing w:after="0" w:line="240" w:lineRule="auto"/>
    </w:pPr>
  </w:style>
  <w:style w:type="character" w:styleId="Hyperlink">
    <w:name w:val="Hyperlink"/>
    <w:basedOn w:val="DefaultParagraphFont"/>
    <w:uiPriority w:val="99"/>
    <w:unhideWhenUsed/>
    <w:rsid w:val="00585FF1"/>
    <w:rPr>
      <w:color w:val="0563C1" w:themeColor="hyperlink"/>
      <w:u w:val="single"/>
    </w:rPr>
  </w:style>
  <w:style w:type="character" w:styleId="UnresolvedMention">
    <w:name w:val="Unresolved Mention"/>
    <w:basedOn w:val="DefaultParagraphFont"/>
    <w:uiPriority w:val="99"/>
    <w:semiHidden/>
    <w:unhideWhenUsed/>
    <w:rsid w:val="00585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624">
      <w:bodyDiv w:val="1"/>
      <w:marLeft w:val="0"/>
      <w:marRight w:val="0"/>
      <w:marTop w:val="0"/>
      <w:marBottom w:val="0"/>
      <w:divBdr>
        <w:top w:val="none" w:sz="0" w:space="0" w:color="auto"/>
        <w:left w:val="none" w:sz="0" w:space="0" w:color="auto"/>
        <w:bottom w:val="none" w:sz="0" w:space="0" w:color="auto"/>
        <w:right w:val="none" w:sz="0" w:space="0" w:color="auto"/>
      </w:divBdr>
    </w:div>
    <w:div w:id="173036700">
      <w:bodyDiv w:val="1"/>
      <w:marLeft w:val="0"/>
      <w:marRight w:val="0"/>
      <w:marTop w:val="0"/>
      <w:marBottom w:val="0"/>
      <w:divBdr>
        <w:top w:val="none" w:sz="0" w:space="0" w:color="auto"/>
        <w:left w:val="none" w:sz="0" w:space="0" w:color="auto"/>
        <w:bottom w:val="none" w:sz="0" w:space="0" w:color="auto"/>
        <w:right w:val="none" w:sz="0" w:space="0" w:color="auto"/>
      </w:divBdr>
    </w:div>
    <w:div w:id="224874569">
      <w:bodyDiv w:val="1"/>
      <w:marLeft w:val="0"/>
      <w:marRight w:val="0"/>
      <w:marTop w:val="0"/>
      <w:marBottom w:val="0"/>
      <w:divBdr>
        <w:top w:val="none" w:sz="0" w:space="0" w:color="auto"/>
        <w:left w:val="none" w:sz="0" w:space="0" w:color="auto"/>
        <w:bottom w:val="none" w:sz="0" w:space="0" w:color="auto"/>
        <w:right w:val="none" w:sz="0" w:space="0" w:color="auto"/>
      </w:divBdr>
    </w:div>
    <w:div w:id="322196581">
      <w:bodyDiv w:val="1"/>
      <w:marLeft w:val="0"/>
      <w:marRight w:val="0"/>
      <w:marTop w:val="0"/>
      <w:marBottom w:val="0"/>
      <w:divBdr>
        <w:top w:val="none" w:sz="0" w:space="0" w:color="auto"/>
        <w:left w:val="none" w:sz="0" w:space="0" w:color="auto"/>
        <w:bottom w:val="none" w:sz="0" w:space="0" w:color="auto"/>
        <w:right w:val="none" w:sz="0" w:space="0" w:color="auto"/>
      </w:divBdr>
      <w:divsChild>
        <w:div w:id="108672159">
          <w:marLeft w:val="547"/>
          <w:marRight w:val="0"/>
          <w:marTop w:val="200"/>
          <w:marBottom w:val="0"/>
          <w:divBdr>
            <w:top w:val="none" w:sz="0" w:space="0" w:color="auto"/>
            <w:left w:val="none" w:sz="0" w:space="0" w:color="auto"/>
            <w:bottom w:val="none" w:sz="0" w:space="0" w:color="auto"/>
            <w:right w:val="none" w:sz="0" w:space="0" w:color="auto"/>
          </w:divBdr>
        </w:div>
        <w:div w:id="810750792">
          <w:marLeft w:val="547"/>
          <w:marRight w:val="0"/>
          <w:marTop w:val="200"/>
          <w:marBottom w:val="0"/>
          <w:divBdr>
            <w:top w:val="none" w:sz="0" w:space="0" w:color="auto"/>
            <w:left w:val="none" w:sz="0" w:space="0" w:color="auto"/>
            <w:bottom w:val="none" w:sz="0" w:space="0" w:color="auto"/>
            <w:right w:val="none" w:sz="0" w:space="0" w:color="auto"/>
          </w:divBdr>
        </w:div>
        <w:div w:id="1533491094">
          <w:marLeft w:val="547"/>
          <w:marRight w:val="0"/>
          <w:marTop w:val="200"/>
          <w:marBottom w:val="0"/>
          <w:divBdr>
            <w:top w:val="none" w:sz="0" w:space="0" w:color="auto"/>
            <w:left w:val="none" w:sz="0" w:space="0" w:color="auto"/>
            <w:bottom w:val="none" w:sz="0" w:space="0" w:color="auto"/>
            <w:right w:val="none" w:sz="0" w:space="0" w:color="auto"/>
          </w:divBdr>
        </w:div>
      </w:divsChild>
    </w:div>
    <w:div w:id="516891011">
      <w:bodyDiv w:val="1"/>
      <w:marLeft w:val="0"/>
      <w:marRight w:val="0"/>
      <w:marTop w:val="0"/>
      <w:marBottom w:val="0"/>
      <w:divBdr>
        <w:top w:val="none" w:sz="0" w:space="0" w:color="auto"/>
        <w:left w:val="none" w:sz="0" w:space="0" w:color="auto"/>
        <w:bottom w:val="none" w:sz="0" w:space="0" w:color="auto"/>
        <w:right w:val="none" w:sz="0" w:space="0" w:color="auto"/>
      </w:divBdr>
    </w:div>
    <w:div w:id="520048732">
      <w:bodyDiv w:val="1"/>
      <w:marLeft w:val="0"/>
      <w:marRight w:val="0"/>
      <w:marTop w:val="0"/>
      <w:marBottom w:val="0"/>
      <w:divBdr>
        <w:top w:val="none" w:sz="0" w:space="0" w:color="auto"/>
        <w:left w:val="none" w:sz="0" w:space="0" w:color="auto"/>
        <w:bottom w:val="none" w:sz="0" w:space="0" w:color="auto"/>
        <w:right w:val="none" w:sz="0" w:space="0" w:color="auto"/>
      </w:divBdr>
    </w:div>
    <w:div w:id="563806315">
      <w:bodyDiv w:val="1"/>
      <w:marLeft w:val="0"/>
      <w:marRight w:val="0"/>
      <w:marTop w:val="0"/>
      <w:marBottom w:val="0"/>
      <w:divBdr>
        <w:top w:val="none" w:sz="0" w:space="0" w:color="auto"/>
        <w:left w:val="none" w:sz="0" w:space="0" w:color="auto"/>
        <w:bottom w:val="none" w:sz="0" w:space="0" w:color="auto"/>
        <w:right w:val="none" w:sz="0" w:space="0" w:color="auto"/>
      </w:divBdr>
      <w:divsChild>
        <w:div w:id="1663461665">
          <w:marLeft w:val="547"/>
          <w:marRight w:val="0"/>
          <w:marTop w:val="200"/>
          <w:marBottom w:val="0"/>
          <w:divBdr>
            <w:top w:val="none" w:sz="0" w:space="0" w:color="auto"/>
            <w:left w:val="none" w:sz="0" w:space="0" w:color="auto"/>
            <w:bottom w:val="none" w:sz="0" w:space="0" w:color="auto"/>
            <w:right w:val="none" w:sz="0" w:space="0" w:color="auto"/>
          </w:divBdr>
        </w:div>
        <w:div w:id="2098362425">
          <w:marLeft w:val="547"/>
          <w:marRight w:val="0"/>
          <w:marTop w:val="200"/>
          <w:marBottom w:val="0"/>
          <w:divBdr>
            <w:top w:val="none" w:sz="0" w:space="0" w:color="auto"/>
            <w:left w:val="none" w:sz="0" w:space="0" w:color="auto"/>
            <w:bottom w:val="none" w:sz="0" w:space="0" w:color="auto"/>
            <w:right w:val="none" w:sz="0" w:space="0" w:color="auto"/>
          </w:divBdr>
        </w:div>
        <w:div w:id="339966077">
          <w:marLeft w:val="547"/>
          <w:marRight w:val="0"/>
          <w:marTop w:val="200"/>
          <w:marBottom w:val="0"/>
          <w:divBdr>
            <w:top w:val="none" w:sz="0" w:space="0" w:color="auto"/>
            <w:left w:val="none" w:sz="0" w:space="0" w:color="auto"/>
            <w:bottom w:val="none" w:sz="0" w:space="0" w:color="auto"/>
            <w:right w:val="none" w:sz="0" w:space="0" w:color="auto"/>
          </w:divBdr>
        </w:div>
        <w:div w:id="1205364504">
          <w:marLeft w:val="547"/>
          <w:marRight w:val="0"/>
          <w:marTop w:val="200"/>
          <w:marBottom w:val="0"/>
          <w:divBdr>
            <w:top w:val="none" w:sz="0" w:space="0" w:color="auto"/>
            <w:left w:val="none" w:sz="0" w:space="0" w:color="auto"/>
            <w:bottom w:val="none" w:sz="0" w:space="0" w:color="auto"/>
            <w:right w:val="none" w:sz="0" w:space="0" w:color="auto"/>
          </w:divBdr>
        </w:div>
      </w:divsChild>
    </w:div>
    <w:div w:id="617375612">
      <w:bodyDiv w:val="1"/>
      <w:marLeft w:val="0"/>
      <w:marRight w:val="0"/>
      <w:marTop w:val="0"/>
      <w:marBottom w:val="0"/>
      <w:divBdr>
        <w:top w:val="none" w:sz="0" w:space="0" w:color="auto"/>
        <w:left w:val="none" w:sz="0" w:space="0" w:color="auto"/>
        <w:bottom w:val="none" w:sz="0" w:space="0" w:color="auto"/>
        <w:right w:val="none" w:sz="0" w:space="0" w:color="auto"/>
      </w:divBdr>
    </w:div>
    <w:div w:id="620304289">
      <w:bodyDiv w:val="1"/>
      <w:marLeft w:val="0"/>
      <w:marRight w:val="0"/>
      <w:marTop w:val="0"/>
      <w:marBottom w:val="0"/>
      <w:divBdr>
        <w:top w:val="none" w:sz="0" w:space="0" w:color="auto"/>
        <w:left w:val="none" w:sz="0" w:space="0" w:color="auto"/>
        <w:bottom w:val="none" w:sz="0" w:space="0" w:color="auto"/>
        <w:right w:val="none" w:sz="0" w:space="0" w:color="auto"/>
      </w:divBdr>
    </w:div>
    <w:div w:id="661159239">
      <w:bodyDiv w:val="1"/>
      <w:marLeft w:val="0"/>
      <w:marRight w:val="0"/>
      <w:marTop w:val="0"/>
      <w:marBottom w:val="0"/>
      <w:divBdr>
        <w:top w:val="none" w:sz="0" w:space="0" w:color="auto"/>
        <w:left w:val="none" w:sz="0" w:space="0" w:color="auto"/>
        <w:bottom w:val="none" w:sz="0" w:space="0" w:color="auto"/>
        <w:right w:val="none" w:sz="0" w:space="0" w:color="auto"/>
      </w:divBdr>
      <w:divsChild>
        <w:div w:id="937056473">
          <w:marLeft w:val="547"/>
          <w:marRight w:val="0"/>
          <w:marTop w:val="0"/>
          <w:marBottom w:val="0"/>
          <w:divBdr>
            <w:top w:val="none" w:sz="0" w:space="0" w:color="auto"/>
            <w:left w:val="none" w:sz="0" w:space="0" w:color="auto"/>
            <w:bottom w:val="none" w:sz="0" w:space="0" w:color="auto"/>
            <w:right w:val="none" w:sz="0" w:space="0" w:color="auto"/>
          </w:divBdr>
        </w:div>
        <w:div w:id="1000084273">
          <w:marLeft w:val="1166"/>
          <w:marRight w:val="0"/>
          <w:marTop w:val="0"/>
          <w:marBottom w:val="0"/>
          <w:divBdr>
            <w:top w:val="none" w:sz="0" w:space="0" w:color="auto"/>
            <w:left w:val="none" w:sz="0" w:space="0" w:color="auto"/>
            <w:bottom w:val="none" w:sz="0" w:space="0" w:color="auto"/>
            <w:right w:val="none" w:sz="0" w:space="0" w:color="auto"/>
          </w:divBdr>
        </w:div>
        <w:div w:id="718163399">
          <w:marLeft w:val="1166"/>
          <w:marRight w:val="0"/>
          <w:marTop w:val="0"/>
          <w:marBottom w:val="0"/>
          <w:divBdr>
            <w:top w:val="none" w:sz="0" w:space="0" w:color="auto"/>
            <w:left w:val="none" w:sz="0" w:space="0" w:color="auto"/>
            <w:bottom w:val="none" w:sz="0" w:space="0" w:color="auto"/>
            <w:right w:val="none" w:sz="0" w:space="0" w:color="auto"/>
          </w:divBdr>
        </w:div>
        <w:div w:id="547106750">
          <w:marLeft w:val="1166"/>
          <w:marRight w:val="0"/>
          <w:marTop w:val="0"/>
          <w:marBottom w:val="0"/>
          <w:divBdr>
            <w:top w:val="none" w:sz="0" w:space="0" w:color="auto"/>
            <w:left w:val="none" w:sz="0" w:space="0" w:color="auto"/>
            <w:bottom w:val="none" w:sz="0" w:space="0" w:color="auto"/>
            <w:right w:val="none" w:sz="0" w:space="0" w:color="auto"/>
          </w:divBdr>
        </w:div>
      </w:divsChild>
    </w:div>
    <w:div w:id="697632400">
      <w:bodyDiv w:val="1"/>
      <w:marLeft w:val="0"/>
      <w:marRight w:val="0"/>
      <w:marTop w:val="0"/>
      <w:marBottom w:val="0"/>
      <w:divBdr>
        <w:top w:val="none" w:sz="0" w:space="0" w:color="auto"/>
        <w:left w:val="none" w:sz="0" w:space="0" w:color="auto"/>
        <w:bottom w:val="none" w:sz="0" w:space="0" w:color="auto"/>
        <w:right w:val="none" w:sz="0" w:space="0" w:color="auto"/>
      </w:divBdr>
    </w:div>
    <w:div w:id="740326360">
      <w:bodyDiv w:val="1"/>
      <w:marLeft w:val="0"/>
      <w:marRight w:val="0"/>
      <w:marTop w:val="0"/>
      <w:marBottom w:val="0"/>
      <w:divBdr>
        <w:top w:val="none" w:sz="0" w:space="0" w:color="auto"/>
        <w:left w:val="none" w:sz="0" w:space="0" w:color="auto"/>
        <w:bottom w:val="none" w:sz="0" w:space="0" w:color="auto"/>
        <w:right w:val="none" w:sz="0" w:space="0" w:color="auto"/>
      </w:divBdr>
      <w:divsChild>
        <w:div w:id="110100768">
          <w:marLeft w:val="547"/>
          <w:marRight w:val="0"/>
          <w:marTop w:val="200"/>
          <w:marBottom w:val="0"/>
          <w:divBdr>
            <w:top w:val="none" w:sz="0" w:space="0" w:color="auto"/>
            <w:left w:val="none" w:sz="0" w:space="0" w:color="auto"/>
            <w:bottom w:val="none" w:sz="0" w:space="0" w:color="auto"/>
            <w:right w:val="none" w:sz="0" w:space="0" w:color="auto"/>
          </w:divBdr>
        </w:div>
        <w:div w:id="1655640997">
          <w:marLeft w:val="547"/>
          <w:marRight w:val="0"/>
          <w:marTop w:val="200"/>
          <w:marBottom w:val="0"/>
          <w:divBdr>
            <w:top w:val="none" w:sz="0" w:space="0" w:color="auto"/>
            <w:left w:val="none" w:sz="0" w:space="0" w:color="auto"/>
            <w:bottom w:val="none" w:sz="0" w:space="0" w:color="auto"/>
            <w:right w:val="none" w:sz="0" w:space="0" w:color="auto"/>
          </w:divBdr>
        </w:div>
        <w:div w:id="1235504107">
          <w:marLeft w:val="547"/>
          <w:marRight w:val="0"/>
          <w:marTop w:val="200"/>
          <w:marBottom w:val="0"/>
          <w:divBdr>
            <w:top w:val="none" w:sz="0" w:space="0" w:color="auto"/>
            <w:left w:val="none" w:sz="0" w:space="0" w:color="auto"/>
            <w:bottom w:val="none" w:sz="0" w:space="0" w:color="auto"/>
            <w:right w:val="none" w:sz="0" w:space="0" w:color="auto"/>
          </w:divBdr>
        </w:div>
        <w:div w:id="40250505">
          <w:marLeft w:val="547"/>
          <w:marRight w:val="0"/>
          <w:marTop w:val="200"/>
          <w:marBottom w:val="0"/>
          <w:divBdr>
            <w:top w:val="none" w:sz="0" w:space="0" w:color="auto"/>
            <w:left w:val="none" w:sz="0" w:space="0" w:color="auto"/>
            <w:bottom w:val="none" w:sz="0" w:space="0" w:color="auto"/>
            <w:right w:val="none" w:sz="0" w:space="0" w:color="auto"/>
          </w:divBdr>
        </w:div>
        <w:div w:id="103235107">
          <w:marLeft w:val="547"/>
          <w:marRight w:val="0"/>
          <w:marTop w:val="200"/>
          <w:marBottom w:val="0"/>
          <w:divBdr>
            <w:top w:val="none" w:sz="0" w:space="0" w:color="auto"/>
            <w:left w:val="none" w:sz="0" w:space="0" w:color="auto"/>
            <w:bottom w:val="none" w:sz="0" w:space="0" w:color="auto"/>
            <w:right w:val="none" w:sz="0" w:space="0" w:color="auto"/>
          </w:divBdr>
        </w:div>
        <w:div w:id="1055467603">
          <w:marLeft w:val="547"/>
          <w:marRight w:val="0"/>
          <w:marTop w:val="200"/>
          <w:marBottom w:val="0"/>
          <w:divBdr>
            <w:top w:val="none" w:sz="0" w:space="0" w:color="auto"/>
            <w:left w:val="none" w:sz="0" w:space="0" w:color="auto"/>
            <w:bottom w:val="none" w:sz="0" w:space="0" w:color="auto"/>
            <w:right w:val="none" w:sz="0" w:space="0" w:color="auto"/>
          </w:divBdr>
        </w:div>
        <w:div w:id="1375698016">
          <w:marLeft w:val="547"/>
          <w:marRight w:val="0"/>
          <w:marTop w:val="200"/>
          <w:marBottom w:val="0"/>
          <w:divBdr>
            <w:top w:val="none" w:sz="0" w:space="0" w:color="auto"/>
            <w:left w:val="none" w:sz="0" w:space="0" w:color="auto"/>
            <w:bottom w:val="none" w:sz="0" w:space="0" w:color="auto"/>
            <w:right w:val="none" w:sz="0" w:space="0" w:color="auto"/>
          </w:divBdr>
        </w:div>
      </w:divsChild>
    </w:div>
    <w:div w:id="773133782">
      <w:bodyDiv w:val="1"/>
      <w:marLeft w:val="0"/>
      <w:marRight w:val="0"/>
      <w:marTop w:val="0"/>
      <w:marBottom w:val="0"/>
      <w:divBdr>
        <w:top w:val="none" w:sz="0" w:space="0" w:color="auto"/>
        <w:left w:val="none" w:sz="0" w:space="0" w:color="auto"/>
        <w:bottom w:val="none" w:sz="0" w:space="0" w:color="auto"/>
        <w:right w:val="none" w:sz="0" w:space="0" w:color="auto"/>
      </w:divBdr>
    </w:div>
    <w:div w:id="785152083">
      <w:bodyDiv w:val="1"/>
      <w:marLeft w:val="0"/>
      <w:marRight w:val="0"/>
      <w:marTop w:val="0"/>
      <w:marBottom w:val="0"/>
      <w:divBdr>
        <w:top w:val="none" w:sz="0" w:space="0" w:color="auto"/>
        <w:left w:val="none" w:sz="0" w:space="0" w:color="auto"/>
        <w:bottom w:val="none" w:sz="0" w:space="0" w:color="auto"/>
        <w:right w:val="none" w:sz="0" w:space="0" w:color="auto"/>
      </w:divBdr>
    </w:div>
    <w:div w:id="864517945">
      <w:bodyDiv w:val="1"/>
      <w:marLeft w:val="0"/>
      <w:marRight w:val="0"/>
      <w:marTop w:val="0"/>
      <w:marBottom w:val="0"/>
      <w:divBdr>
        <w:top w:val="none" w:sz="0" w:space="0" w:color="auto"/>
        <w:left w:val="none" w:sz="0" w:space="0" w:color="auto"/>
        <w:bottom w:val="none" w:sz="0" w:space="0" w:color="auto"/>
        <w:right w:val="none" w:sz="0" w:space="0" w:color="auto"/>
      </w:divBdr>
    </w:div>
    <w:div w:id="877204286">
      <w:bodyDiv w:val="1"/>
      <w:marLeft w:val="0"/>
      <w:marRight w:val="0"/>
      <w:marTop w:val="0"/>
      <w:marBottom w:val="0"/>
      <w:divBdr>
        <w:top w:val="none" w:sz="0" w:space="0" w:color="auto"/>
        <w:left w:val="none" w:sz="0" w:space="0" w:color="auto"/>
        <w:bottom w:val="none" w:sz="0" w:space="0" w:color="auto"/>
        <w:right w:val="none" w:sz="0" w:space="0" w:color="auto"/>
      </w:divBdr>
    </w:div>
    <w:div w:id="942688268">
      <w:bodyDiv w:val="1"/>
      <w:marLeft w:val="0"/>
      <w:marRight w:val="0"/>
      <w:marTop w:val="0"/>
      <w:marBottom w:val="0"/>
      <w:divBdr>
        <w:top w:val="none" w:sz="0" w:space="0" w:color="auto"/>
        <w:left w:val="none" w:sz="0" w:space="0" w:color="auto"/>
        <w:bottom w:val="none" w:sz="0" w:space="0" w:color="auto"/>
        <w:right w:val="none" w:sz="0" w:space="0" w:color="auto"/>
      </w:divBdr>
    </w:div>
    <w:div w:id="944267937">
      <w:bodyDiv w:val="1"/>
      <w:marLeft w:val="0"/>
      <w:marRight w:val="0"/>
      <w:marTop w:val="0"/>
      <w:marBottom w:val="0"/>
      <w:divBdr>
        <w:top w:val="none" w:sz="0" w:space="0" w:color="auto"/>
        <w:left w:val="none" w:sz="0" w:space="0" w:color="auto"/>
        <w:bottom w:val="none" w:sz="0" w:space="0" w:color="auto"/>
        <w:right w:val="none" w:sz="0" w:space="0" w:color="auto"/>
      </w:divBdr>
    </w:div>
    <w:div w:id="973102044">
      <w:bodyDiv w:val="1"/>
      <w:marLeft w:val="0"/>
      <w:marRight w:val="0"/>
      <w:marTop w:val="0"/>
      <w:marBottom w:val="0"/>
      <w:divBdr>
        <w:top w:val="none" w:sz="0" w:space="0" w:color="auto"/>
        <w:left w:val="none" w:sz="0" w:space="0" w:color="auto"/>
        <w:bottom w:val="none" w:sz="0" w:space="0" w:color="auto"/>
        <w:right w:val="none" w:sz="0" w:space="0" w:color="auto"/>
      </w:divBdr>
      <w:divsChild>
        <w:div w:id="416557013">
          <w:marLeft w:val="1627"/>
          <w:marRight w:val="0"/>
          <w:marTop w:val="100"/>
          <w:marBottom w:val="0"/>
          <w:divBdr>
            <w:top w:val="none" w:sz="0" w:space="0" w:color="auto"/>
            <w:left w:val="none" w:sz="0" w:space="0" w:color="auto"/>
            <w:bottom w:val="none" w:sz="0" w:space="0" w:color="auto"/>
            <w:right w:val="none" w:sz="0" w:space="0" w:color="auto"/>
          </w:divBdr>
        </w:div>
        <w:div w:id="1325890940">
          <w:marLeft w:val="1627"/>
          <w:marRight w:val="0"/>
          <w:marTop w:val="100"/>
          <w:marBottom w:val="0"/>
          <w:divBdr>
            <w:top w:val="none" w:sz="0" w:space="0" w:color="auto"/>
            <w:left w:val="none" w:sz="0" w:space="0" w:color="auto"/>
            <w:bottom w:val="none" w:sz="0" w:space="0" w:color="auto"/>
            <w:right w:val="none" w:sz="0" w:space="0" w:color="auto"/>
          </w:divBdr>
        </w:div>
        <w:div w:id="1806192090">
          <w:marLeft w:val="1627"/>
          <w:marRight w:val="0"/>
          <w:marTop w:val="100"/>
          <w:marBottom w:val="0"/>
          <w:divBdr>
            <w:top w:val="none" w:sz="0" w:space="0" w:color="auto"/>
            <w:left w:val="none" w:sz="0" w:space="0" w:color="auto"/>
            <w:bottom w:val="none" w:sz="0" w:space="0" w:color="auto"/>
            <w:right w:val="none" w:sz="0" w:space="0" w:color="auto"/>
          </w:divBdr>
        </w:div>
      </w:divsChild>
    </w:div>
    <w:div w:id="974683101">
      <w:bodyDiv w:val="1"/>
      <w:marLeft w:val="0"/>
      <w:marRight w:val="0"/>
      <w:marTop w:val="0"/>
      <w:marBottom w:val="0"/>
      <w:divBdr>
        <w:top w:val="none" w:sz="0" w:space="0" w:color="auto"/>
        <w:left w:val="none" w:sz="0" w:space="0" w:color="auto"/>
        <w:bottom w:val="none" w:sz="0" w:space="0" w:color="auto"/>
        <w:right w:val="none" w:sz="0" w:space="0" w:color="auto"/>
      </w:divBdr>
    </w:div>
    <w:div w:id="993991845">
      <w:bodyDiv w:val="1"/>
      <w:marLeft w:val="0"/>
      <w:marRight w:val="0"/>
      <w:marTop w:val="0"/>
      <w:marBottom w:val="0"/>
      <w:divBdr>
        <w:top w:val="none" w:sz="0" w:space="0" w:color="auto"/>
        <w:left w:val="none" w:sz="0" w:space="0" w:color="auto"/>
        <w:bottom w:val="none" w:sz="0" w:space="0" w:color="auto"/>
        <w:right w:val="none" w:sz="0" w:space="0" w:color="auto"/>
      </w:divBdr>
    </w:div>
    <w:div w:id="1011879063">
      <w:bodyDiv w:val="1"/>
      <w:marLeft w:val="0"/>
      <w:marRight w:val="0"/>
      <w:marTop w:val="0"/>
      <w:marBottom w:val="0"/>
      <w:divBdr>
        <w:top w:val="none" w:sz="0" w:space="0" w:color="auto"/>
        <w:left w:val="none" w:sz="0" w:space="0" w:color="auto"/>
        <w:bottom w:val="none" w:sz="0" w:space="0" w:color="auto"/>
        <w:right w:val="none" w:sz="0" w:space="0" w:color="auto"/>
      </w:divBdr>
    </w:div>
    <w:div w:id="1082794433">
      <w:bodyDiv w:val="1"/>
      <w:marLeft w:val="0"/>
      <w:marRight w:val="0"/>
      <w:marTop w:val="0"/>
      <w:marBottom w:val="0"/>
      <w:divBdr>
        <w:top w:val="none" w:sz="0" w:space="0" w:color="auto"/>
        <w:left w:val="none" w:sz="0" w:space="0" w:color="auto"/>
        <w:bottom w:val="none" w:sz="0" w:space="0" w:color="auto"/>
        <w:right w:val="none" w:sz="0" w:space="0" w:color="auto"/>
      </w:divBdr>
    </w:div>
    <w:div w:id="1113130236">
      <w:bodyDiv w:val="1"/>
      <w:marLeft w:val="0"/>
      <w:marRight w:val="0"/>
      <w:marTop w:val="0"/>
      <w:marBottom w:val="0"/>
      <w:divBdr>
        <w:top w:val="none" w:sz="0" w:space="0" w:color="auto"/>
        <w:left w:val="none" w:sz="0" w:space="0" w:color="auto"/>
        <w:bottom w:val="none" w:sz="0" w:space="0" w:color="auto"/>
        <w:right w:val="none" w:sz="0" w:space="0" w:color="auto"/>
      </w:divBdr>
    </w:div>
    <w:div w:id="1288658529">
      <w:bodyDiv w:val="1"/>
      <w:marLeft w:val="0"/>
      <w:marRight w:val="0"/>
      <w:marTop w:val="0"/>
      <w:marBottom w:val="0"/>
      <w:divBdr>
        <w:top w:val="none" w:sz="0" w:space="0" w:color="auto"/>
        <w:left w:val="none" w:sz="0" w:space="0" w:color="auto"/>
        <w:bottom w:val="none" w:sz="0" w:space="0" w:color="auto"/>
        <w:right w:val="none" w:sz="0" w:space="0" w:color="auto"/>
      </w:divBdr>
    </w:div>
    <w:div w:id="1340351722">
      <w:bodyDiv w:val="1"/>
      <w:marLeft w:val="0"/>
      <w:marRight w:val="0"/>
      <w:marTop w:val="0"/>
      <w:marBottom w:val="0"/>
      <w:divBdr>
        <w:top w:val="none" w:sz="0" w:space="0" w:color="auto"/>
        <w:left w:val="none" w:sz="0" w:space="0" w:color="auto"/>
        <w:bottom w:val="none" w:sz="0" w:space="0" w:color="auto"/>
        <w:right w:val="none" w:sz="0" w:space="0" w:color="auto"/>
      </w:divBdr>
      <w:divsChild>
        <w:div w:id="1896046625">
          <w:marLeft w:val="547"/>
          <w:marRight w:val="0"/>
          <w:marTop w:val="0"/>
          <w:marBottom w:val="0"/>
          <w:divBdr>
            <w:top w:val="none" w:sz="0" w:space="0" w:color="auto"/>
            <w:left w:val="none" w:sz="0" w:space="0" w:color="auto"/>
            <w:bottom w:val="none" w:sz="0" w:space="0" w:color="auto"/>
            <w:right w:val="none" w:sz="0" w:space="0" w:color="auto"/>
          </w:divBdr>
        </w:div>
        <w:div w:id="1678339403">
          <w:marLeft w:val="547"/>
          <w:marRight w:val="0"/>
          <w:marTop w:val="0"/>
          <w:marBottom w:val="0"/>
          <w:divBdr>
            <w:top w:val="none" w:sz="0" w:space="0" w:color="auto"/>
            <w:left w:val="none" w:sz="0" w:space="0" w:color="auto"/>
            <w:bottom w:val="none" w:sz="0" w:space="0" w:color="auto"/>
            <w:right w:val="none" w:sz="0" w:space="0" w:color="auto"/>
          </w:divBdr>
        </w:div>
        <w:div w:id="664211112">
          <w:marLeft w:val="547"/>
          <w:marRight w:val="0"/>
          <w:marTop w:val="0"/>
          <w:marBottom w:val="0"/>
          <w:divBdr>
            <w:top w:val="none" w:sz="0" w:space="0" w:color="auto"/>
            <w:left w:val="none" w:sz="0" w:space="0" w:color="auto"/>
            <w:bottom w:val="none" w:sz="0" w:space="0" w:color="auto"/>
            <w:right w:val="none" w:sz="0" w:space="0" w:color="auto"/>
          </w:divBdr>
        </w:div>
      </w:divsChild>
    </w:div>
    <w:div w:id="1369140150">
      <w:bodyDiv w:val="1"/>
      <w:marLeft w:val="0"/>
      <w:marRight w:val="0"/>
      <w:marTop w:val="0"/>
      <w:marBottom w:val="0"/>
      <w:divBdr>
        <w:top w:val="none" w:sz="0" w:space="0" w:color="auto"/>
        <w:left w:val="none" w:sz="0" w:space="0" w:color="auto"/>
        <w:bottom w:val="none" w:sz="0" w:space="0" w:color="auto"/>
        <w:right w:val="none" w:sz="0" w:space="0" w:color="auto"/>
      </w:divBdr>
    </w:div>
    <w:div w:id="1458642918">
      <w:bodyDiv w:val="1"/>
      <w:marLeft w:val="0"/>
      <w:marRight w:val="0"/>
      <w:marTop w:val="0"/>
      <w:marBottom w:val="0"/>
      <w:divBdr>
        <w:top w:val="none" w:sz="0" w:space="0" w:color="auto"/>
        <w:left w:val="none" w:sz="0" w:space="0" w:color="auto"/>
        <w:bottom w:val="none" w:sz="0" w:space="0" w:color="auto"/>
        <w:right w:val="none" w:sz="0" w:space="0" w:color="auto"/>
      </w:divBdr>
    </w:div>
    <w:div w:id="1493447928">
      <w:bodyDiv w:val="1"/>
      <w:marLeft w:val="0"/>
      <w:marRight w:val="0"/>
      <w:marTop w:val="0"/>
      <w:marBottom w:val="0"/>
      <w:divBdr>
        <w:top w:val="none" w:sz="0" w:space="0" w:color="auto"/>
        <w:left w:val="none" w:sz="0" w:space="0" w:color="auto"/>
        <w:bottom w:val="none" w:sz="0" w:space="0" w:color="auto"/>
        <w:right w:val="none" w:sz="0" w:space="0" w:color="auto"/>
      </w:divBdr>
    </w:div>
    <w:div w:id="1515454618">
      <w:bodyDiv w:val="1"/>
      <w:marLeft w:val="0"/>
      <w:marRight w:val="0"/>
      <w:marTop w:val="0"/>
      <w:marBottom w:val="0"/>
      <w:divBdr>
        <w:top w:val="none" w:sz="0" w:space="0" w:color="auto"/>
        <w:left w:val="none" w:sz="0" w:space="0" w:color="auto"/>
        <w:bottom w:val="none" w:sz="0" w:space="0" w:color="auto"/>
        <w:right w:val="none" w:sz="0" w:space="0" w:color="auto"/>
      </w:divBdr>
    </w:div>
    <w:div w:id="1595016741">
      <w:bodyDiv w:val="1"/>
      <w:marLeft w:val="0"/>
      <w:marRight w:val="0"/>
      <w:marTop w:val="0"/>
      <w:marBottom w:val="0"/>
      <w:divBdr>
        <w:top w:val="none" w:sz="0" w:space="0" w:color="auto"/>
        <w:left w:val="none" w:sz="0" w:space="0" w:color="auto"/>
        <w:bottom w:val="none" w:sz="0" w:space="0" w:color="auto"/>
        <w:right w:val="none" w:sz="0" w:space="0" w:color="auto"/>
      </w:divBdr>
    </w:div>
    <w:div w:id="1686007543">
      <w:bodyDiv w:val="1"/>
      <w:marLeft w:val="0"/>
      <w:marRight w:val="0"/>
      <w:marTop w:val="0"/>
      <w:marBottom w:val="0"/>
      <w:divBdr>
        <w:top w:val="none" w:sz="0" w:space="0" w:color="auto"/>
        <w:left w:val="none" w:sz="0" w:space="0" w:color="auto"/>
        <w:bottom w:val="none" w:sz="0" w:space="0" w:color="auto"/>
        <w:right w:val="none" w:sz="0" w:space="0" w:color="auto"/>
      </w:divBdr>
    </w:div>
    <w:div w:id="1737701405">
      <w:bodyDiv w:val="1"/>
      <w:marLeft w:val="0"/>
      <w:marRight w:val="0"/>
      <w:marTop w:val="0"/>
      <w:marBottom w:val="0"/>
      <w:divBdr>
        <w:top w:val="none" w:sz="0" w:space="0" w:color="auto"/>
        <w:left w:val="none" w:sz="0" w:space="0" w:color="auto"/>
        <w:bottom w:val="none" w:sz="0" w:space="0" w:color="auto"/>
        <w:right w:val="none" w:sz="0" w:space="0" w:color="auto"/>
      </w:divBdr>
    </w:div>
    <w:div w:id="1752849173">
      <w:bodyDiv w:val="1"/>
      <w:marLeft w:val="0"/>
      <w:marRight w:val="0"/>
      <w:marTop w:val="0"/>
      <w:marBottom w:val="0"/>
      <w:divBdr>
        <w:top w:val="none" w:sz="0" w:space="0" w:color="auto"/>
        <w:left w:val="none" w:sz="0" w:space="0" w:color="auto"/>
        <w:bottom w:val="none" w:sz="0" w:space="0" w:color="auto"/>
        <w:right w:val="none" w:sz="0" w:space="0" w:color="auto"/>
      </w:divBdr>
    </w:div>
    <w:div w:id="1762488318">
      <w:bodyDiv w:val="1"/>
      <w:marLeft w:val="0"/>
      <w:marRight w:val="0"/>
      <w:marTop w:val="0"/>
      <w:marBottom w:val="0"/>
      <w:divBdr>
        <w:top w:val="none" w:sz="0" w:space="0" w:color="auto"/>
        <w:left w:val="none" w:sz="0" w:space="0" w:color="auto"/>
        <w:bottom w:val="none" w:sz="0" w:space="0" w:color="auto"/>
        <w:right w:val="none" w:sz="0" w:space="0" w:color="auto"/>
      </w:divBdr>
    </w:div>
    <w:div w:id="1770002726">
      <w:bodyDiv w:val="1"/>
      <w:marLeft w:val="0"/>
      <w:marRight w:val="0"/>
      <w:marTop w:val="0"/>
      <w:marBottom w:val="0"/>
      <w:divBdr>
        <w:top w:val="none" w:sz="0" w:space="0" w:color="auto"/>
        <w:left w:val="none" w:sz="0" w:space="0" w:color="auto"/>
        <w:bottom w:val="none" w:sz="0" w:space="0" w:color="auto"/>
        <w:right w:val="none" w:sz="0" w:space="0" w:color="auto"/>
      </w:divBdr>
    </w:div>
    <w:div w:id="1782800153">
      <w:bodyDiv w:val="1"/>
      <w:marLeft w:val="0"/>
      <w:marRight w:val="0"/>
      <w:marTop w:val="0"/>
      <w:marBottom w:val="0"/>
      <w:divBdr>
        <w:top w:val="none" w:sz="0" w:space="0" w:color="auto"/>
        <w:left w:val="none" w:sz="0" w:space="0" w:color="auto"/>
        <w:bottom w:val="none" w:sz="0" w:space="0" w:color="auto"/>
        <w:right w:val="none" w:sz="0" w:space="0" w:color="auto"/>
      </w:divBdr>
    </w:div>
    <w:div w:id="1811094740">
      <w:bodyDiv w:val="1"/>
      <w:marLeft w:val="0"/>
      <w:marRight w:val="0"/>
      <w:marTop w:val="0"/>
      <w:marBottom w:val="0"/>
      <w:divBdr>
        <w:top w:val="none" w:sz="0" w:space="0" w:color="auto"/>
        <w:left w:val="none" w:sz="0" w:space="0" w:color="auto"/>
        <w:bottom w:val="none" w:sz="0" w:space="0" w:color="auto"/>
        <w:right w:val="none" w:sz="0" w:space="0" w:color="auto"/>
      </w:divBdr>
      <w:divsChild>
        <w:div w:id="1904558071">
          <w:marLeft w:val="1800"/>
          <w:marRight w:val="0"/>
          <w:marTop w:val="100"/>
          <w:marBottom w:val="0"/>
          <w:divBdr>
            <w:top w:val="none" w:sz="0" w:space="0" w:color="auto"/>
            <w:left w:val="none" w:sz="0" w:space="0" w:color="auto"/>
            <w:bottom w:val="none" w:sz="0" w:space="0" w:color="auto"/>
            <w:right w:val="none" w:sz="0" w:space="0" w:color="auto"/>
          </w:divBdr>
        </w:div>
        <w:div w:id="1584872054">
          <w:marLeft w:val="1800"/>
          <w:marRight w:val="0"/>
          <w:marTop w:val="100"/>
          <w:marBottom w:val="0"/>
          <w:divBdr>
            <w:top w:val="none" w:sz="0" w:space="0" w:color="auto"/>
            <w:left w:val="none" w:sz="0" w:space="0" w:color="auto"/>
            <w:bottom w:val="none" w:sz="0" w:space="0" w:color="auto"/>
            <w:right w:val="none" w:sz="0" w:space="0" w:color="auto"/>
          </w:divBdr>
        </w:div>
      </w:divsChild>
    </w:div>
    <w:div w:id="1925720889">
      <w:bodyDiv w:val="1"/>
      <w:marLeft w:val="0"/>
      <w:marRight w:val="0"/>
      <w:marTop w:val="0"/>
      <w:marBottom w:val="0"/>
      <w:divBdr>
        <w:top w:val="none" w:sz="0" w:space="0" w:color="auto"/>
        <w:left w:val="none" w:sz="0" w:space="0" w:color="auto"/>
        <w:bottom w:val="none" w:sz="0" w:space="0" w:color="auto"/>
        <w:right w:val="none" w:sz="0" w:space="0" w:color="auto"/>
      </w:divBdr>
    </w:div>
    <w:div w:id="1987320704">
      <w:bodyDiv w:val="1"/>
      <w:marLeft w:val="0"/>
      <w:marRight w:val="0"/>
      <w:marTop w:val="0"/>
      <w:marBottom w:val="0"/>
      <w:divBdr>
        <w:top w:val="none" w:sz="0" w:space="0" w:color="auto"/>
        <w:left w:val="none" w:sz="0" w:space="0" w:color="auto"/>
        <w:bottom w:val="none" w:sz="0" w:space="0" w:color="auto"/>
        <w:right w:val="none" w:sz="0" w:space="0" w:color="auto"/>
      </w:divBdr>
      <w:divsChild>
        <w:div w:id="1875189742">
          <w:marLeft w:val="547"/>
          <w:marRight w:val="0"/>
          <w:marTop w:val="200"/>
          <w:marBottom w:val="0"/>
          <w:divBdr>
            <w:top w:val="none" w:sz="0" w:space="0" w:color="auto"/>
            <w:left w:val="none" w:sz="0" w:space="0" w:color="auto"/>
            <w:bottom w:val="none" w:sz="0" w:space="0" w:color="auto"/>
            <w:right w:val="none" w:sz="0" w:space="0" w:color="auto"/>
          </w:divBdr>
        </w:div>
        <w:div w:id="348456914">
          <w:marLeft w:val="547"/>
          <w:marRight w:val="0"/>
          <w:marTop w:val="200"/>
          <w:marBottom w:val="0"/>
          <w:divBdr>
            <w:top w:val="none" w:sz="0" w:space="0" w:color="auto"/>
            <w:left w:val="none" w:sz="0" w:space="0" w:color="auto"/>
            <w:bottom w:val="none" w:sz="0" w:space="0" w:color="auto"/>
            <w:right w:val="none" w:sz="0" w:space="0" w:color="auto"/>
          </w:divBdr>
        </w:div>
        <w:div w:id="239215565">
          <w:marLeft w:val="547"/>
          <w:marRight w:val="0"/>
          <w:marTop w:val="200"/>
          <w:marBottom w:val="0"/>
          <w:divBdr>
            <w:top w:val="none" w:sz="0" w:space="0" w:color="auto"/>
            <w:left w:val="none" w:sz="0" w:space="0" w:color="auto"/>
            <w:bottom w:val="none" w:sz="0" w:space="0" w:color="auto"/>
            <w:right w:val="none" w:sz="0" w:space="0" w:color="auto"/>
          </w:divBdr>
        </w:div>
      </w:divsChild>
    </w:div>
    <w:div w:id="1991327522">
      <w:bodyDiv w:val="1"/>
      <w:marLeft w:val="0"/>
      <w:marRight w:val="0"/>
      <w:marTop w:val="0"/>
      <w:marBottom w:val="0"/>
      <w:divBdr>
        <w:top w:val="none" w:sz="0" w:space="0" w:color="auto"/>
        <w:left w:val="none" w:sz="0" w:space="0" w:color="auto"/>
        <w:bottom w:val="none" w:sz="0" w:space="0" w:color="auto"/>
        <w:right w:val="none" w:sz="0" w:space="0" w:color="auto"/>
      </w:divBdr>
      <w:divsChild>
        <w:div w:id="85812242">
          <w:marLeft w:val="1800"/>
          <w:marRight w:val="0"/>
          <w:marTop w:val="100"/>
          <w:marBottom w:val="0"/>
          <w:divBdr>
            <w:top w:val="none" w:sz="0" w:space="0" w:color="auto"/>
            <w:left w:val="none" w:sz="0" w:space="0" w:color="auto"/>
            <w:bottom w:val="none" w:sz="0" w:space="0" w:color="auto"/>
            <w:right w:val="none" w:sz="0" w:space="0" w:color="auto"/>
          </w:divBdr>
        </w:div>
        <w:div w:id="606739494">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Props1.xml><?xml version="1.0" encoding="utf-8"?>
<ds:datastoreItem xmlns:ds="http://schemas.openxmlformats.org/officeDocument/2006/customXml" ds:itemID="{ADC0F677-12A6-4DDA-8322-71FFC4F1F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79004-AD58-4089-9CFA-5028EDF46D1C}">
  <ds:schemaRefs>
    <ds:schemaRef ds:uri="http://schemas.microsoft.com/sharepoint/v3/contenttype/forms"/>
  </ds:schemaRefs>
</ds:datastoreItem>
</file>

<file path=customXml/itemProps3.xml><?xml version="1.0" encoding="utf-8"?>
<ds:datastoreItem xmlns:ds="http://schemas.openxmlformats.org/officeDocument/2006/customXml" ds:itemID="{5941407F-C3D5-4BC7-82A9-773BE1C0F072}">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1830</Words>
  <Characters>10435</Characters>
  <Application>Microsoft Office Word</Application>
  <DocSecurity>0</DocSecurity>
  <Lines>86</Lines>
  <Paragraphs>24</Paragraphs>
  <ScaleCrop>false</ScaleCrop>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Morley</dc:creator>
  <cp:keywords/>
  <dc:description/>
  <cp:lastModifiedBy>Abigail Flack</cp:lastModifiedBy>
  <cp:revision>57</cp:revision>
  <dcterms:created xsi:type="dcterms:W3CDTF">2023-01-25T16:40:00Z</dcterms:created>
  <dcterms:modified xsi:type="dcterms:W3CDTF">2024-11-03T20:07:00Z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Order">
    <vt:r8>22533000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ies>
</file>