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0E43" w14:textId="27D2DA1D" w:rsidR="005E772F" w:rsidRPr="005E772F" w:rsidRDefault="005E772F" w:rsidP="005E772F">
      <w:pPr>
        <w:rPr>
          <w:rFonts w:ascii="Arial" w:hAnsi="Arial" w:cs="Arial"/>
        </w:rPr>
      </w:pPr>
      <w:r w:rsidRPr="005E772F">
        <w:rPr>
          <w:rFonts w:ascii="Arial" w:hAnsi="Arial" w:cs="Arial"/>
          <w:b/>
          <w:bCs/>
        </w:rPr>
        <w:t>Introduction to continuing obligations</w:t>
      </w:r>
    </w:p>
    <w:p w14:paraId="7AF00869" w14:textId="77777777" w:rsidR="005E772F" w:rsidRPr="005E772F" w:rsidRDefault="005E772F" w:rsidP="005E772F">
      <w:pPr>
        <w:rPr>
          <w:rFonts w:ascii="Arial" w:hAnsi="Arial" w:cs="Arial"/>
        </w:rPr>
      </w:pPr>
      <w:r w:rsidRPr="005E772F">
        <w:rPr>
          <w:rFonts w:ascii="Arial" w:hAnsi="Arial" w:cs="Arial"/>
        </w:rPr>
        <w:t xml:space="preserve">This </w:t>
      </w:r>
      <w:proofErr w:type="gramStart"/>
      <w:r w:rsidRPr="005E772F">
        <w:rPr>
          <w:rFonts w:ascii="Arial" w:hAnsi="Arial" w:cs="Arial"/>
        </w:rPr>
        <w:t>provides an introduction to</w:t>
      </w:r>
      <w:proofErr w:type="gramEnd"/>
      <w:r w:rsidRPr="005E772F">
        <w:rPr>
          <w:rFonts w:ascii="Arial" w:hAnsi="Arial" w:cs="Arial"/>
        </w:rPr>
        <w:t xml:space="preserve"> the obligations that a company must comply with once its shares are listed.</w:t>
      </w:r>
    </w:p>
    <w:p w14:paraId="657FAFE2" w14:textId="77777777" w:rsidR="005E772F" w:rsidRPr="005E772F" w:rsidRDefault="005E772F" w:rsidP="005E772F">
      <w:pPr>
        <w:rPr>
          <w:rFonts w:ascii="Arial" w:hAnsi="Arial" w:cs="Arial"/>
        </w:rPr>
      </w:pPr>
      <w:r w:rsidRPr="005E772F">
        <w:rPr>
          <w:rFonts w:ascii="Arial" w:hAnsi="Arial" w:cs="Arial"/>
          <w:b/>
          <w:bCs/>
        </w:rPr>
        <w:t>Introduction</w:t>
      </w:r>
    </w:p>
    <w:p w14:paraId="6E8B6829" w14:textId="77777777" w:rsidR="005E772F" w:rsidRPr="005E772F" w:rsidRDefault="005E772F" w:rsidP="005E772F">
      <w:pPr>
        <w:rPr>
          <w:rFonts w:ascii="Arial" w:hAnsi="Arial" w:cs="Arial"/>
        </w:rPr>
      </w:pPr>
      <w:r w:rsidRPr="005E772F">
        <w:rPr>
          <w:rFonts w:ascii="Arial" w:hAnsi="Arial" w:cs="Arial"/>
        </w:rPr>
        <w:t>Listed company shares can be traded on the stock market. This provides greater access to sources of finance. It also, however, results in additional rules and regulations. These do not only apply on listing; many of the rules continue to apply on an ongoing basis and at all times. They are therefore referred to as “continuing obligations”.</w:t>
      </w:r>
    </w:p>
    <w:p w14:paraId="7527DEC8" w14:textId="56F53198" w:rsidR="005E772F" w:rsidRPr="005E772F" w:rsidRDefault="005E772F" w:rsidP="005E772F">
      <w:pPr>
        <w:rPr>
          <w:rFonts w:ascii="Arial" w:hAnsi="Arial" w:cs="Arial"/>
        </w:rPr>
      </w:pPr>
      <w:r w:rsidRPr="005E772F">
        <w:rPr>
          <w:rFonts w:ascii="Arial" w:hAnsi="Arial" w:cs="Arial"/>
        </w:rPr>
        <w:t>Ongoing obligations are an important consideration for any company contemplating a listing; complying with the continuing obligations involves time and expense and opens the company up to wider public scrutiny.</w:t>
      </w:r>
    </w:p>
    <w:p w14:paraId="159AA275" w14:textId="77777777" w:rsidR="005E772F" w:rsidRPr="005E772F" w:rsidRDefault="005E772F" w:rsidP="005E772F">
      <w:pPr>
        <w:rPr>
          <w:rFonts w:ascii="Arial" w:hAnsi="Arial" w:cs="Arial"/>
        </w:rPr>
      </w:pPr>
      <w:r w:rsidRPr="005E772F">
        <w:rPr>
          <w:rFonts w:ascii="Arial" w:hAnsi="Arial" w:cs="Arial"/>
        </w:rPr>
        <w:t>When advising a listed company on its continuing obligations, you will need to consider the impact of all sources of law, regulations and any guidelines to be able to give proper advice.</w:t>
      </w:r>
    </w:p>
    <w:p w14:paraId="68572975" w14:textId="77777777" w:rsidR="005E772F" w:rsidRPr="005E772F" w:rsidRDefault="005E772F" w:rsidP="005E772F">
      <w:pPr>
        <w:rPr>
          <w:rFonts w:ascii="Arial" w:hAnsi="Arial" w:cs="Arial"/>
        </w:rPr>
      </w:pPr>
      <w:r w:rsidRPr="005E772F">
        <w:rPr>
          <w:rFonts w:ascii="Arial" w:hAnsi="Arial" w:cs="Arial"/>
        </w:rPr>
        <w:t>Continuing obligations are broad and include a company having to: (1) make certain disclosures to the market; (2) ensure that they communicate with shareholders with regards to certain issues and in certain ways; and (3) obtain shareholder approval for certain actions and transactions.</w:t>
      </w:r>
    </w:p>
    <w:p w14:paraId="72DE6E3A" w14:textId="77777777" w:rsidR="005E772F" w:rsidRPr="005E772F" w:rsidRDefault="005E772F" w:rsidP="005E772F">
      <w:pPr>
        <w:rPr>
          <w:rFonts w:ascii="Arial" w:hAnsi="Arial" w:cs="Arial"/>
        </w:rPr>
      </w:pPr>
      <w:r w:rsidRPr="005E772F">
        <w:rPr>
          <w:rFonts w:ascii="Arial" w:hAnsi="Arial" w:cs="Arial"/>
          <w:b/>
          <w:bCs/>
        </w:rPr>
        <w:t>Overview: Continuing Obligations [</w:t>
      </w:r>
      <w:r w:rsidRPr="005E772F">
        <w:rPr>
          <w:rFonts w:ascii="Arial" w:hAnsi="Arial" w:cs="Arial"/>
          <w:b/>
          <w:bCs/>
          <w:i/>
          <w:iCs/>
        </w:rPr>
        <w:t>information from diagram replicated here</w:t>
      </w:r>
      <w:r w:rsidRPr="005E772F">
        <w:rPr>
          <w:rFonts w:ascii="Arial" w:hAnsi="Arial" w:cs="Arial"/>
          <w:b/>
          <w:bCs/>
        </w:rPr>
        <w:t>]</w:t>
      </w:r>
    </w:p>
    <w:p w14:paraId="5A37A985" w14:textId="77777777" w:rsidR="005E772F" w:rsidRPr="005E772F" w:rsidRDefault="005E772F" w:rsidP="005E772F">
      <w:pPr>
        <w:rPr>
          <w:rFonts w:ascii="Arial" w:hAnsi="Arial" w:cs="Arial"/>
        </w:rPr>
      </w:pPr>
      <w:r w:rsidRPr="005E772F">
        <w:rPr>
          <w:rFonts w:ascii="Arial" w:hAnsi="Arial" w:cs="Arial"/>
        </w:rPr>
        <w:t>Disclosures to be made include:</w:t>
      </w:r>
    </w:p>
    <w:p w14:paraId="246F364C" w14:textId="77777777" w:rsidR="005E772F" w:rsidRPr="005E772F" w:rsidRDefault="005E772F" w:rsidP="005E772F">
      <w:pPr>
        <w:rPr>
          <w:rFonts w:ascii="Arial" w:hAnsi="Arial" w:cs="Arial"/>
        </w:rPr>
      </w:pPr>
      <w:r w:rsidRPr="005E772F">
        <w:rPr>
          <w:rFonts w:ascii="Arial" w:hAnsi="Arial" w:cs="Arial"/>
        </w:rPr>
        <w:t>· General: Inside information Arts. 17 and 18 UK MAR and DTR 2</w:t>
      </w:r>
    </w:p>
    <w:p w14:paraId="64C79D31" w14:textId="589073B6" w:rsidR="00DA0D09" w:rsidRPr="005E772F" w:rsidRDefault="005E772F" w:rsidP="005E772F">
      <w:pPr>
        <w:rPr>
          <w:rFonts w:ascii="Arial" w:hAnsi="Arial" w:cs="Arial"/>
        </w:rPr>
      </w:pPr>
      <w:r w:rsidRPr="005E772F">
        <w:rPr>
          <w:rFonts w:ascii="Arial" w:hAnsi="Arial" w:cs="Arial"/>
        </w:rPr>
        <w:t xml:space="preserve">· Specific: </w:t>
      </w:r>
      <w:r w:rsidR="00201E24">
        <w:rPr>
          <w:rFonts w:ascii="Arial" w:hAnsi="Arial" w:cs="Arial"/>
        </w:rPr>
        <w:t>UK</w:t>
      </w:r>
      <w:r w:rsidRPr="005E772F">
        <w:rPr>
          <w:rFonts w:ascii="Arial" w:hAnsi="Arial" w:cs="Arial"/>
        </w:rPr>
        <w:t xml:space="preserve">LR </w:t>
      </w:r>
      <w:r w:rsidR="00435962">
        <w:rPr>
          <w:rFonts w:ascii="Arial" w:hAnsi="Arial" w:cs="Arial"/>
        </w:rPr>
        <w:t>6</w:t>
      </w:r>
      <w:r w:rsidRPr="005E772F">
        <w:rPr>
          <w:rFonts w:ascii="Arial" w:hAnsi="Arial" w:cs="Arial"/>
        </w:rPr>
        <w:t>, Art. 19 UK MAR, and DTRs 3, 4, 5, 6 and 7</w:t>
      </w:r>
    </w:p>
    <w:p w14:paraId="0BDBFFF2" w14:textId="77777777" w:rsidR="005E772F" w:rsidRPr="005E772F" w:rsidRDefault="005E772F" w:rsidP="005E772F">
      <w:pPr>
        <w:rPr>
          <w:rFonts w:ascii="Arial" w:hAnsi="Arial" w:cs="Arial"/>
        </w:rPr>
      </w:pPr>
      <w:r w:rsidRPr="005E772F">
        <w:rPr>
          <w:rFonts w:ascii="Arial" w:hAnsi="Arial" w:cs="Arial"/>
        </w:rPr>
        <w:t>Communications with shareholders:</w:t>
      </w:r>
    </w:p>
    <w:p w14:paraId="11F6961F" w14:textId="77777777" w:rsidR="005E772F" w:rsidRPr="005E772F" w:rsidRDefault="005E772F" w:rsidP="005E772F">
      <w:pPr>
        <w:rPr>
          <w:rFonts w:ascii="Arial" w:hAnsi="Arial" w:cs="Arial"/>
        </w:rPr>
      </w:pPr>
      <w:r w:rsidRPr="005E772F">
        <w:rPr>
          <w:rFonts w:ascii="Arial" w:hAnsi="Arial" w:cs="Arial"/>
        </w:rPr>
        <w:t>· AGMs</w:t>
      </w:r>
    </w:p>
    <w:p w14:paraId="3BE9E75F" w14:textId="709F2041" w:rsidR="005E772F" w:rsidRPr="005E772F" w:rsidRDefault="005E772F" w:rsidP="005E772F">
      <w:pPr>
        <w:rPr>
          <w:rFonts w:ascii="Arial" w:hAnsi="Arial" w:cs="Arial"/>
        </w:rPr>
      </w:pPr>
      <w:r w:rsidRPr="005E772F">
        <w:rPr>
          <w:rFonts w:ascii="Arial" w:hAnsi="Arial" w:cs="Arial"/>
        </w:rPr>
        <w:t>· Circulars (</w:t>
      </w:r>
      <w:r w:rsidR="002A0A66">
        <w:rPr>
          <w:rFonts w:ascii="Arial" w:hAnsi="Arial" w:cs="Arial"/>
        </w:rPr>
        <w:t>UK</w:t>
      </w:r>
      <w:r w:rsidRPr="005E772F">
        <w:rPr>
          <w:rFonts w:ascii="Arial" w:hAnsi="Arial" w:cs="Arial"/>
        </w:rPr>
        <w:t>LR 1</w:t>
      </w:r>
      <w:r w:rsidR="002A0A66">
        <w:rPr>
          <w:rFonts w:ascii="Arial" w:hAnsi="Arial" w:cs="Arial"/>
        </w:rPr>
        <w:t>0</w:t>
      </w:r>
      <w:r w:rsidRPr="005E772F">
        <w:rPr>
          <w:rFonts w:ascii="Arial" w:hAnsi="Arial" w:cs="Arial"/>
        </w:rPr>
        <w:t>)</w:t>
      </w:r>
    </w:p>
    <w:p w14:paraId="175E05A0" w14:textId="77777777" w:rsidR="005E772F" w:rsidRPr="005E772F" w:rsidRDefault="005E772F" w:rsidP="005E772F">
      <w:pPr>
        <w:rPr>
          <w:rFonts w:ascii="Arial" w:hAnsi="Arial" w:cs="Arial"/>
        </w:rPr>
      </w:pPr>
      <w:r w:rsidRPr="005E772F">
        <w:rPr>
          <w:rFonts w:ascii="Arial" w:hAnsi="Arial" w:cs="Arial"/>
        </w:rPr>
        <w:t>Shareholder approval</w:t>
      </w:r>
    </w:p>
    <w:p w14:paraId="4D3D6DEA" w14:textId="3992639F" w:rsidR="005E772F" w:rsidRPr="005E772F" w:rsidRDefault="005E772F" w:rsidP="005E772F">
      <w:pPr>
        <w:rPr>
          <w:rFonts w:ascii="Arial" w:hAnsi="Arial" w:cs="Arial"/>
        </w:rPr>
      </w:pPr>
      <w:r w:rsidRPr="005E772F">
        <w:rPr>
          <w:rFonts w:ascii="Arial" w:hAnsi="Arial" w:cs="Arial"/>
        </w:rPr>
        <w:t>· Buybacks (</w:t>
      </w:r>
      <w:r w:rsidR="002A0A66">
        <w:rPr>
          <w:rFonts w:ascii="Arial" w:hAnsi="Arial" w:cs="Arial"/>
        </w:rPr>
        <w:t>UK</w:t>
      </w:r>
      <w:r w:rsidRPr="005E772F">
        <w:rPr>
          <w:rFonts w:ascii="Arial" w:hAnsi="Arial" w:cs="Arial"/>
        </w:rPr>
        <w:t xml:space="preserve">LR </w:t>
      </w:r>
      <w:r w:rsidR="002A0A66">
        <w:rPr>
          <w:rFonts w:ascii="Arial" w:hAnsi="Arial" w:cs="Arial"/>
        </w:rPr>
        <w:t>9.2</w:t>
      </w:r>
      <w:r w:rsidRPr="005E772F">
        <w:rPr>
          <w:rFonts w:ascii="Arial" w:hAnsi="Arial" w:cs="Arial"/>
        </w:rPr>
        <w:t>)</w:t>
      </w:r>
    </w:p>
    <w:p w14:paraId="48AE9335" w14:textId="77777777" w:rsidR="005E772F" w:rsidRDefault="005E772F" w:rsidP="005E772F">
      <w:pPr>
        <w:rPr>
          <w:rFonts w:ascii="Arial" w:hAnsi="Arial" w:cs="Arial"/>
        </w:rPr>
      </w:pPr>
      <w:r w:rsidRPr="005E772F">
        <w:rPr>
          <w:rFonts w:ascii="Arial" w:hAnsi="Arial" w:cs="Arial"/>
        </w:rPr>
        <w:t>· Share issues</w:t>
      </w:r>
    </w:p>
    <w:p w14:paraId="6BD7D255" w14:textId="77777777" w:rsidR="00DA0D09" w:rsidRPr="00DA0D09" w:rsidRDefault="00DC515B" w:rsidP="005E772F">
      <w:pPr>
        <w:rPr>
          <w:rFonts w:ascii="Arial" w:hAnsi="Arial" w:cs="Arial"/>
          <w:sz w:val="20"/>
          <w:szCs w:val="20"/>
        </w:rPr>
      </w:pPr>
      <w:r w:rsidRPr="00DA0D09">
        <w:rPr>
          <w:rFonts w:ascii="Arial" w:hAnsi="Arial" w:cs="Arial"/>
          <w:sz w:val="20"/>
          <w:szCs w:val="20"/>
        </w:rPr>
        <w:t>Note: this knowledge stream does not cover</w:t>
      </w:r>
      <w:r w:rsidR="00EE5A8D" w:rsidRPr="00DA0D09">
        <w:rPr>
          <w:rFonts w:ascii="Arial" w:hAnsi="Arial" w:cs="Arial"/>
          <w:sz w:val="20"/>
          <w:szCs w:val="20"/>
        </w:rPr>
        <w:t xml:space="preserve"> (1)</w:t>
      </w:r>
      <w:r w:rsidRPr="00DA0D09">
        <w:rPr>
          <w:rFonts w:ascii="Arial" w:hAnsi="Arial" w:cs="Arial"/>
          <w:sz w:val="20"/>
          <w:szCs w:val="20"/>
        </w:rPr>
        <w:t xml:space="preserve"> </w:t>
      </w:r>
      <w:r w:rsidR="00413CB9" w:rsidRPr="00DA0D09">
        <w:rPr>
          <w:rFonts w:ascii="Arial" w:hAnsi="Arial" w:cs="Arial"/>
          <w:sz w:val="20"/>
          <w:szCs w:val="20"/>
        </w:rPr>
        <w:t>s</w:t>
      </w:r>
      <w:r w:rsidR="00C75E67" w:rsidRPr="00DA0D09">
        <w:rPr>
          <w:rFonts w:ascii="Arial" w:hAnsi="Arial" w:cs="Arial"/>
          <w:sz w:val="20"/>
          <w:szCs w:val="20"/>
        </w:rPr>
        <w:t xml:space="preserve">hareholder approval required for </w:t>
      </w:r>
      <w:r w:rsidRPr="00DA0D09">
        <w:rPr>
          <w:rFonts w:ascii="Arial" w:hAnsi="Arial" w:cs="Arial"/>
          <w:sz w:val="20"/>
          <w:szCs w:val="20"/>
        </w:rPr>
        <w:t>Reverse Takeovers (</w:t>
      </w:r>
      <w:r w:rsidR="00E173F2" w:rsidRPr="00DA0D09">
        <w:rPr>
          <w:rFonts w:ascii="Arial" w:hAnsi="Arial" w:cs="Arial"/>
          <w:sz w:val="20"/>
          <w:szCs w:val="20"/>
        </w:rPr>
        <w:t xml:space="preserve">UKLR </w:t>
      </w:r>
      <w:r w:rsidR="00C1543B" w:rsidRPr="00DA0D09">
        <w:rPr>
          <w:rFonts w:ascii="Arial" w:hAnsi="Arial" w:cs="Arial"/>
          <w:sz w:val="20"/>
          <w:szCs w:val="20"/>
        </w:rPr>
        <w:t>7.5</w:t>
      </w:r>
      <w:r w:rsidR="00C75E67" w:rsidRPr="00DA0D09">
        <w:rPr>
          <w:rFonts w:ascii="Arial" w:hAnsi="Arial" w:cs="Arial"/>
          <w:sz w:val="20"/>
          <w:szCs w:val="20"/>
        </w:rPr>
        <w:t>)</w:t>
      </w:r>
      <w:r w:rsidR="00413CB9" w:rsidRPr="00DA0D09">
        <w:rPr>
          <w:rFonts w:ascii="Arial" w:hAnsi="Arial" w:cs="Arial"/>
          <w:sz w:val="20"/>
          <w:szCs w:val="20"/>
        </w:rPr>
        <w:t xml:space="preserve"> or</w:t>
      </w:r>
      <w:r w:rsidR="00EE5A8D" w:rsidRPr="00DA0D09">
        <w:rPr>
          <w:rFonts w:ascii="Arial" w:hAnsi="Arial" w:cs="Arial"/>
          <w:sz w:val="20"/>
          <w:szCs w:val="20"/>
        </w:rPr>
        <w:t xml:space="preserve"> (2)</w:t>
      </w:r>
      <w:r w:rsidR="00413CB9" w:rsidRPr="00DA0D09">
        <w:rPr>
          <w:rFonts w:ascii="Arial" w:hAnsi="Arial" w:cs="Arial"/>
          <w:sz w:val="20"/>
          <w:szCs w:val="20"/>
        </w:rPr>
        <w:t xml:space="preserve"> the required market </w:t>
      </w:r>
      <w:r w:rsidR="00B1487A" w:rsidRPr="00DA0D09">
        <w:rPr>
          <w:rFonts w:ascii="Arial" w:hAnsi="Arial" w:cs="Arial"/>
          <w:sz w:val="20"/>
          <w:szCs w:val="20"/>
        </w:rPr>
        <w:t xml:space="preserve">notifications </w:t>
      </w:r>
      <w:r w:rsidR="00413CB9" w:rsidRPr="00DA0D09">
        <w:rPr>
          <w:rFonts w:ascii="Arial" w:hAnsi="Arial" w:cs="Arial"/>
          <w:sz w:val="20"/>
          <w:szCs w:val="20"/>
        </w:rPr>
        <w:t>for significant transactions and related party transactions (UKLR</w:t>
      </w:r>
      <w:r w:rsidR="00B1487A" w:rsidRPr="00DA0D09">
        <w:rPr>
          <w:rFonts w:ascii="Arial" w:hAnsi="Arial" w:cs="Arial"/>
          <w:sz w:val="20"/>
          <w:szCs w:val="20"/>
        </w:rPr>
        <w:t xml:space="preserve"> 7.3 and UKLR</w:t>
      </w:r>
      <w:r w:rsidR="00413CB9" w:rsidRPr="00DA0D09">
        <w:rPr>
          <w:rFonts w:ascii="Arial" w:hAnsi="Arial" w:cs="Arial"/>
          <w:sz w:val="20"/>
          <w:szCs w:val="20"/>
        </w:rPr>
        <w:t xml:space="preserve"> </w:t>
      </w:r>
      <w:r w:rsidR="009B0429" w:rsidRPr="00DA0D09">
        <w:rPr>
          <w:rFonts w:ascii="Arial" w:hAnsi="Arial" w:cs="Arial"/>
          <w:sz w:val="20"/>
          <w:szCs w:val="20"/>
        </w:rPr>
        <w:t xml:space="preserve">8 </w:t>
      </w:r>
      <w:r w:rsidR="00413CB9" w:rsidRPr="00DA0D09">
        <w:rPr>
          <w:rFonts w:ascii="Arial" w:hAnsi="Arial" w:cs="Arial"/>
          <w:sz w:val="20"/>
          <w:szCs w:val="20"/>
        </w:rPr>
        <w:t>respectively).</w:t>
      </w:r>
    </w:p>
    <w:p w14:paraId="74D32F82" w14:textId="77777777" w:rsidR="00DA0D09" w:rsidRDefault="00DA0D09" w:rsidP="005E772F">
      <w:pPr>
        <w:rPr>
          <w:rFonts w:ascii="Arial" w:hAnsi="Arial" w:cs="Arial"/>
        </w:rPr>
      </w:pPr>
    </w:p>
    <w:p w14:paraId="6C5232FD" w14:textId="51ACFF83" w:rsidR="005E772F" w:rsidRPr="005E772F" w:rsidRDefault="005E772F" w:rsidP="005E772F">
      <w:pPr>
        <w:rPr>
          <w:rFonts w:ascii="Arial" w:hAnsi="Arial" w:cs="Arial"/>
        </w:rPr>
      </w:pPr>
      <w:r w:rsidRPr="005E772F">
        <w:rPr>
          <w:rFonts w:ascii="Arial" w:hAnsi="Arial" w:cs="Arial"/>
          <w:b/>
          <w:bCs/>
        </w:rPr>
        <w:t>Continuing Obligations: Aims and methods</w:t>
      </w:r>
    </w:p>
    <w:p w14:paraId="287B12D7" w14:textId="77777777" w:rsidR="005E772F" w:rsidRPr="005E772F" w:rsidRDefault="005E772F" w:rsidP="005E772F">
      <w:pPr>
        <w:rPr>
          <w:rFonts w:ascii="Arial" w:hAnsi="Arial" w:cs="Arial"/>
        </w:rPr>
      </w:pPr>
      <w:r w:rsidRPr="005E772F">
        <w:rPr>
          <w:rFonts w:ascii="Arial" w:hAnsi="Arial" w:cs="Arial"/>
        </w:rPr>
        <w:t>The aim of the rules relating to continuing obligations is to ensure:</w:t>
      </w:r>
    </w:p>
    <w:p w14:paraId="148E908F" w14:textId="77777777" w:rsidR="005E772F" w:rsidRPr="005E772F" w:rsidRDefault="005E772F" w:rsidP="005E772F">
      <w:pPr>
        <w:rPr>
          <w:rFonts w:ascii="Arial" w:hAnsi="Arial" w:cs="Arial"/>
        </w:rPr>
      </w:pPr>
      <w:r w:rsidRPr="005E772F">
        <w:rPr>
          <w:rFonts w:ascii="Arial" w:hAnsi="Arial" w:cs="Arial"/>
        </w:rPr>
        <w:t>a) timely and accurate disclosure of all relevant information to shareholders;</w:t>
      </w:r>
    </w:p>
    <w:p w14:paraId="3C4C783E" w14:textId="77777777" w:rsidR="005E772F" w:rsidRPr="005E772F" w:rsidRDefault="005E772F" w:rsidP="005E772F">
      <w:pPr>
        <w:rPr>
          <w:rFonts w:ascii="Arial" w:hAnsi="Arial" w:cs="Arial"/>
        </w:rPr>
      </w:pPr>
      <w:r w:rsidRPr="005E772F">
        <w:rPr>
          <w:rFonts w:ascii="Arial" w:hAnsi="Arial" w:cs="Arial"/>
        </w:rPr>
        <w:t>b) equal treatment of all shareholders; and</w:t>
      </w:r>
    </w:p>
    <w:p w14:paraId="5CADC880" w14:textId="77777777" w:rsidR="005E772F" w:rsidRPr="005E772F" w:rsidRDefault="005E772F" w:rsidP="005E772F">
      <w:pPr>
        <w:rPr>
          <w:rFonts w:ascii="Arial" w:hAnsi="Arial" w:cs="Arial"/>
        </w:rPr>
      </w:pPr>
      <w:r w:rsidRPr="005E772F">
        <w:rPr>
          <w:rFonts w:ascii="Arial" w:hAnsi="Arial" w:cs="Arial"/>
        </w:rPr>
        <w:t>b) maintenance of an orderly market in shares.</w:t>
      </w:r>
    </w:p>
    <w:p w14:paraId="492D7C70" w14:textId="77777777" w:rsidR="00DA0D09" w:rsidRDefault="00DA0D09" w:rsidP="005E772F">
      <w:pPr>
        <w:rPr>
          <w:rFonts w:ascii="Arial" w:hAnsi="Arial" w:cs="Arial"/>
        </w:rPr>
      </w:pPr>
    </w:p>
    <w:p w14:paraId="11F1B882" w14:textId="24E3908F" w:rsidR="005E772F" w:rsidRPr="005E772F" w:rsidRDefault="005E772F" w:rsidP="005E772F">
      <w:pPr>
        <w:rPr>
          <w:rFonts w:ascii="Arial" w:hAnsi="Arial" w:cs="Arial"/>
        </w:rPr>
      </w:pPr>
      <w:r w:rsidRPr="005E772F">
        <w:rPr>
          <w:rFonts w:ascii="Arial" w:hAnsi="Arial" w:cs="Arial"/>
        </w:rPr>
        <w:lastRenderedPageBreak/>
        <w:t>The rules achieve these aims by three methods:</w:t>
      </w:r>
    </w:p>
    <w:p w14:paraId="01401D2F" w14:textId="77777777" w:rsidR="005E772F" w:rsidRPr="005E772F" w:rsidRDefault="005E772F" w:rsidP="005E772F">
      <w:pPr>
        <w:rPr>
          <w:rFonts w:ascii="Arial" w:hAnsi="Arial" w:cs="Arial"/>
        </w:rPr>
      </w:pPr>
      <w:r w:rsidRPr="005E772F">
        <w:rPr>
          <w:rFonts w:ascii="Arial" w:hAnsi="Arial" w:cs="Arial"/>
        </w:rPr>
        <w:t>1) requiring the disclosure of certain information to the market and to shareholders (with a record kept of anyone who has access to such information before it is disclosed);</w:t>
      </w:r>
    </w:p>
    <w:p w14:paraId="13AC5245" w14:textId="77777777" w:rsidR="005E772F" w:rsidRPr="005E772F" w:rsidRDefault="005E772F" w:rsidP="005E772F">
      <w:pPr>
        <w:rPr>
          <w:rFonts w:ascii="Arial" w:hAnsi="Arial" w:cs="Arial"/>
        </w:rPr>
      </w:pPr>
      <w:r w:rsidRPr="005E772F">
        <w:rPr>
          <w:rFonts w:ascii="Arial" w:hAnsi="Arial" w:cs="Arial"/>
        </w:rPr>
        <w:t>2) regulating (and in certain instances requiring FCA approval of) the information communicated to shareholders; and</w:t>
      </w:r>
    </w:p>
    <w:p w14:paraId="54DCCB67" w14:textId="77777777" w:rsidR="005E772F" w:rsidRPr="005E772F" w:rsidRDefault="005E772F" w:rsidP="005E772F">
      <w:pPr>
        <w:rPr>
          <w:rFonts w:ascii="Arial" w:hAnsi="Arial" w:cs="Arial"/>
        </w:rPr>
      </w:pPr>
      <w:r w:rsidRPr="005E772F">
        <w:rPr>
          <w:rFonts w:ascii="Arial" w:hAnsi="Arial" w:cs="Arial"/>
        </w:rPr>
        <w:t>3) requiring the approval of certain key transactions by shareholders.</w:t>
      </w:r>
    </w:p>
    <w:p w14:paraId="118C6F02" w14:textId="77777777" w:rsidR="00DA0D09" w:rsidRDefault="00DA0D09" w:rsidP="005E772F">
      <w:pPr>
        <w:rPr>
          <w:rFonts w:ascii="Arial" w:hAnsi="Arial" w:cs="Arial"/>
          <w:b/>
          <w:bCs/>
        </w:rPr>
      </w:pPr>
    </w:p>
    <w:p w14:paraId="35740573" w14:textId="4256A889" w:rsidR="005E772F" w:rsidRPr="005E772F" w:rsidRDefault="005E772F" w:rsidP="005E772F">
      <w:pPr>
        <w:rPr>
          <w:rFonts w:ascii="Arial" w:hAnsi="Arial" w:cs="Arial"/>
        </w:rPr>
      </w:pPr>
      <w:r w:rsidRPr="005E772F">
        <w:rPr>
          <w:rFonts w:ascii="Arial" w:hAnsi="Arial" w:cs="Arial"/>
          <w:b/>
          <w:bCs/>
        </w:rPr>
        <w:t>Continuing Obligations: Legal framework [</w:t>
      </w:r>
      <w:r w:rsidRPr="005E772F">
        <w:rPr>
          <w:rFonts w:ascii="Arial" w:hAnsi="Arial" w:cs="Arial"/>
          <w:b/>
          <w:bCs/>
          <w:i/>
          <w:iCs/>
        </w:rPr>
        <w:t>information from diagram replicated here</w:t>
      </w:r>
      <w:r w:rsidRPr="005E772F">
        <w:rPr>
          <w:rFonts w:ascii="Arial" w:hAnsi="Arial" w:cs="Arial"/>
          <w:b/>
          <w:bCs/>
        </w:rPr>
        <w:t>]</w:t>
      </w:r>
    </w:p>
    <w:p w14:paraId="3F01D276" w14:textId="77777777" w:rsidR="005E772F" w:rsidRPr="005E772F" w:rsidRDefault="005E772F" w:rsidP="005E772F">
      <w:pPr>
        <w:rPr>
          <w:rFonts w:ascii="Arial" w:hAnsi="Arial" w:cs="Arial"/>
        </w:rPr>
      </w:pPr>
      <w:r w:rsidRPr="005E772F">
        <w:rPr>
          <w:rFonts w:ascii="Arial" w:hAnsi="Arial" w:cs="Arial"/>
        </w:rPr>
        <w:t>· FSMA</w:t>
      </w:r>
    </w:p>
    <w:p w14:paraId="43F3CFDC" w14:textId="77777777" w:rsidR="005E772F" w:rsidRPr="005E772F" w:rsidRDefault="005E772F" w:rsidP="005E772F">
      <w:pPr>
        <w:rPr>
          <w:rFonts w:ascii="Arial" w:hAnsi="Arial" w:cs="Arial"/>
        </w:rPr>
      </w:pPr>
      <w:r w:rsidRPr="005E772F">
        <w:rPr>
          <w:rFonts w:ascii="Arial" w:hAnsi="Arial" w:cs="Arial"/>
        </w:rPr>
        <w:t>· FCA Listing Rules</w:t>
      </w:r>
    </w:p>
    <w:p w14:paraId="7B7A0056" w14:textId="77777777" w:rsidR="005E772F" w:rsidRPr="005E772F" w:rsidRDefault="005E772F" w:rsidP="005E772F">
      <w:pPr>
        <w:rPr>
          <w:rFonts w:ascii="Arial" w:hAnsi="Arial" w:cs="Arial"/>
        </w:rPr>
      </w:pPr>
      <w:r w:rsidRPr="005E772F">
        <w:rPr>
          <w:rFonts w:ascii="Arial" w:hAnsi="Arial" w:cs="Arial"/>
        </w:rPr>
        <w:t>· FCA Disclosure and Transparency Rules</w:t>
      </w:r>
    </w:p>
    <w:p w14:paraId="126BE625" w14:textId="77777777" w:rsidR="005E772F" w:rsidRPr="005E772F" w:rsidRDefault="005E772F" w:rsidP="005E772F">
      <w:pPr>
        <w:rPr>
          <w:rFonts w:ascii="Arial" w:hAnsi="Arial" w:cs="Arial"/>
        </w:rPr>
      </w:pPr>
      <w:r w:rsidRPr="005E772F">
        <w:rPr>
          <w:rFonts w:ascii="Arial" w:hAnsi="Arial" w:cs="Arial"/>
        </w:rPr>
        <w:t>· UK Market Abuse Regulation</w:t>
      </w:r>
    </w:p>
    <w:p w14:paraId="5068D981" w14:textId="77777777" w:rsidR="005E772F" w:rsidRPr="005E772F" w:rsidRDefault="005E772F" w:rsidP="005E772F">
      <w:pPr>
        <w:rPr>
          <w:rFonts w:ascii="Arial" w:hAnsi="Arial" w:cs="Arial"/>
        </w:rPr>
      </w:pPr>
      <w:r w:rsidRPr="005E772F">
        <w:rPr>
          <w:rFonts w:ascii="Arial" w:hAnsi="Arial" w:cs="Arial"/>
        </w:rPr>
        <w:t>· LSE Admissions and Disclosure Standards</w:t>
      </w:r>
    </w:p>
    <w:p w14:paraId="616D0F51" w14:textId="77777777" w:rsidR="005E772F" w:rsidRPr="005E772F" w:rsidRDefault="005E772F" w:rsidP="005E772F">
      <w:pPr>
        <w:rPr>
          <w:rFonts w:ascii="Arial" w:hAnsi="Arial" w:cs="Arial"/>
        </w:rPr>
      </w:pPr>
      <w:r w:rsidRPr="005E772F">
        <w:rPr>
          <w:rFonts w:ascii="Arial" w:hAnsi="Arial" w:cs="Arial"/>
        </w:rPr>
        <w:t>· Company Law/CA 2006</w:t>
      </w:r>
    </w:p>
    <w:p w14:paraId="6B01E262" w14:textId="77777777" w:rsidR="00DA0D09" w:rsidRDefault="00DA0D09" w:rsidP="005E772F">
      <w:pPr>
        <w:rPr>
          <w:rFonts w:ascii="Arial" w:hAnsi="Arial" w:cs="Arial"/>
          <w:b/>
          <w:bCs/>
        </w:rPr>
      </w:pPr>
    </w:p>
    <w:p w14:paraId="2FF16E05" w14:textId="710BC142" w:rsidR="005E772F" w:rsidRPr="005E772F" w:rsidRDefault="005E772F" w:rsidP="005E772F">
      <w:pPr>
        <w:rPr>
          <w:rFonts w:ascii="Arial" w:hAnsi="Arial" w:cs="Arial"/>
        </w:rPr>
      </w:pPr>
      <w:r w:rsidRPr="005E772F">
        <w:rPr>
          <w:rFonts w:ascii="Arial" w:hAnsi="Arial" w:cs="Arial"/>
          <w:b/>
          <w:bCs/>
        </w:rPr>
        <w:t>Continuing Obligations: disclosure</w:t>
      </w:r>
    </w:p>
    <w:p w14:paraId="5C167641" w14:textId="77777777" w:rsidR="005E772F" w:rsidRPr="005E772F" w:rsidRDefault="005E772F" w:rsidP="005E772F">
      <w:pPr>
        <w:rPr>
          <w:rFonts w:ascii="Arial" w:hAnsi="Arial" w:cs="Arial"/>
        </w:rPr>
      </w:pPr>
      <w:r w:rsidRPr="005E772F">
        <w:rPr>
          <w:rFonts w:ascii="Arial" w:hAnsi="Arial" w:cs="Arial"/>
        </w:rPr>
        <w:t>You will consider listed companies’ disclosure obligations in detail in later elements.</w:t>
      </w:r>
    </w:p>
    <w:p w14:paraId="223D6C7D" w14:textId="77777777" w:rsidR="00DA0D09" w:rsidRDefault="00DA0D09" w:rsidP="005E772F">
      <w:pPr>
        <w:rPr>
          <w:rFonts w:ascii="Arial" w:hAnsi="Arial" w:cs="Arial"/>
          <w:b/>
          <w:bCs/>
        </w:rPr>
      </w:pPr>
    </w:p>
    <w:p w14:paraId="64C37D8B" w14:textId="538B4E08" w:rsidR="005E772F" w:rsidRPr="005E772F" w:rsidRDefault="005E772F" w:rsidP="005E772F">
      <w:pPr>
        <w:rPr>
          <w:rFonts w:ascii="Arial" w:hAnsi="Arial" w:cs="Arial"/>
        </w:rPr>
      </w:pPr>
      <w:r w:rsidRPr="005E772F">
        <w:rPr>
          <w:rFonts w:ascii="Arial" w:hAnsi="Arial" w:cs="Arial"/>
          <w:b/>
          <w:bCs/>
        </w:rPr>
        <w:t>Continuing Obligations: communications with shareholders</w:t>
      </w:r>
    </w:p>
    <w:p w14:paraId="3AB426D9" w14:textId="77777777" w:rsidR="005E772F" w:rsidRDefault="005E772F" w:rsidP="005E772F">
      <w:pPr>
        <w:rPr>
          <w:rFonts w:ascii="Arial" w:hAnsi="Arial" w:cs="Arial"/>
        </w:rPr>
      </w:pPr>
      <w:r w:rsidRPr="005E772F">
        <w:rPr>
          <w:rFonts w:ascii="Arial" w:hAnsi="Arial" w:cs="Arial"/>
        </w:rPr>
        <w:t>You will consider listed companies’ obligations in relation to communications with shareholders, in particular around the company’s AGM, in the elements which immediately follow this element.</w:t>
      </w:r>
    </w:p>
    <w:p w14:paraId="5F24120D" w14:textId="3737E749" w:rsidR="006313C2" w:rsidRPr="005E772F" w:rsidRDefault="006313C2" w:rsidP="005E772F">
      <w:pPr>
        <w:rPr>
          <w:rFonts w:ascii="Arial" w:hAnsi="Arial" w:cs="Arial"/>
        </w:rPr>
      </w:pPr>
      <w:r w:rsidRPr="006313C2">
        <w:rPr>
          <w:rFonts w:ascii="Arial" w:hAnsi="Arial" w:cs="Arial"/>
        </w:rPr>
        <w:t>Examples of when a listed company may need to seek shareholder approval under the UK Listing Rules are where it enters into certain kinds of share issues and share buybacks (UKLR 9).</w:t>
      </w:r>
    </w:p>
    <w:p w14:paraId="7130DD9F" w14:textId="77777777" w:rsidR="00DA0D09" w:rsidRDefault="00DA0D09" w:rsidP="005E772F">
      <w:pPr>
        <w:rPr>
          <w:rFonts w:ascii="Arial" w:hAnsi="Arial" w:cs="Arial"/>
          <w:b/>
          <w:bCs/>
        </w:rPr>
      </w:pPr>
    </w:p>
    <w:p w14:paraId="2FE78EE0" w14:textId="2977BA3F" w:rsidR="005E772F" w:rsidRPr="005E772F" w:rsidRDefault="005E772F" w:rsidP="005E772F">
      <w:pPr>
        <w:rPr>
          <w:rFonts w:ascii="Arial" w:hAnsi="Arial" w:cs="Arial"/>
        </w:rPr>
      </w:pPr>
      <w:r w:rsidRPr="005E772F">
        <w:rPr>
          <w:rFonts w:ascii="Arial" w:hAnsi="Arial" w:cs="Arial"/>
          <w:b/>
          <w:bCs/>
        </w:rPr>
        <w:t>Buybacks</w:t>
      </w:r>
    </w:p>
    <w:p w14:paraId="6160E74A" w14:textId="4EE66472" w:rsidR="005E772F" w:rsidRDefault="005E772F" w:rsidP="005E772F">
      <w:pPr>
        <w:rPr>
          <w:rFonts w:ascii="Arial" w:hAnsi="Arial" w:cs="Arial"/>
        </w:rPr>
      </w:pPr>
      <w:r w:rsidRPr="005E772F">
        <w:rPr>
          <w:rFonts w:ascii="Arial" w:hAnsi="Arial" w:cs="Arial"/>
        </w:rPr>
        <w:t xml:space="preserve">The </w:t>
      </w:r>
      <w:r w:rsidR="00601462">
        <w:rPr>
          <w:rFonts w:ascii="Arial" w:hAnsi="Arial" w:cs="Arial"/>
        </w:rPr>
        <w:t xml:space="preserve">UK </w:t>
      </w:r>
      <w:r w:rsidRPr="005E772F">
        <w:rPr>
          <w:rFonts w:ascii="Arial" w:hAnsi="Arial" w:cs="Arial"/>
        </w:rPr>
        <w:t>Listing Rules impose procedural controls over buybacks undertaken outside the ordinary course of business in addition to the controls set out in CA 2006.</w:t>
      </w:r>
    </w:p>
    <w:p w14:paraId="0E341FC7" w14:textId="77777777" w:rsidR="00DE6ED3" w:rsidRPr="00DE6ED3" w:rsidRDefault="00DE6ED3" w:rsidP="00DE6ED3">
      <w:pPr>
        <w:rPr>
          <w:rFonts w:ascii="Arial" w:hAnsi="Arial" w:cs="Arial"/>
        </w:rPr>
      </w:pPr>
      <w:r w:rsidRPr="00DE6ED3">
        <w:rPr>
          <w:rFonts w:ascii="Arial" w:hAnsi="Arial" w:cs="Arial"/>
        </w:rPr>
        <w:t xml:space="preserve">UK Listing Rule 9 </w:t>
      </w:r>
      <w:r w:rsidRPr="00DE6ED3">
        <w:rPr>
          <w:rFonts w:ascii="Arial" w:hAnsi="Arial" w:cs="Arial"/>
          <w:lang w:val="en-US"/>
        </w:rPr>
        <w:t>imposes procedural controls over buybacks undertaken outside the ordinary course of business in addition to the controls set out in CA 2006.</w:t>
      </w:r>
    </w:p>
    <w:p w14:paraId="00B3D80F" w14:textId="77777777" w:rsidR="00DE6ED3" w:rsidRDefault="00DE6ED3" w:rsidP="00DE6ED3">
      <w:pPr>
        <w:rPr>
          <w:rFonts w:ascii="Arial" w:hAnsi="Arial" w:cs="Arial"/>
        </w:rPr>
      </w:pPr>
      <w:r w:rsidRPr="00DE6ED3">
        <w:rPr>
          <w:rFonts w:ascii="Arial" w:hAnsi="Arial" w:cs="Arial"/>
        </w:rPr>
        <w:t>You will consider the typical resolutions which listed companies seek at their AGMs in relation to buybacks under CA 2006 and institutional investor guidelines in the element which follows this.</w:t>
      </w:r>
    </w:p>
    <w:p w14:paraId="4C4B4007" w14:textId="77777777" w:rsidR="00DE6ED3" w:rsidRPr="00DE6ED3" w:rsidRDefault="00DE6ED3" w:rsidP="00DE6ED3">
      <w:pPr>
        <w:rPr>
          <w:rFonts w:ascii="Arial" w:hAnsi="Arial" w:cs="Arial"/>
        </w:rPr>
      </w:pPr>
    </w:p>
    <w:p w14:paraId="149DAC82" w14:textId="77777777" w:rsidR="004E5975" w:rsidRPr="004E5975" w:rsidRDefault="004E5975" w:rsidP="004E5975">
      <w:pPr>
        <w:rPr>
          <w:rFonts w:ascii="Arial" w:hAnsi="Arial" w:cs="Arial"/>
        </w:rPr>
      </w:pPr>
      <w:r w:rsidRPr="004E5975">
        <w:rPr>
          <w:rFonts w:ascii="Arial" w:hAnsi="Arial" w:cs="Arial"/>
        </w:rPr>
        <w:lastRenderedPageBreak/>
        <w:t xml:space="preserve">If a listed company purchases shares in any class of its equity shares under a general authority by the shareholders must be by way of a tender offer to all shareholders of that class </w:t>
      </w:r>
      <w:r w:rsidRPr="004E5975">
        <w:rPr>
          <w:rFonts w:ascii="Arial" w:hAnsi="Arial" w:cs="Arial"/>
          <w:b/>
          <w:bCs/>
        </w:rPr>
        <w:t>except where</w:t>
      </w:r>
      <w:r w:rsidRPr="004E5975">
        <w:rPr>
          <w:rFonts w:ascii="Arial" w:hAnsi="Arial" w:cs="Arial"/>
        </w:rPr>
        <w:t xml:space="preserve"> a listed company purchases:</w:t>
      </w:r>
    </w:p>
    <w:p w14:paraId="7FEFAB39" w14:textId="2A487577" w:rsidR="004E5975" w:rsidRPr="004E5975" w:rsidRDefault="004E5975" w:rsidP="004E5975">
      <w:pPr>
        <w:rPr>
          <w:rFonts w:ascii="Arial" w:hAnsi="Arial" w:cs="Arial"/>
        </w:rPr>
      </w:pPr>
      <w:r w:rsidRPr="004E5975">
        <w:rPr>
          <w:rFonts w:ascii="Arial" w:hAnsi="Arial" w:cs="Arial"/>
          <w:b/>
          <w:bCs/>
        </w:rPr>
        <w:t xml:space="preserve">(1) less than 15% </w:t>
      </w:r>
      <w:r w:rsidRPr="004E5975">
        <w:rPr>
          <w:rFonts w:ascii="Arial" w:hAnsi="Arial" w:cs="Arial"/>
        </w:rPr>
        <w:t xml:space="preserve">of a class of its equity shares in accordance with </w:t>
      </w:r>
      <w:r w:rsidRPr="004E5975">
        <w:rPr>
          <w:rFonts w:ascii="Arial" w:hAnsi="Arial" w:cs="Arial"/>
          <w:b/>
          <w:bCs/>
        </w:rPr>
        <w:t>UKLR 9.</w:t>
      </w:r>
      <w:r w:rsidR="00587530">
        <w:rPr>
          <w:rFonts w:ascii="Arial" w:hAnsi="Arial" w:cs="Arial"/>
          <w:b/>
          <w:bCs/>
        </w:rPr>
        <w:t>6</w:t>
      </w:r>
      <w:r w:rsidRPr="004E5975">
        <w:rPr>
          <w:rFonts w:ascii="Arial" w:hAnsi="Arial" w:cs="Arial"/>
          <w:b/>
          <w:bCs/>
        </w:rPr>
        <w:t>.1-2</w:t>
      </w:r>
      <w:r w:rsidRPr="004E5975">
        <w:rPr>
          <w:rFonts w:ascii="Arial" w:hAnsi="Arial" w:cs="Arial"/>
        </w:rPr>
        <w:t>, it need not seek additional shareholder approval where the price to be paid is lower than or equal to the higher of 5% above the average market value of the </w:t>
      </w:r>
      <w:r w:rsidRPr="004E5975">
        <w:rPr>
          <w:rFonts w:ascii="Arial" w:hAnsi="Arial" w:cs="Arial"/>
          <w:i/>
          <w:iCs/>
        </w:rPr>
        <w:t>shares</w:t>
      </w:r>
      <w:r w:rsidRPr="004E5975">
        <w:rPr>
          <w:rFonts w:ascii="Arial" w:hAnsi="Arial" w:cs="Arial"/>
        </w:rPr>
        <w:t> for the 5 business days prior to the day the purchase is made; and the technical standards stipulated by Article 5(6) of MAR; or</w:t>
      </w:r>
    </w:p>
    <w:p w14:paraId="2888AC29" w14:textId="77777777" w:rsidR="004E5975" w:rsidRPr="004E5975" w:rsidRDefault="004E5975" w:rsidP="004E5975">
      <w:pPr>
        <w:rPr>
          <w:rFonts w:ascii="Arial" w:hAnsi="Arial" w:cs="Arial"/>
        </w:rPr>
      </w:pPr>
      <w:r w:rsidRPr="004E5975">
        <w:rPr>
          <w:rFonts w:ascii="Arial" w:hAnsi="Arial" w:cs="Arial"/>
        </w:rPr>
        <w:t>(2) </w:t>
      </w:r>
      <w:r w:rsidRPr="004E5975">
        <w:rPr>
          <w:rFonts w:ascii="Arial" w:hAnsi="Arial" w:cs="Arial"/>
          <w:b/>
          <w:bCs/>
        </w:rPr>
        <w:t>15% or more of any class of its equity shares </w:t>
      </w:r>
      <w:r w:rsidRPr="004E5975">
        <w:rPr>
          <w:rFonts w:ascii="Arial" w:hAnsi="Arial" w:cs="Arial"/>
        </w:rPr>
        <w:t>(excluding treasury shares) where the full terms of the buyback have been</w:t>
      </w:r>
      <w:r w:rsidRPr="004E5975">
        <w:rPr>
          <w:rFonts w:ascii="Arial" w:hAnsi="Arial" w:cs="Arial"/>
          <w:b/>
          <w:bCs/>
        </w:rPr>
        <w:t xml:space="preserve"> specifically approved by shareholders.</w:t>
      </w:r>
    </w:p>
    <w:p w14:paraId="3082660B" w14:textId="77777777" w:rsidR="004E5975" w:rsidRPr="005E772F" w:rsidRDefault="004E5975" w:rsidP="005E772F">
      <w:pPr>
        <w:rPr>
          <w:rFonts w:ascii="Arial" w:hAnsi="Arial" w:cs="Arial"/>
        </w:rPr>
      </w:pPr>
    </w:p>
    <w:p w14:paraId="5D95D966" w14:textId="77777777" w:rsidR="005E772F" w:rsidRPr="005E772F" w:rsidRDefault="005E772F" w:rsidP="005E772F">
      <w:pPr>
        <w:rPr>
          <w:rFonts w:ascii="Arial" w:hAnsi="Arial" w:cs="Arial"/>
        </w:rPr>
      </w:pPr>
      <w:r w:rsidRPr="005E772F">
        <w:rPr>
          <w:rFonts w:ascii="Arial" w:hAnsi="Arial" w:cs="Arial"/>
          <w:b/>
          <w:bCs/>
        </w:rPr>
        <w:t>A tender offer</w:t>
      </w:r>
      <w:r w:rsidRPr="005E772F">
        <w:rPr>
          <w:rFonts w:ascii="Arial" w:hAnsi="Arial" w:cs="Arial"/>
        </w:rPr>
        <w:t xml:space="preserve"> is an offer by a company to purchase all or some of a class of its listed equity securities at a maximum or fixed price that is communicated to all shareholders (usually via a circular), open on the same terms for at least seven days and open for acceptance by all holders of that class pro rata to their holdings.</w:t>
      </w:r>
    </w:p>
    <w:p w14:paraId="426124A1" w14:textId="77777777" w:rsidR="00DA0D09" w:rsidRDefault="00DA0D09" w:rsidP="005E772F">
      <w:pPr>
        <w:rPr>
          <w:rFonts w:ascii="Arial" w:hAnsi="Arial" w:cs="Arial"/>
          <w:b/>
          <w:bCs/>
        </w:rPr>
      </w:pPr>
    </w:p>
    <w:p w14:paraId="313A0B4C" w14:textId="057A5D7C" w:rsidR="005E772F" w:rsidRPr="005E772F" w:rsidRDefault="005E772F" w:rsidP="005E772F">
      <w:pPr>
        <w:rPr>
          <w:rFonts w:ascii="Arial" w:hAnsi="Arial" w:cs="Arial"/>
        </w:rPr>
      </w:pPr>
      <w:r w:rsidRPr="005E772F">
        <w:rPr>
          <w:rFonts w:ascii="Arial" w:hAnsi="Arial" w:cs="Arial"/>
          <w:b/>
          <w:bCs/>
        </w:rPr>
        <w:t>Monitoring continuing obligations</w:t>
      </w:r>
    </w:p>
    <w:p w14:paraId="1AD0212D" w14:textId="5F7F2CEC" w:rsidR="005E772F" w:rsidRPr="005E772F" w:rsidRDefault="005E772F" w:rsidP="005E772F">
      <w:pPr>
        <w:rPr>
          <w:rFonts w:ascii="Arial" w:hAnsi="Arial" w:cs="Arial"/>
        </w:rPr>
      </w:pPr>
      <w:r w:rsidRPr="005E772F">
        <w:rPr>
          <w:rFonts w:ascii="Arial" w:hAnsi="Arial" w:cs="Arial"/>
        </w:rPr>
        <w:t xml:space="preserve">The FCA adopts a robust stance when monitoring listed companies’ compliance with their continuing obligations. </w:t>
      </w:r>
      <w:r w:rsidR="00D2672D">
        <w:rPr>
          <w:rFonts w:ascii="Arial" w:hAnsi="Arial" w:cs="Arial"/>
          <w:b/>
          <w:bCs/>
        </w:rPr>
        <w:t>UKLR</w:t>
      </w:r>
      <w:r w:rsidRPr="005E772F">
        <w:rPr>
          <w:rFonts w:ascii="Arial" w:hAnsi="Arial" w:cs="Arial"/>
          <w:b/>
          <w:bCs/>
        </w:rPr>
        <w:t xml:space="preserve"> </w:t>
      </w:r>
      <w:r w:rsidR="00D2672D">
        <w:rPr>
          <w:rFonts w:ascii="Arial" w:hAnsi="Arial" w:cs="Arial"/>
          <w:b/>
          <w:bCs/>
        </w:rPr>
        <w:t>6</w:t>
      </w:r>
      <w:r w:rsidRPr="005E772F">
        <w:rPr>
          <w:rFonts w:ascii="Arial" w:hAnsi="Arial" w:cs="Arial"/>
          <w:b/>
          <w:bCs/>
        </w:rPr>
        <w:t>.2.</w:t>
      </w:r>
      <w:r w:rsidR="00391AD3">
        <w:rPr>
          <w:rFonts w:ascii="Arial" w:hAnsi="Arial" w:cs="Arial"/>
          <w:b/>
          <w:bCs/>
        </w:rPr>
        <w:t>19</w:t>
      </w:r>
      <w:r w:rsidRPr="005E772F">
        <w:rPr>
          <w:rFonts w:ascii="Arial" w:hAnsi="Arial" w:cs="Arial"/>
        </w:rPr>
        <w:t xml:space="preserve"> states that a listed company must ensure that the FCA has contact details of an appropriate person to be the first point of contact with the FCA in relation to the company’s compliance with the </w:t>
      </w:r>
      <w:r w:rsidR="009C33A4">
        <w:rPr>
          <w:rFonts w:ascii="Arial" w:hAnsi="Arial" w:cs="Arial"/>
        </w:rPr>
        <w:t>UK</w:t>
      </w:r>
      <w:r w:rsidRPr="005E772F">
        <w:rPr>
          <w:rFonts w:ascii="Arial" w:hAnsi="Arial" w:cs="Arial"/>
        </w:rPr>
        <w:t xml:space="preserve">LRs, the DTRs and the disclosure obligations in UK MAR. That person must, under </w:t>
      </w:r>
      <w:r w:rsidR="00391AD3" w:rsidRPr="00DA0D09">
        <w:rPr>
          <w:rFonts w:ascii="Arial" w:hAnsi="Arial" w:cs="Arial"/>
          <w:b/>
          <w:bCs/>
        </w:rPr>
        <w:t>UK</w:t>
      </w:r>
      <w:r w:rsidRPr="00391AD3">
        <w:rPr>
          <w:rFonts w:ascii="Arial" w:hAnsi="Arial" w:cs="Arial"/>
          <w:b/>
          <w:bCs/>
        </w:rPr>
        <w:t>LR</w:t>
      </w:r>
      <w:r w:rsidRPr="005E772F">
        <w:rPr>
          <w:rFonts w:ascii="Arial" w:hAnsi="Arial" w:cs="Arial"/>
          <w:b/>
          <w:bCs/>
        </w:rPr>
        <w:t xml:space="preserve"> </w:t>
      </w:r>
      <w:r w:rsidR="00391AD3">
        <w:rPr>
          <w:rFonts w:ascii="Arial" w:hAnsi="Arial" w:cs="Arial"/>
          <w:b/>
          <w:bCs/>
        </w:rPr>
        <w:t>6</w:t>
      </w:r>
      <w:r w:rsidRPr="005E772F">
        <w:rPr>
          <w:rFonts w:ascii="Arial" w:hAnsi="Arial" w:cs="Arial"/>
          <w:b/>
          <w:bCs/>
        </w:rPr>
        <w:t>.2.</w:t>
      </w:r>
      <w:r w:rsidR="00CE345B">
        <w:rPr>
          <w:rFonts w:ascii="Arial" w:hAnsi="Arial" w:cs="Arial"/>
          <w:b/>
          <w:bCs/>
        </w:rPr>
        <w:t>20</w:t>
      </w:r>
      <w:r w:rsidRPr="005E772F">
        <w:rPr>
          <w:rFonts w:ascii="Arial" w:hAnsi="Arial" w:cs="Arial"/>
        </w:rPr>
        <w:t xml:space="preserve">, be knowledgeable about the company and </w:t>
      </w:r>
      <w:r w:rsidR="004619C7">
        <w:rPr>
          <w:rFonts w:ascii="Arial" w:hAnsi="Arial" w:cs="Arial"/>
        </w:rPr>
        <w:t>UK</w:t>
      </w:r>
      <w:r w:rsidRPr="005E772F">
        <w:rPr>
          <w:rFonts w:ascii="Arial" w:hAnsi="Arial" w:cs="Arial"/>
        </w:rPr>
        <w:t>LRs applicable to it and capable of ensuring that appropriate action is taken.</w:t>
      </w:r>
    </w:p>
    <w:p w14:paraId="3D958886" w14:textId="361A5249" w:rsidR="005E772F" w:rsidRPr="005E772F" w:rsidRDefault="005E772F" w:rsidP="005E772F">
      <w:pPr>
        <w:rPr>
          <w:rFonts w:ascii="Arial" w:hAnsi="Arial" w:cs="Arial"/>
        </w:rPr>
      </w:pPr>
      <w:r w:rsidRPr="005E772F">
        <w:rPr>
          <w:rFonts w:ascii="Arial" w:hAnsi="Arial" w:cs="Arial"/>
        </w:rPr>
        <w:t xml:space="preserve">On-going compliance with the disclosure requirements of UK MAR and with the transparency rules in the DTRs is included as a continuing obligation under </w:t>
      </w:r>
      <w:r w:rsidR="002527C0" w:rsidRPr="00DA0D09">
        <w:rPr>
          <w:rFonts w:ascii="Arial" w:hAnsi="Arial" w:cs="Arial"/>
          <w:b/>
          <w:bCs/>
        </w:rPr>
        <w:t>UK</w:t>
      </w:r>
      <w:r w:rsidRPr="002527C0">
        <w:rPr>
          <w:rFonts w:ascii="Arial" w:hAnsi="Arial" w:cs="Arial"/>
          <w:b/>
          <w:bCs/>
        </w:rPr>
        <w:t>LR</w:t>
      </w:r>
      <w:r w:rsidRPr="005E772F">
        <w:rPr>
          <w:rFonts w:ascii="Arial" w:hAnsi="Arial" w:cs="Arial"/>
          <w:b/>
          <w:bCs/>
        </w:rPr>
        <w:t xml:space="preserve"> </w:t>
      </w:r>
      <w:r w:rsidR="002527C0">
        <w:rPr>
          <w:rFonts w:ascii="Arial" w:hAnsi="Arial" w:cs="Arial"/>
          <w:b/>
          <w:bCs/>
        </w:rPr>
        <w:t>6</w:t>
      </w:r>
      <w:r w:rsidRPr="005E772F">
        <w:rPr>
          <w:rFonts w:ascii="Arial" w:hAnsi="Arial" w:cs="Arial"/>
          <w:b/>
          <w:bCs/>
        </w:rPr>
        <w:t>.2.</w:t>
      </w:r>
      <w:r w:rsidR="002527C0">
        <w:rPr>
          <w:rFonts w:ascii="Arial" w:hAnsi="Arial" w:cs="Arial"/>
          <w:b/>
          <w:bCs/>
        </w:rPr>
        <w:t>11</w:t>
      </w:r>
      <w:r w:rsidRPr="005E772F">
        <w:rPr>
          <w:rFonts w:ascii="Arial" w:hAnsi="Arial" w:cs="Arial"/>
        </w:rPr>
        <w:t xml:space="preserve"> and </w:t>
      </w:r>
      <w:r w:rsidR="002527C0" w:rsidRPr="00DA0D09">
        <w:rPr>
          <w:rFonts w:ascii="Arial" w:hAnsi="Arial" w:cs="Arial"/>
          <w:b/>
          <w:bCs/>
        </w:rPr>
        <w:t>UK</w:t>
      </w:r>
      <w:r w:rsidRPr="002527C0">
        <w:rPr>
          <w:rFonts w:ascii="Arial" w:hAnsi="Arial" w:cs="Arial"/>
          <w:b/>
          <w:bCs/>
        </w:rPr>
        <w:t>LR</w:t>
      </w:r>
      <w:r w:rsidRPr="005E772F">
        <w:rPr>
          <w:rFonts w:ascii="Arial" w:hAnsi="Arial" w:cs="Arial"/>
          <w:b/>
          <w:bCs/>
        </w:rPr>
        <w:t xml:space="preserve"> </w:t>
      </w:r>
      <w:r w:rsidR="002527C0">
        <w:rPr>
          <w:rFonts w:ascii="Arial" w:hAnsi="Arial" w:cs="Arial"/>
          <w:b/>
          <w:bCs/>
        </w:rPr>
        <w:t>6</w:t>
      </w:r>
      <w:r w:rsidRPr="005E772F">
        <w:rPr>
          <w:rFonts w:ascii="Arial" w:hAnsi="Arial" w:cs="Arial"/>
          <w:b/>
          <w:bCs/>
        </w:rPr>
        <w:t>.2.</w:t>
      </w:r>
      <w:r w:rsidR="00A675C7">
        <w:rPr>
          <w:rFonts w:ascii="Arial" w:hAnsi="Arial" w:cs="Arial"/>
          <w:b/>
          <w:bCs/>
        </w:rPr>
        <w:t>13</w:t>
      </w:r>
      <w:r w:rsidRPr="005E772F">
        <w:rPr>
          <w:rFonts w:ascii="Arial" w:hAnsi="Arial" w:cs="Arial"/>
        </w:rPr>
        <w:t>.</w:t>
      </w:r>
    </w:p>
    <w:p w14:paraId="2CA359F8" w14:textId="77777777" w:rsidR="005E772F" w:rsidRPr="005E772F" w:rsidRDefault="005E772F" w:rsidP="005E772F">
      <w:pPr>
        <w:rPr>
          <w:rFonts w:ascii="Arial" w:hAnsi="Arial" w:cs="Arial"/>
        </w:rPr>
      </w:pPr>
      <w:r w:rsidRPr="005E772F">
        <w:rPr>
          <w:rFonts w:ascii="Arial" w:hAnsi="Arial" w:cs="Arial"/>
        </w:rPr>
        <w:t>In the event that the company realises it has or may have committed a breach of its continuing obligations, it should contact the FCA promptly to discuss the breach and seek guidance on how to resolve the issue.</w:t>
      </w:r>
    </w:p>
    <w:p w14:paraId="2718B735" w14:textId="77777777" w:rsidR="00DA0D09" w:rsidRDefault="00DA0D09" w:rsidP="005E772F">
      <w:pPr>
        <w:rPr>
          <w:rFonts w:ascii="Arial" w:hAnsi="Arial" w:cs="Arial"/>
          <w:b/>
          <w:bCs/>
        </w:rPr>
      </w:pPr>
    </w:p>
    <w:p w14:paraId="11BF380B" w14:textId="23C71260" w:rsidR="005E772F" w:rsidRPr="005E772F" w:rsidRDefault="005E772F" w:rsidP="005E772F">
      <w:pPr>
        <w:rPr>
          <w:rFonts w:ascii="Arial" w:hAnsi="Arial" w:cs="Arial"/>
        </w:rPr>
      </w:pPr>
      <w:r w:rsidRPr="005E772F">
        <w:rPr>
          <w:rFonts w:ascii="Arial" w:hAnsi="Arial" w:cs="Arial"/>
          <w:b/>
          <w:bCs/>
        </w:rPr>
        <w:t>Consequences of breaching Continuing Obligations</w:t>
      </w:r>
    </w:p>
    <w:p w14:paraId="6FD5B344" w14:textId="77777777" w:rsidR="005E772F" w:rsidRPr="005E772F" w:rsidRDefault="005E772F" w:rsidP="005E772F">
      <w:pPr>
        <w:rPr>
          <w:rFonts w:ascii="Arial" w:hAnsi="Arial" w:cs="Arial"/>
        </w:rPr>
      </w:pPr>
      <w:r w:rsidRPr="005E772F">
        <w:rPr>
          <w:rFonts w:ascii="Arial" w:hAnsi="Arial" w:cs="Arial"/>
        </w:rPr>
        <w:t>The FCA can impose one or more of the following sanctions if a company has failed to meet its continuing obligations for listing:</w:t>
      </w:r>
    </w:p>
    <w:p w14:paraId="744B3D86" w14:textId="58FB63BC" w:rsidR="005E772F" w:rsidRPr="005E772F" w:rsidRDefault="005E772F" w:rsidP="005E772F">
      <w:pPr>
        <w:rPr>
          <w:rFonts w:ascii="Arial" w:hAnsi="Arial" w:cs="Arial"/>
        </w:rPr>
      </w:pPr>
      <w:r w:rsidRPr="005E772F">
        <w:rPr>
          <w:rFonts w:ascii="Arial" w:hAnsi="Arial" w:cs="Arial"/>
        </w:rPr>
        <w:t>require the issuer to publish such information as it considers appropriate to protect investors or to ensure the smooth operation of the market (</w:t>
      </w:r>
      <w:r w:rsidR="004825A9" w:rsidRPr="00DA0D09">
        <w:rPr>
          <w:rFonts w:ascii="Arial" w:hAnsi="Arial" w:cs="Arial"/>
          <w:b/>
          <w:bCs/>
        </w:rPr>
        <w:t>UK</w:t>
      </w:r>
      <w:r w:rsidRPr="004825A9">
        <w:rPr>
          <w:rFonts w:ascii="Arial" w:hAnsi="Arial" w:cs="Arial"/>
          <w:b/>
          <w:bCs/>
        </w:rPr>
        <w:t>LR</w:t>
      </w:r>
      <w:r w:rsidRPr="005E772F">
        <w:rPr>
          <w:rFonts w:ascii="Arial" w:hAnsi="Arial" w:cs="Arial"/>
          <w:b/>
          <w:bCs/>
        </w:rPr>
        <w:t xml:space="preserve"> 1.3.2(1)R</w:t>
      </w:r>
      <w:r w:rsidRPr="005E772F">
        <w:rPr>
          <w:rFonts w:ascii="Arial" w:hAnsi="Arial" w:cs="Arial"/>
        </w:rPr>
        <w:t>);publish a statement censuring the issuer or director (</w:t>
      </w:r>
      <w:r w:rsidRPr="005E772F">
        <w:rPr>
          <w:rFonts w:ascii="Arial" w:hAnsi="Arial" w:cs="Arial"/>
          <w:b/>
          <w:bCs/>
        </w:rPr>
        <w:t>s.91(3) FSMA</w:t>
      </w:r>
      <w:r w:rsidRPr="005E772F">
        <w:rPr>
          <w:rFonts w:ascii="Arial" w:hAnsi="Arial" w:cs="Arial"/>
        </w:rPr>
        <w:t>);suspend or cancel the issuer’s listing (</w:t>
      </w:r>
      <w:r w:rsidR="00CF28FE" w:rsidRPr="00DA0D09">
        <w:rPr>
          <w:rFonts w:ascii="Arial" w:hAnsi="Arial" w:cs="Arial"/>
          <w:b/>
          <w:bCs/>
        </w:rPr>
        <w:t>UK</w:t>
      </w:r>
      <w:r w:rsidRPr="00CF28FE">
        <w:rPr>
          <w:rFonts w:ascii="Arial" w:hAnsi="Arial" w:cs="Arial"/>
          <w:b/>
          <w:bCs/>
        </w:rPr>
        <w:t>LR</w:t>
      </w:r>
      <w:r w:rsidR="00CF28FE">
        <w:rPr>
          <w:rFonts w:ascii="Arial" w:hAnsi="Arial" w:cs="Arial"/>
          <w:b/>
          <w:bCs/>
        </w:rPr>
        <w:t>s21</w:t>
      </w:r>
      <w:r w:rsidRPr="005E772F">
        <w:rPr>
          <w:rFonts w:ascii="Arial" w:hAnsi="Arial" w:cs="Arial"/>
          <w:b/>
          <w:bCs/>
        </w:rPr>
        <w:t>.1</w:t>
      </w:r>
      <w:r w:rsidRPr="005E772F">
        <w:rPr>
          <w:rFonts w:ascii="Arial" w:hAnsi="Arial" w:cs="Arial"/>
        </w:rPr>
        <w:t xml:space="preserve"> and </w:t>
      </w:r>
      <w:r w:rsidR="00CF28FE">
        <w:rPr>
          <w:rFonts w:ascii="Arial" w:hAnsi="Arial" w:cs="Arial"/>
          <w:b/>
          <w:bCs/>
        </w:rPr>
        <w:t>21</w:t>
      </w:r>
      <w:r w:rsidRPr="005E772F">
        <w:rPr>
          <w:rFonts w:ascii="Arial" w:hAnsi="Arial" w:cs="Arial"/>
          <w:b/>
          <w:bCs/>
        </w:rPr>
        <w:t>.2</w:t>
      </w:r>
      <w:r w:rsidRPr="005E772F">
        <w:rPr>
          <w:rFonts w:ascii="Arial" w:hAnsi="Arial" w:cs="Arial"/>
        </w:rPr>
        <w:t xml:space="preserve"> and </w:t>
      </w:r>
      <w:r w:rsidRPr="005E772F">
        <w:rPr>
          <w:rFonts w:ascii="Arial" w:hAnsi="Arial" w:cs="Arial"/>
          <w:b/>
          <w:bCs/>
        </w:rPr>
        <w:t>s.77 FSMA</w:t>
      </w:r>
      <w:r w:rsidRPr="005E772F">
        <w:rPr>
          <w:rFonts w:ascii="Arial" w:hAnsi="Arial" w:cs="Arial"/>
        </w:rPr>
        <w:t>); and/or</w:t>
      </w:r>
      <w:r w:rsidR="00E32C10">
        <w:rPr>
          <w:rFonts w:ascii="Arial" w:hAnsi="Arial" w:cs="Arial"/>
        </w:rPr>
        <w:t xml:space="preserve"> </w:t>
      </w:r>
      <w:r w:rsidRPr="005E772F">
        <w:rPr>
          <w:rFonts w:ascii="Arial" w:hAnsi="Arial" w:cs="Arial"/>
        </w:rPr>
        <w:t>impose an unlimited penalty on the issuer or director (</w:t>
      </w:r>
      <w:r w:rsidRPr="005E772F">
        <w:rPr>
          <w:rFonts w:ascii="Arial" w:hAnsi="Arial" w:cs="Arial"/>
          <w:b/>
          <w:bCs/>
        </w:rPr>
        <w:t>ss.91(1)</w:t>
      </w:r>
      <w:r w:rsidRPr="005E772F">
        <w:rPr>
          <w:rFonts w:ascii="Arial" w:hAnsi="Arial" w:cs="Arial"/>
        </w:rPr>
        <w:t xml:space="preserve"> and</w:t>
      </w:r>
      <w:r w:rsidR="00C21160">
        <w:rPr>
          <w:rFonts w:ascii="Arial" w:hAnsi="Arial" w:cs="Arial"/>
        </w:rPr>
        <w:t xml:space="preserve"> </w:t>
      </w:r>
      <w:r w:rsidRPr="005E772F">
        <w:rPr>
          <w:rFonts w:ascii="Arial" w:hAnsi="Arial" w:cs="Arial"/>
          <w:b/>
          <w:bCs/>
        </w:rPr>
        <w:t>(2) FSMA</w:t>
      </w:r>
      <w:r w:rsidRPr="005E772F">
        <w:rPr>
          <w:rFonts w:ascii="Arial" w:hAnsi="Arial" w:cs="Arial"/>
        </w:rPr>
        <w:t>).</w:t>
      </w:r>
    </w:p>
    <w:p w14:paraId="05842768" w14:textId="77777777" w:rsidR="005E772F" w:rsidRPr="005E772F" w:rsidRDefault="005E772F" w:rsidP="005E772F">
      <w:pPr>
        <w:rPr>
          <w:rFonts w:ascii="Arial" w:hAnsi="Arial" w:cs="Arial"/>
        </w:rPr>
      </w:pPr>
      <w:r w:rsidRPr="005E772F">
        <w:rPr>
          <w:rFonts w:ascii="Arial" w:hAnsi="Arial" w:cs="Arial"/>
        </w:rPr>
        <w:t xml:space="preserve">Failure to make necessary disclosures pursuant to the disclosure obligations in the UK Market Abuse Regulation (UK MAR) would also allow the FCA to impose appropriate sanctions, as it is empowered to do as the UK’s competent authority under Art. 30(2) UK </w:t>
      </w:r>
      <w:r w:rsidRPr="005E772F">
        <w:rPr>
          <w:rFonts w:ascii="Arial" w:hAnsi="Arial" w:cs="Arial"/>
        </w:rPr>
        <w:lastRenderedPageBreak/>
        <w:t xml:space="preserve">MAR. These provisions are contained in </w:t>
      </w:r>
      <w:r w:rsidRPr="005E772F">
        <w:rPr>
          <w:rFonts w:ascii="Arial" w:hAnsi="Arial" w:cs="Arial"/>
          <w:b/>
          <w:bCs/>
        </w:rPr>
        <w:t>Part VIII FSMA</w:t>
      </w:r>
      <w:r w:rsidRPr="005E772F">
        <w:rPr>
          <w:rFonts w:ascii="Arial" w:hAnsi="Arial" w:cs="Arial"/>
        </w:rPr>
        <w:t xml:space="preserve"> and include, at </w:t>
      </w:r>
      <w:r w:rsidRPr="005E772F">
        <w:rPr>
          <w:rFonts w:ascii="Arial" w:hAnsi="Arial" w:cs="Arial"/>
          <w:b/>
          <w:bCs/>
        </w:rPr>
        <w:t>s.123 FSMA</w:t>
      </w:r>
      <w:r w:rsidRPr="005E772F">
        <w:rPr>
          <w:rFonts w:ascii="Arial" w:hAnsi="Arial" w:cs="Arial"/>
        </w:rPr>
        <w:t>, the power to impose penalties or issue censure against any person who has contravened, or been knowingly concerned in the contravention of, the relevant provisions of UK MAR.</w:t>
      </w:r>
    </w:p>
    <w:p w14:paraId="39E87FA6" w14:textId="77777777" w:rsidR="005E772F" w:rsidRPr="005E772F" w:rsidRDefault="005E772F" w:rsidP="005E772F">
      <w:pPr>
        <w:rPr>
          <w:rFonts w:ascii="Arial" w:hAnsi="Arial" w:cs="Arial"/>
        </w:rPr>
      </w:pPr>
      <w:r w:rsidRPr="005E772F">
        <w:rPr>
          <w:rFonts w:ascii="Arial" w:hAnsi="Arial" w:cs="Arial"/>
        </w:rPr>
        <w:t xml:space="preserve">Other potential consequences include </w:t>
      </w:r>
      <w:r w:rsidRPr="005E772F">
        <w:rPr>
          <w:rFonts w:ascii="Arial" w:hAnsi="Arial" w:cs="Arial"/>
          <w:b/>
          <w:bCs/>
        </w:rPr>
        <w:t>s.90A FSMA and Part 7 FS Act 2012</w:t>
      </w:r>
      <w:r w:rsidRPr="005E772F">
        <w:rPr>
          <w:rFonts w:ascii="Arial" w:hAnsi="Arial" w:cs="Arial"/>
        </w:rPr>
        <w:t>.</w:t>
      </w:r>
    </w:p>
    <w:p w14:paraId="7D970E30" w14:textId="77777777" w:rsidR="00DA0D09" w:rsidRDefault="00DA0D09" w:rsidP="005E772F">
      <w:pPr>
        <w:rPr>
          <w:rFonts w:ascii="Arial" w:hAnsi="Arial" w:cs="Arial"/>
          <w:b/>
          <w:bCs/>
        </w:rPr>
      </w:pPr>
    </w:p>
    <w:p w14:paraId="2775C5FE" w14:textId="7A3926EB" w:rsidR="005E772F" w:rsidRPr="005E772F" w:rsidRDefault="005E772F" w:rsidP="005E772F">
      <w:pPr>
        <w:rPr>
          <w:rFonts w:ascii="Arial" w:hAnsi="Arial" w:cs="Arial"/>
        </w:rPr>
      </w:pPr>
      <w:r w:rsidRPr="005E772F">
        <w:rPr>
          <w:rFonts w:ascii="Arial" w:hAnsi="Arial" w:cs="Arial"/>
          <w:b/>
          <w:bCs/>
        </w:rPr>
        <w:t>Summary</w:t>
      </w:r>
    </w:p>
    <w:p w14:paraId="6C396E13" w14:textId="21428FFE" w:rsidR="005E772F" w:rsidRPr="00DA0D09" w:rsidRDefault="005E772F" w:rsidP="00DA0D09">
      <w:pPr>
        <w:pStyle w:val="ListParagraph"/>
        <w:numPr>
          <w:ilvl w:val="0"/>
          <w:numId w:val="2"/>
        </w:numPr>
        <w:rPr>
          <w:rFonts w:ascii="Arial" w:hAnsi="Arial" w:cs="Arial"/>
        </w:rPr>
      </w:pPr>
      <w:r w:rsidRPr="00DA0D09">
        <w:rPr>
          <w:rFonts w:ascii="Arial" w:hAnsi="Arial" w:cs="Arial"/>
        </w:rPr>
        <w:t>Listed companies must comply with a wide range of rules and regulations on an ongoing basis. These are therefore referred to as ‘continuing obligations’.</w:t>
      </w:r>
    </w:p>
    <w:p w14:paraId="7240AFB5" w14:textId="22B49369" w:rsidR="005E772F" w:rsidRPr="00DA0D09" w:rsidRDefault="005E772F" w:rsidP="00DA0D09">
      <w:pPr>
        <w:pStyle w:val="ListParagraph"/>
        <w:numPr>
          <w:ilvl w:val="0"/>
          <w:numId w:val="2"/>
        </w:numPr>
        <w:rPr>
          <w:rFonts w:ascii="Arial" w:hAnsi="Arial" w:cs="Arial"/>
        </w:rPr>
      </w:pPr>
      <w:r w:rsidRPr="00DA0D09">
        <w:rPr>
          <w:rFonts w:ascii="Arial" w:hAnsi="Arial" w:cs="Arial"/>
        </w:rPr>
        <w:t>Continuing obligations cover a wide range of areas, including disclosures to the market; communications with shareholders; and matters requiring shareholder approval.</w:t>
      </w:r>
    </w:p>
    <w:p w14:paraId="36A1A6AB" w14:textId="16D3A30C" w:rsidR="005E772F" w:rsidRPr="00DA0D09" w:rsidRDefault="005E772F" w:rsidP="00DA0D09">
      <w:pPr>
        <w:pStyle w:val="ListParagraph"/>
        <w:numPr>
          <w:ilvl w:val="0"/>
          <w:numId w:val="2"/>
        </w:numPr>
        <w:rPr>
          <w:rFonts w:ascii="Arial" w:hAnsi="Arial" w:cs="Arial"/>
        </w:rPr>
      </w:pPr>
      <w:r w:rsidRPr="00DA0D09">
        <w:rPr>
          <w:rFonts w:ascii="Arial" w:hAnsi="Arial" w:cs="Arial"/>
        </w:rPr>
        <w:t xml:space="preserve">Continuing obligations arise as a result of multiple different legal, regulatory and guidance sources. These include FSMA, the FCA </w:t>
      </w:r>
      <w:r w:rsidR="00444BED" w:rsidRPr="00DA0D09">
        <w:rPr>
          <w:rFonts w:ascii="Arial" w:hAnsi="Arial" w:cs="Arial"/>
        </w:rPr>
        <w:t xml:space="preserve">UK </w:t>
      </w:r>
      <w:r w:rsidRPr="00DA0D09">
        <w:rPr>
          <w:rFonts w:ascii="Arial" w:hAnsi="Arial" w:cs="Arial"/>
        </w:rPr>
        <w:t>Listing Rules, the FCA Disclosure Guidance and Transparency Rules, the UK Market Abuse Regulation; the LSE Admissions and Disclosure Standards and the CA 2006.</w:t>
      </w:r>
    </w:p>
    <w:p w14:paraId="7283C7F5" w14:textId="306673A5" w:rsidR="005E772F" w:rsidRPr="00DA0D09" w:rsidRDefault="005E772F" w:rsidP="00DA0D09">
      <w:pPr>
        <w:pStyle w:val="ListParagraph"/>
        <w:numPr>
          <w:ilvl w:val="0"/>
          <w:numId w:val="2"/>
        </w:numPr>
        <w:rPr>
          <w:rFonts w:ascii="Arial" w:hAnsi="Arial" w:cs="Arial"/>
        </w:rPr>
      </w:pPr>
      <w:r w:rsidRPr="00DA0D09">
        <w:rPr>
          <w:rFonts w:ascii="Arial" w:hAnsi="Arial" w:cs="Arial"/>
        </w:rPr>
        <w:t>Breaches of continuing obligations are taken very seriously by the FCA and can carry considerable consequences.</w:t>
      </w:r>
    </w:p>
    <w:p w14:paraId="5123CE1E" w14:textId="77777777" w:rsidR="00C5563A" w:rsidRPr="00201E24" w:rsidRDefault="00C5563A">
      <w:pPr>
        <w:rPr>
          <w:rFonts w:ascii="Arial" w:hAnsi="Arial" w:cs="Arial"/>
        </w:rPr>
      </w:pPr>
    </w:p>
    <w:sectPr w:rsidR="00C5563A" w:rsidRPr="00201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21F"/>
    <w:multiLevelType w:val="hybridMultilevel"/>
    <w:tmpl w:val="4B4E503C"/>
    <w:lvl w:ilvl="0" w:tplc="BBA892D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AB12AB"/>
    <w:multiLevelType w:val="hybridMultilevel"/>
    <w:tmpl w:val="972C1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4276445">
    <w:abstractNumId w:val="1"/>
  </w:num>
  <w:num w:numId="2" w16cid:durableId="39454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72F"/>
    <w:rsid w:val="000D3BDF"/>
    <w:rsid w:val="001342ED"/>
    <w:rsid w:val="0017722D"/>
    <w:rsid w:val="00201E24"/>
    <w:rsid w:val="00225C6A"/>
    <w:rsid w:val="00232BE5"/>
    <w:rsid w:val="002527C0"/>
    <w:rsid w:val="002A0A66"/>
    <w:rsid w:val="002D42A0"/>
    <w:rsid w:val="00391AD3"/>
    <w:rsid w:val="003D5BDD"/>
    <w:rsid w:val="00413CB9"/>
    <w:rsid w:val="00435962"/>
    <w:rsid w:val="00444BED"/>
    <w:rsid w:val="004619C7"/>
    <w:rsid w:val="004825A9"/>
    <w:rsid w:val="004E5975"/>
    <w:rsid w:val="004F6716"/>
    <w:rsid w:val="0052795E"/>
    <w:rsid w:val="00531CC7"/>
    <w:rsid w:val="00587530"/>
    <w:rsid w:val="005E772F"/>
    <w:rsid w:val="00601462"/>
    <w:rsid w:val="006313C2"/>
    <w:rsid w:val="006E60D8"/>
    <w:rsid w:val="008669C5"/>
    <w:rsid w:val="0092300C"/>
    <w:rsid w:val="009B0429"/>
    <w:rsid w:val="009C33A4"/>
    <w:rsid w:val="00A675C7"/>
    <w:rsid w:val="00B1487A"/>
    <w:rsid w:val="00C1543B"/>
    <w:rsid w:val="00C21160"/>
    <w:rsid w:val="00C5563A"/>
    <w:rsid w:val="00C75E67"/>
    <w:rsid w:val="00CE345B"/>
    <w:rsid w:val="00CF28FE"/>
    <w:rsid w:val="00D2672D"/>
    <w:rsid w:val="00DA0D09"/>
    <w:rsid w:val="00DC515B"/>
    <w:rsid w:val="00DE6ED3"/>
    <w:rsid w:val="00E173F2"/>
    <w:rsid w:val="00E32C10"/>
    <w:rsid w:val="00EE5A8D"/>
    <w:rsid w:val="00EF415B"/>
    <w:rsid w:val="00F22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9F82"/>
  <w15:chartTrackingRefBased/>
  <w15:docId w15:val="{DDC3B61A-95A9-45F3-9A6A-04AC2F6E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ED3"/>
  </w:style>
  <w:style w:type="paragraph" w:styleId="Heading1">
    <w:name w:val="heading 1"/>
    <w:basedOn w:val="Normal"/>
    <w:next w:val="Normal"/>
    <w:link w:val="Heading1Char"/>
    <w:uiPriority w:val="9"/>
    <w:qFormat/>
    <w:rsid w:val="005E77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7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7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7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7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7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7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7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7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7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7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7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7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7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7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7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7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72F"/>
    <w:rPr>
      <w:rFonts w:eastAsiaTheme="majorEastAsia" w:cstheme="majorBidi"/>
      <w:color w:val="272727" w:themeColor="text1" w:themeTint="D8"/>
    </w:rPr>
  </w:style>
  <w:style w:type="paragraph" w:styleId="Title">
    <w:name w:val="Title"/>
    <w:basedOn w:val="Normal"/>
    <w:next w:val="Normal"/>
    <w:link w:val="TitleChar"/>
    <w:uiPriority w:val="10"/>
    <w:qFormat/>
    <w:rsid w:val="005E7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7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7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72F"/>
    <w:pPr>
      <w:spacing w:before="160"/>
      <w:jc w:val="center"/>
    </w:pPr>
    <w:rPr>
      <w:i/>
      <w:iCs/>
      <w:color w:val="404040" w:themeColor="text1" w:themeTint="BF"/>
    </w:rPr>
  </w:style>
  <w:style w:type="character" w:customStyle="1" w:styleId="QuoteChar">
    <w:name w:val="Quote Char"/>
    <w:basedOn w:val="DefaultParagraphFont"/>
    <w:link w:val="Quote"/>
    <w:uiPriority w:val="29"/>
    <w:rsid w:val="005E772F"/>
    <w:rPr>
      <w:i/>
      <w:iCs/>
      <w:color w:val="404040" w:themeColor="text1" w:themeTint="BF"/>
    </w:rPr>
  </w:style>
  <w:style w:type="paragraph" w:styleId="ListParagraph">
    <w:name w:val="List Paragraph"/>
    <w:basedOn w:val="Normal"/>
    <w:uiPriority w:val="34"/>
    <w:qFormat/>
    <w:rsid w:val="005E772F"/>
    <w:pPr>
      <w:ind w:left="720"/>
      <w:contextualSpacing/>
    </w:pPr>
  </w:style>
  <w:style w:type="character" w:styleId="IntenseEmphasis">
    <w:name w:val="Intense Emphasis"/>
    <w:basedOn w:val="DefaultParagraphFont"/>
    <w:uiPriority w:val="21"/>
    <w:qFormat/>
    <w:rsid w:val="005E772F"/>
    <w:rPr>
      <w:i/>
      <w:iCs/>
      <w:color w:val="0F4761" w:themeColor="accent1" w:themeShade="BF"/>
    </w:rPr>
  </w:style>
  <w:style w:type="paragraph" w:styleId="IntenseQuote">
    <w:name w:val="Intense Quote"/>
    <w:basedOn w:val="Normal"/>
    <w:next w:val="Normal"/>
    <w:link w:val="IntenseQuoteChar"/>
    <w:uiPriority w:val="30"/>
    <w:qFormat/>
    <w:rsid w:val="005E77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72F"/>
    <w:rPr>
      <w:i/>
      <w:iCs/>
      <w:color w:val="0F4761" w:themeColor="accent1" w:themeShade="BF"/>
    </w:rPr>
  </w:style>
  <w:style w:type="character" w:styleId="IntenseReference">
    <w:name w:val="Intense Reference"/>
    <w:basedOn w:val="DefaultParagraphFont"/>
    <w:uiPriority w:val="32"/>
    <w:qFormat/>
    <w:rsid w:val="005E772F"/>
    <w:rPr>
      <w:b/>
      <w:bCs/>
      <w:smallCaps/>
      <w:color w:val="0F4761" w:themeColor="accent1" w:themeShade="BF"/>
      <w:spacing w:val="5"/>
    </w:rPr>
  </w:style>
  <w:style w:type="paragraph" w:styleId="Revision">
    <w:name w:val="Revision"/>
    <w:hidden/>
    <w:uiPriority w:val="99"/>
    <w:semiHidden/>
    <w:rsid w:val="00201E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096543">
      <w:bodyDiv w:val="1"/>
      <w:marLeft w:val="0"/>
      <w:marRight w:val="0"/>
      <w:marTop w:val="0"/>
      <w:marBottom w:val="0"/>
      <w:divBdr>
        <w:top w:val="none" w:sz="0" w:space="0" w:color="auto"/>
        <w:left w:val="none" w:sz="0" w:space="0" w:color="auto"/>
        <w:bottom w:val="none" w:sz="0" w:space="0" w:color="auto"/>
        <w:right w:val="none" w:sz="0" w:space="0" w:color="auto"/>
      </w:divBdr>
    </w:div>
    <w:div w:id="926617472">
      <w:bodyDiv w:val="1"/>
      <w:marLeft w:val="0"/>
      <w:marRight w:val="0"/>
      <w:marTop w:val="0"/>
      <w:marBottom w:val="0"/>
      <w:divBdr>
        <w:top w:val="none" w:sz="0" w:space="0" w:color="auto"/>
        <w:left w:val="none" w:sz="0" w:space="0" w:color="auto"/>
        <w:bottom w:val="none" w:sz="0" w:space="0" w:color="auto"/>
        <w:right w:val="none" w:sz="0" w:space="0" w:color="auto"/>
      </w:divBdr>
    </w:div>
    <w:div w:id="957875285">
      <w:bodyDiv w:val="1"/>
      <w:marLeft w:val="0"/>
      <w:marRight w:val="0"/>
      <w:marTop w:val="0"/>
      <w:marBottom w:val="0"/>
      <w:divBdr>
        <w:top w:val="none" w:sz="0" w:space="0" w:color="auto"/>
        <w:left w:val="none" w:sz="0" w:space="0" w:color="auto"/>
        <w:bottom w:val="none" w:sz="0" w:space="0" w:color="auto"/>
        <w:right w:val="none" w:sz="0" w:space="0" w:color="auto"/>
      </w:divBdr>
    </w:div>
    <w:div w:id="196853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SharedWithUsers xmlns="d7593786-a1cc-4346-bf19-2acfb37ece1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DA5D11-C4A6-4EB1-ABEE-958BF6D8AB7F}">
  <ds:schemaRefs>
    <ds:schemaRef ds:uri="http://www.w3.org/XML/1998/namespace"/>
    <ds:schemaRef ds:uri="http://schemas.microsoft.com/office/infopath/2007/PartnerControls"/>
    <ds:schemaRef ds:uri="http://purl.org/dc/terms/"/>
    <ds:schemaRef ds:uri="http://purl.org/dc/dcmitype/"/>
    <ds:schemaRef ds:uri="http://schemas.microsoft.com/office/2006/documentManagement/types"/>
    <ds:schemaRef ds:uri="http://purl.org/dc/elements/1.1/"/>
    <ds:schemaRef ds:uri="c839ac5d-a8d8-4c0b-bff0-15d0217b8558"/>
    <ds:schemaRef ds:uri="http://schemas.microsoft.com/office/2006/metadata/properties"/>
    <ds:schemaRef ds:uri="afb2d85d-35d9-45b8-bfaa-3edd9cbc3488"/>
    <ds:schemaRef ds:uri="http://schemas.openxmlformats.org/package/2006/metadata/core-properties"/>
    <ds:schemaRef ds:uri="d7593786-a1cc-4346-bf19-2acfb37ece19"/>
  </ds:schemaRefs>
</ds:datastoreItem>
</file>

<file path=customXml/itemProps2.xml><?xml version="1.0" encoding="utf-8"?>
<ds:datastoreItem xmlns:ds="http://schemas.openxmlformats.org/officeDocument/2006/customXml" ds:itemID="{2BCD7132-CAB7-4C21-A7E7-BFF13060BFC1}">
  <ds:schemaRefs>
    <ds:schemaRef ds:uri="http://schemas.microsoft.com/sharepoint/v3/contenttype/forms"/>
  </ds:schemaRefs>
</ds:datastoreItem>
</file>

<file path=customXml/itemProps3.xml><?xml version="1.0" encoding="utf-8"?>
<ds:datastoreItem xmlns:ds="http://schemas.openxmlformats.org/officeDocument/2006/customXml" ds:itemID="{EA3FCE48-F916-4596-906E-CF39CD0ED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1157</Words>
  <Characters>6598</Characters>
  <Application>Microsoft Office Word</Application>
  <DocSecurity>0</DocSecurity>
  <Lines>54</Lines>
  <Paragraphs>15</Paragraphs>
  <ScaleCrop>false</ScaleCrop>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Flack</dc:creator>
  <cp:keywords/>
  <dc:description/>
  <cp:lastModifiedBy>Abigail Flack</cp:lastModifiedBy>
  <cp:revision>36</cp:revision>
  <dcterms:created xsi:type="dcterms:W3CDTF">2024-10-22T14:22:00Z</dcterms:created>
  <dcterms:modified xsi:type="dcterms:W3CDTF">2024-11-03T19:51:00Z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Order">
    <vt:r8>3295200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ies>
</file>