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4400" w14:textId="77777777" w:rsidR="00FE4CB0" w:rsidRPr="00FE4CB0" w:rsidRDefault="00FE4CB0" w:rsidP="00FE4CB0">
      <w:r w:rsidRPr="00FE4CB0">
        <w:rPr>
          <w:b/>
          <w:bCs/>
        </w:rPr>
        <w:t>Listed company AGMs</w:t>
      </w:r>
    </w:p>
    <w:p w14:paraId="2EEB37EE" w14:textId="3451F8E6" w:rsidR="002838D9" w:rsidRDefault="002838D9" w:rsidP="002838D9">
      <w:r w:rsidRPr="002838D9">
        <w:t>This element explains the nature, role, conduct and regulation of listed company AGMs.</w:t>
      </w:r>
    </w:p>
    <w:p w14:paraId="25D152A2" w14:textId="77777777" w:rsidR="002838D9" w:rsidRPr="002838D9" w:rsidRDefault="002838D9" w:rsidP="002838D9">
      <w:r w:rsidRPr="002838D9">
        <w:rPr>
          <w:b/>
          <w:bCs/>
        </w:rPr>
        <w:t>Listed company AGMs: Context</w:t>
      </w:r>
    </w:p>
    <w:p w14:paraId="2549E15F" w14:textId="44206B23" w:rsidR="00EB7EBB" w:rsidRPr="00EB7EBB" w:rsidRDefault="00EB7EBB" w:rsidP="00EB7EBB">
      <w:r w:rsidRPr="00EB7EBB">
        <w:rPr>
          <w:lang w:val="en-US"/>
        </w:rPr>
        <w:t>Annual General Meetings (</w:t>
      </w:r>
      <w:r w:rsidR="00AD5298">
        <w:rPr>
          <w:lang w:val="en-US"/>
        </w:rPr>
        <w:t>‘</w:t>
      </w:r>
      <w:r w:rsidRPr="00CF670B">
        <w:rPr>
          <w:b/>
          <w:bCs/>
          <w:lang w:val="en-US"/>
        </w:rPr>
        <w:t>AGMs</w:t>
      </w:r>
      <w:r w:rsidR="00AD5298" w:rsidRPr="00CF670B">
        <w:rPr>
          <w:b/>
          <w:bCs/>
          <w:lang w:val="en-US"/>
        </w:rPr>
        <w:t>’</w:t>
      </w:r>
      <w:r w:rsidRPr="00EB7EBB">
        <w:rPr>
          <w:lang w:val="en-US"/>
        </w:rPr>
        <w:t xml:space="preserve">) are extremely important to listed companies. </w:t>
      </w:r>
    </w:p>
    <w:p w14:paraId="1E57B1C9" w14:textId="16C027BA" w:rsidR="00EB7EBB" w:rsidRPr="00EB7EBB" w:rsidRDefault="00EB7EBB" w:rsidP="00EB7EBB">
      <w:r w:rsidRPr="00EB7EBB">
        <w:rPr>
          <w:lang w:val="en-US"/>
        </w:rPr>
        <w:t xml:space="preserve">The AGM is also an important forum for shareholders to voice concern over certain issues and, as a result, contentious issues sometimes arise.  The question of directors’ remuneration often attracts particular attention and environmental issues, especially around the impact of climate change, are also very topical. </w:t>
      </w:r>
      <w:r w:rsidR="00F95EF5">
        <w:rPr>
          <w:lang w:val="en-US"/>
        </w:rPr>
        <w:t xml:space="preserve"> </w:t>
      </w:r>
    </w:p>
    <w:p w14:paraId="254C2F4F" w14:textId="77777777" w:rsidR="00EB7EBB" w:rsidRPr="00EB7EBB" w:rsidRDefault="00EB7EBB" w:rsidP="00EB7EBB">
      <w:r w:rsidRPr="00EB7EBB">
        <w:rPr>
          <w:lang w:val="en-US"/>
        </w:rPr>
        <w:t xml:space="preserve">Calling and holding general meetings </w:t>
      </w:r>
      <w:proofErr w:type="gramStart"/>
      <w:r w:rsidRPr="00EB7EBB">
        <w:rPr>
          <w:lang w:val="en-US"/>
        </w:rPr>
        <w:t>during the course of</w:t>
      </w:r>
      <w:proofErr w:type="gramEnd"/>
      <w:r w:rsidRPr="00EB7EBB">
        <w:rPr>
          <w:lang w:val="en-US"/>
        </w:rPr>
        <w:t xml:space="preserve"> the year is very expensive for a listed company due to the number of shareholders involved. As a result, listed companies usually obtain shareholder approval on an annual basis for standard matters which are going to, or may, take place throughout the following year.</w:t>
      </w:r>
    </w:p>
    <w:p w14:paraId="52C6A3A6" w14:textId="77777777" w:rsidR="00EB7EBB" w:rsidRPr="00EB7EBB" w:rsidRDefault="00EB7EBB" w:rsidP="00EB7EBB">
      <w:r w:rsidRPr="00EB7EBB">
        <w:rPr>
          <w:b/>
          <w:bCs/>
        </w:rPr>
        <w:t>AGMs: Regulatory requirements</w:t>
      </w:r>
    </w:p>
    <w:p w14:paraId="1371337F" w14:textId="77777777" w:rsidR="0020094E" w:rsidRPr="0020094E" w:rsidRDefault="0020094E" w:rsidP="0020094E">
      <w:r w:rsidRPr="0020094E">
        <w:rPr>
          <w:b/>
          <w:bCs/>
          <w:lang w:val="en-US"/>
        </w:rPr>
        <w:t xml:space="preserve">S.336 CA 2006 </w:t>
      </w:r>
      <w:r w:rsidRPr="0020094E">
        <w:rPr>
          <w:lang w:val="en-US"/>
        </w:rPr>
        <w:t>requires a public company to hold a general meeting as its AGM in each period of six months beginning with the day following its accounting reference date.</w:t>
      </w:r>
    </w:p>
    <w:p w14:paraId="78D14994" w14:textId="77777777" w:rsidR="0020094E" w:rsidRPr="0020094E" w:rsidRDefault="0020094E" w:rsidP="0020094E">
      <w:r w:rsidRPr="0020094E">
        <w:rPr>
          <w:lang w:val="en-US"/>
        </w:rPr>
        <w:t>The UK Corporate Governance Code recognises the importance of all general meetings in maintaining communications between companies and their shareholders. According to Principle D of the UK Corporate Governance Code: </w:t>
      </w:r>
    </w:p>
    <w:p w14:paraId="1000A6AF" w14:textId="77777777" w:rsidR="0020094E" w:rsidRPr="0020094E" w:rsidRDefault="0020094E" w:rsidP="0020094E">
      <w:r w:rsidRPr="0020094E">
        <w:rPr>
          <w:lang w:val="en-US"/>
        </w:rPr>
        <w:t xml:space="preserve">“…in order for the company to meet its responsibilities to shareholders and stakeholders, the board should ensure effective engagement with, and encourage participation from, these parties.”  </w:t>
      </w:r>
    </w:p>
    <w:p w14:paraId="04073B0E" w14:textId="77777777" w:rsidR="0020094E" w:rsidRPr="0020094E" w:rsidRDefault="0020094E" w:rsidP="0020094E">
      <w:r w:rsidRPr="0020094E">
        <w:rPr>
          <w:lang w:val="en-US"/>
        </w:rPr>
        <w:t xml:space="preserve">In practice, it is relatively unusual for listed companies to hold general meetings other than AGMs, so AGMs are particularly significant. </w:t>
      </w:r>
    </w:p>
    <w:p w14:paraId="252E5CB1" w14:textId="77777777" w:rsidR="0020094E" w:rsidRPr="0020094E" w:rsidRDefault="0020094E" w:rsidP="0020094E">
      <w:r w:rsidRPr="0020094E">
        <w:rPr>
          <w:b/>
          <w:bCs/>
        </w:rPr>
        <w:t>AGMs: Communications with shareholders</w:t>
      </w:r>
    </w:p>
    <w:p w14:paraId="5B27F0ED" w14:textId="77777777" w:rsidR="008B3DC9" w:rsidRDefault="00DB5043" w:rsidP="00DB5043">
      <w:pPr>
        <w:rPr>
          <w:lang w:val="en-US"/>
        </w:rPr>
      </w:pPr>
      <w:r w:rsidRPr="00DB5043">
        <w:rPr>
          <w:lang w:val="en-US"/>
        </w:rPr>
        <w:t xml:space="preserve">The importance of communication between company boards and shareholders is reinforced by Provision 4 of the UK Corporate Governance Code); where 20% or more of votes are cast against a board-recommended resolution at a general meeting, the company should explain the actions it intends to take to consult shareholders to understand the reasons behind the vote result.  </w:t>
      </w:r>
    </w:p>
    <w:p w14:paraId="5EE897E5" w14:textId="7AA305F1" w:rsidR="00DB5043" w:rsidRPr="00DB5043" w:rsidRDefault="00DB5043" w:rsidP="00DB5043">
      <w:r w:rsidRPr="00DB5043">
        <w:rPr>
          <w:lang w:val="en-US"/>
        </w:rPr>
        <w:t>An update on the views received from shareholders - and actions taken by the company - must be published no later than six months after the shareholder meeting. This must be accompanied by a final summary explaining what impact the feedback has had on (1) the board’s decisions and (2) any actions or resolutions now proposed to be included in the next annual report.</w:t>
      </w:r>
    </w:p>
    <w:p w14:paraId="1C1815EB" w14:textId="77777777" w:rsidR="00DB5043" w:rsidRPr="00DB5043" w:rsidRDefault="00DB5043" w:rsidP="00DB5043">
      <w:r w:rsidRPr="00DB5043">
        <w:rPr>
          <w:lang w:val="en-US"/>
        </w:rPr>
        <w:t>The Investment Association maintains a register which identifies those listed companies where 20% or more of the shareholders have voted against a resolution or where the company has chosen instead to withdraw a resolution.  The register also contains details of the relevant company’s response.  You can view the register at:</w:t>
      </w:r>
    </w:p>
    <w:p w14:paraId="630D9729" w14:textId="77777777" w:rsidR="00DB5043" w:rsidRPr="00DB5043" w:rsidRDefault="00CF670B" w:rsidP="00DB5043">
      <w:hyperlink r:id="rId8" w:history="1">
        <w:r w:rsidR="00DB5043" w:rsidRPr="00DB5043">
          <w:rPr>
            <w:rStyle w:val="Hyperlink"/>
            <w:lang w:val="en-US"/>
          </w:rPr>
          <w:t>https://www.theinvestmentassociation.org/publicregister.html</w:t>
        </w:r>
      </w:hyperlink>
    </w:p>
    <w:p w14:paraId="15A510E4" w14:textId="77777777" w:rsidR="00A85EF8" w:rsidRDefault="00A85EF8" w:rsidP="00A85EF8">
      <w:pPr>
        <w:rPr>
          <w:b/>
          <w:bCs/>
        </w:rPr>
      </w:pPr>
    </w:p>
    <w:p w14:paraId="3BF57294" w14:textId="77777777" w:rsidR="00A85EF8" w:rsidRDefault="00A85EF8" w:rsidP="00A85EF8">
      <w:pPr>
        <w:rPr>
          <w:b/>
          <w:bCs/>
        </w:rPr>
      </w:pPr>
    </w:p>
    <w:p w14:paraId="1A39F51E" w14:textId="7885B173" w:rsidR="00A85EF8" w:rsidRDefault="00A85EF8" w:rsidP="00A85EF8">
      <w:pPr>
        <w:rPr>
          <w:b/>
          <w:bCs/>
        </w:rPr>
      </w:pPr>
      <w:r w:rsidRPr="00A85EF8">
        <w:rPr>
          <w:b/>
          <w:bCs/>
        </w:rPr>
        <w:lastRenderedPageBreak/>
        <w:t>AGMs: In-person, hybrid and virtual meetings</w:t>
      </w:r>
    </w:p>
    <w:p w14:paraId="3C4CD6D5" w14:textId="77777777" w:rsidR="00401DDC" w:rsidRDefault="00A85EF8" w:rsidP="00A85EF8">
      <w:pPr>
        <w:rPr>
          <w:lang w:val="en-US"/>
        </w:rPr>
      </w:pPr>
      <w:r w:rsidRPr="00A85EF8">
        <w:rPr>
          <w:lang w:val="en-US"/>
        </w:rPr>
        <w:t xml:space="preserve">In December 2017, the Investment Association published a statement confirming that its members would not support any amendments to articles of association in relation to electronic meetings if they were to allow for “virtual-only” AGMs.  The Investment Association believes that “…such technology should only be used in parallel with the in-person meeting, and not lead to companies adopting a ‘virtual-only’ approach.”  </w:t>
      </w:r>
    </w:p>
    <w:p w14:paraId="769249ED" w14:textId="3851FC67" w:rsidR="00A85EF8" w:rsidRPr="00A85EF8" w:rsidRDefault="00A85EF8" w:rsidP="00A85EF8">
      <w:r w:rsidRPr="00A85EF8">
        <w:rPr>
          <w:lang w:val="en-US"/>
        </w:rPr>
        <w:t xml:space="preserve">The AGM is the one occasion in the year where a listed company’s board is “publicly accountable to all its shareholders” and, if the AGM were “virtual-only”, this accountability would be removed due to the remoteness of the participants and the fact that it would also be harder for participants to identify the views of other shareholders.  </w:t>
      </w:r>
    </w:p>
    <w:p w14:paraId="108E48D0" w14:textId="77777777" w:rsidR="00721F5D" w:rsidRDefault="00BC44EA" w:rsidP="00BC44EA">
      <w:pPr>
        <w:rPr>
          <w:lang w:val="en-US"/>
        </w:rPr>
      </w:pPr>
      <w:proofErr w:type="gramStart"/>
      <w:r w:rsidRPr="00BC44EA">
        <w:rPr>
          <w:lang w:val="en-US"/>
        </w:rPr>
        <w:t>As a consequence</w:t>
      </w:r>
      <w:proofErr w:type="gramEnd"/>
      <w:r w:rsidRPr="00BC44EA">
        <w:rPr>
          <w:lang w:val="en-US"/>
        </w:rPr>
        <w:t xml:space="preserve">, where listed companies have proposed amendments to their articles to provide for a virtual aspect to their general meetings, this has been to permit “hybrid” meetings (in other words, in accordance with the Investment Association statement).  The most common hybrid model involves the meeting taking place both at a physical location and on an electronic platform that enables shareholders to participate and vote in real time.  </w:t>
      </w:r>
    </w:p>
    <w:p w14:paraId="26005B0F" w14:textId="403059B8" w:rsidR="00BC44EA" w:rsidRPr="00BC44EA" w:rsidRDefault="00721F5D" w:rsidP="00BC44EA">
      <w:r>
        <w:rPr>
          <w:lang w:val="en-US"/>
        </w:rPr>
        <w:t>T</w:t>
      </w:r>
      <w:r w:rsidR="00BC44EA" w:rsidRPr="00BC44EA">
        <w:rPr>
          <w:lang w:val="en-US"/>
        </w:rPr>
        <w:t xml:space="preserve">he pandemic accelerated the adoption of provisions in articles permitting “hybrid” meetings.  Other methods of allowing shareholders to participate electronically – but without them being able to vote in real time – are also becoming more common. </w:t>
      </w:r>
    </w:p>
    <w:p w14:paraId="76B21780" w14:textId="77777777" w:rsidR="00BC44EA" w:rsidRDefault="00BC44EA" w:rsidP="00BC44EA">
      <w:pPr>
        <w:rPr>
          <w:lang w:val="en-US"/>
        </w:rPr>
      </w:pPr>
      <w:r w:rsidRPr="00BC44EA">
        <w:rPr>
          <w:lang w:val="en-US"/>
        </w:rPr>
        <w:t>Given ongoing concerns about the legal validity and acceptability of virtual-only AGMs for institutional shareholders, it is unlikely that virtual-only AGMs - where the meeting takes place entirely on an electronic platform – will become common.</w:t>
      </w:r>
    </w:p>
    <w:p w14:paraId="61749426" w14:textId="77777777" w:rsidR="00C24147" w:rsidRPr="00BC44EA" w:rsidRDefault="00C24147" w:rsidP="00BC44EA"/>
    <w:p w14:paraId="02B1D86F" w14:textId="77777777" w:rsidR="00BC44EA" w:rsidRPr="00BC44EA" w:rsidRDefault="00BC44EA" w:rsidP="00BC44EA">
      <w:r w:rsidRPr="00BC44EA">
        <w:rPr>
          <w:b/>
          <w:bCs/>
        </w:rPr>
        <w:t>Business transacted at AGMs of listed companies</w:t>
      </w:r>
    </w:p>
    <w:p w14:paraId="34128EDD" w14:textId="77777777" w:rsidR="00E414F5" w:rsidRPr="00E414F5" w:rsidRDefault="00E414F5" w:rsidP="00E414F5">
      <w:r w:rsidRPr="00E414F5">
        <w:t xml:space="preserve">It is usual practice for listed companies to send an </w:t>
      </w:r>
      <w:r w:rsidRPr="00E414F5">
        <w:rPr>
          <w:b/>
          <w:bCs/>
        </w:rPr>
        <w:t xml:space="preserve">explanatory circular </w:t>
      </w:r>
      <w:r w:rsidRPr="00E414F5">
        <w:t xml:space="preserve">to shareholders with their notice of AGM.  </w:t>
      </w:r>
    </w:p>
    <w:p w14:paraId="46FF7A0B" w14:textId="5DD80EA9" w:rsidR="00E414F5" w:rsidRPr="00E414F5" w:rsidRDefault="00E414F5" w:rsidP="00E414F5">
      <w:r w:rsidRPr="00E414F5">
        <w:t xml:space="preserve">Shareholder resolutions referred to </w:t>
      </w:r>
      <w:r w:rsidR="00FD24B4">
        <w:t xml:space="preserve">UKLRs 10.5 </w:t>
      </w:r>
      <w:r w:rsidR="00E60636">
        <w:t xml:space="preserve">(Buybacks) </w:t>
      </w:r>
      <w:r w:rsidR="00FD24B4">
        <w:t>and 10.6</w:t>
      </w:r>
      <w:r w:rsidR="00E60636">
        <w:t xml:space="preserve"> (such as authority to allot and disapplication of pre-emptions rights)</w:t>
      </w:r>
      <w:r w:rsidR="00FD24B4">
        <w:t xml:space="preserve"> </w:t>
      </w:r>
      <w:r w:rsidRPr="00E414F5">
        <w:t xml:space="preserve">specifically prescribe information to be included in the circular.  </w:t>
      </w:r>
    </w:p>
    <w:p w14:paraId="51F9D5F5" w14:textId="77777777" w:rsidR="00E414F5" w:rsidRPr="00E414F5" w:rsidRDefault="00E414F5" w:rsidP="00E414F5">
      <w:r w:rsidRPr="00E414F5">
        <w:t xml:space="preserve">Companies generally send the following with their notice of the AGM: </w:t>
      </w:r>
    </w:p>
    <w:p w14:paraId="7891E94C" w14:textId="77777777" w:rsidR="00E414F5" w:rsidRPr="00E414F5" w:rsidRDefault="00E414F5" w:rsidP="00E414F5">
      <w:pPr>
        <w:numPr>
          <w:ilvl w:val="0"/>
          <w:numId w:val="1"/>
        </w:numPr>
      </w:pPr>
      <w:r w:rsidRPr="00E414F5">
        <w:t xml:space="preserve">a copy of their </w:t>
      </w:r>
      <w:r w:rsidRPr="00E414F5">
        <w:rPr>
          <w:b/>
          <w:bCs/>
        </w:rPr>
        <w:t>annual report</w:t>
      </w:r>
      <w:r w:rsidRPr="00E414F5">
        <w:t>;</w:t>
      </w:r>
      <w:r w:rsidRPr="00E414F5">
        <w:rPr>
          <w:b/>
          <w:bCs/>
        </w:rPr>
        <w:t xml:space="preserve"> </w:t>
      </w:r>
      <w:r w:rsidRPr="00E414F5">
        <w:t xml:space="preserve">and </w:t>
      </w:r>
    </w:p>
    <w:p w14:paraId="10B00BE3" w14:textId="77777777" w:rsidR="00E414F5" w:rsidRPr="00E414F5" w:rsidRDefault="00E414F5" w:rsidP="00E414F5">
      <w:pPr>
        <w:numPr>
          <w:ilvl w:val="0"/>
          <w:numId w:val="1"/>
        </w:numPr>
      </w:pPr>
      <w:r w:rsidRPr="00E414F5">
        <w:rPr>
          <w:b/>
          <w:bCs/>
        </w:rPr>
        <w:t>accounts</w:t>
      </w:r>
      <w:r w:rsidRPr="00E414F5">
        <w:t xml:space="preserve"> for the preceding financial year (i.e. the financial year to which the AGM relates).</w:t>
      </w:r>
    </w:p>
    <w:p w14:paraId="391C9428" w14:textId="77777777" w:rsidR="007710FA" w:rsidRPr="00E414F5" w:rsidRDefault="00E414F5" w:rsidP="007710FA">
      <w:r w:rsidRPr="00E414F5">
        <w:t xml:space="preserve">The next page summarises the matters usually considered by shareholders at an AGM of a listed company. </w:t>
      </w:r>
    </w:p>
    <w:p w14:paraId="4CC4BFEE" w14:textId="186C878B" w:rsidR="00E414F5" w:rsidRDefault="00E414F5" w:rsidP="00E414F5"/>
    <w:p w14:paraId="36FC6E81" w14:textId="77777777" w:rsidR="00F55433" w:rsidRDefault="00F55433" w:rsidP="00E414F5"/>
    <w:p w14:paraId="575A0778" w14:textId="77777777" w:rsidR="00F55433" w:rsidRDefault="00F55433" w:rsidP="00E414F5"/>
    <w:p w14:paraId="4E9E35EF" w14:textId="77777777" w:rsidR="00F55433" w:rsidRDefault="00F55433" w:rsidP="00E414F5"/>
    <w:p w14:paraId="4ADB22BA" w14:textId="77777777" w:rsidR="00F55433" w:rsidRPr="00E414F5" w:rsidRDefault="00F55433" w:rsidP="00E414F5"/>
    <w:p w14:paraId="294585F7" w14:textId="77777777" w:rsidR="00F7609B" w:rsidRPr="00F7609B" w:rsidRDefault="00E414F5" w:rsidP="007710FA">
      <w:pPr>
        <w:rPr>
          <w:b/>
          <w:bCs/>
        </w:rPr>
      </w:pPr>
      <w:r w:rsidRPr="00F7609B">
        <w:rPr>
          <w:b/>
          <w:bCs/>
        </w:rPr>
        <w:lastRenderedPageBreak/>
        <w:t>Matters usually considered at a listed company AGM include:</w:t>
      </w:r>
    </w:p>
    <w:p w14:paraId="3475203C" w14:textId="49179896" w:rsidR="004F6991" w:rsidRPr="00F95EF5" w:rsidRDefault="004F6991" w:rsidP="00CF670B">
      <w:pPr>
        <w:pStyle w:val="ListParagraph"/>
        <w:numPr>
          <w:ilvl w:val="0"/>
          <w:numId w:val="16"/>
        </w:numPr>
      </w:pPr>
      <w:r w:rsidRPr="00F95EF5">
        <w:t>Consideration of the annual report and accounts.</w:t>
      </w:r>
    </w:p>
    <w:p w14:paraId="0C62692E" w14:textId="77777777" w:rsidR="004F6991" w:rsidRPr="004F6991" w:rsidRDefault="004F6991" w:rsidP="00CF670B">
      <w:pPr>
        <w:numPr>
          <w:ilvl w:val="0"/>
          <w:numId w:val="16"/>
        </w:numPr>
      </w:pPr>
      <w:r w:rsidRPr="004F6991">
        <w:t>Approval of the directors’ remuneration policy (binding vote).</w:t>
      </w:r>
    </w:p>
    <w:p w14:paraId="3669B2D9" w14:textId="77777777" w:rsidR="004F6991" w:rsidRPr="004F6991" w:rsidRDefault="004F6991" w:rsidP="00CF670B">
      <w:pPr>
        <w:numPr>
          <w:ilvl w:val="0"/>
          <w:numId w:val="16"/>
        </w:numPr>
      </w:pPr>
      <w:r w:rsidRPr="004F6991">
        <w:t>Approval of the directors’ remuneration report (advisory vote).</w:t>
      </w:r>
    </w:p>
    <w:p w14:paraId="0FFEFDF6" w14:textId="77777777" w:rsidR="004F6991" w:rsidRPr="004F6991" w:rsidRDefault="004F6991" w:rsidP="00CF670B">
      <w:pPr>
        <w:numPr>
          <w:ilvl w:val="0"/>
          <w:numId w:val="16"/>
        </w:numPr>
      </w:pPr>
      <w:r w:rsidRPr="004F6991">
        <w:t>Declaration of a final dividend.</w:t>
      </w:r>
    </w:p>
    <w:p w14:paraId="446172A6" w14:textId="77777777" w:rsidR="004F6991" w:rsidRPr="004F6991" w:rsidRDefault="004F6991" w:rsidP="00CF670B">
      <w:pPr>
        <w:numPr>
          <w:ilvl w:val="0"/>
          <w:numId w:val="16"/>
        </w:numPr>
      </w:pPr>
      <w:r w:rsidRPr="004F6991">
        <w:t>Appointment and re-appointment of directors.</w:t>
      </w:r>
    </w:p>
    <w:p w14:paraId="6978318E" w14:textId="77777777" w:rsidR="004F6991" w:rsidRPr="004F6991" w:rsidRDefault="004F6991" w:rsidP="00CF670B">
      <w:pPr>
        <w:numPr>
          <w:ilvl w:val="0"/>
          <w:numId w:val="16"/>
        </w:numPr>
      </w:pPr>
      <w:r w:rsidRPr="004F6991">
        <w:t>Re-appointment of auditors and authority to determine remuneration.</w:t>
      </w:r>
    </w:p>
    <w:p w14:paraId="4311F9F7" w14:textId="77777777" w:rsidR="004F6991" w:rsidRPr="004F6991" w:rsidRDefault="004F6991" w:rsidP="00CF670B">
      <w:pPr>
        <w:numPr>
          <w:ilvl w:val="0"/>
          <w:numId w:val="16"/>
        </w:numPr>
      </w:pPr>
      <w:r w:rsidRPr="004F6991">
        <w:t>Directors’ authority to allot shares (s. 551 CA 2006).</w:t>
      </w:r>
    </w:p>
    <w:p w14:paraId="23AF495B" w14:textId="77777777" w:rsidR="004F6991" w:rsidRPr="004F6991" w:rsidRDefault="004F6991" w:rsidP="00CF670B">
      <w:pPr>
        <w:numPr>
          <w:ilvl w:val="0"/>
          <w:numId w:val="16"/>
        </w:numPr>
      </w:pPr>
      <w:r w:rsidRPr="004F6991">
        <w:t>Disapplying pre-emption rights (s. 570 CA 2006).</w:t>
      </w:r>
    </w:p>
    <w:p w14:paraId="169DEC9F" w14:textId="77777777" w:rsidR="004F6991" w:rsidRPr="004F6991" w:rsidRDefault="004F6991" w:rsidP="00CF670B">
      <w:pPr>
        <w:numPr>
          <w:ilvl w:val="0"/>
          <w:numId w:val="16"/>
        </w:numPr>
      </w:pPr>
      <w:r w:rsidRPr="004F6991">
        <w:t>Market purchase of a company’s own shares (s. 701 CA 2006).</w:t>
      </w:r>
    </w:p>
    <w:p w14:paraId="438B4AF5" w14:textId="77777777" w:rsidR="004F6991" w:rsidRDefault="004F6991" w:rsidP="00CF670B">
      <w:pPr>
        <w:numPr>
          <w:ilvl w:val="0"/>
          <w:numId w:val="16"/>
        </w:numPr>
      </w:pPr>
      <w:r w:rsidRPr="004F6991">
        <w:t>Contributions to political parties (Part 14, CA 2006).</w:t>
      </w:r>
    </w:p>
    <w:p w14:paraId="4DEC594E" w14:textId="51C75F83" w:rsidR="00A85EF8" w:rsidRDefault="004F6991" w:rsidP="00CF670B">
      <w:pPr>
        <w:numPr>
          <w:ilvl w:val="0"/>
          <w:numId w:val="16"/>
        </w:numPr>
      </w:pPr>
      <w:r w:rsidRPr="004F6991">
        <w:t>Reducing the general meeting notice period to 14 clear days.</w:t>
      </w:r>
    </w:p>
    <w:p w14:paraId="29F7A2CF" w14:textId="77777777" w:rsidR="00F55433" w:rsidRDefault="00F55433" w:rsidP="00F55433">
      <w:pPr>
        <w:ind w:left="720"/>
      </w:pPr>
    </w:p>
    <w:p w14:paraId="13B37D31" w14:textId="77777777" w:rsidR="004F6991" w:rsidRPr="004F6991" w:rsidRDefault="004F6991" w:rsidP="004F6991">
      <w:r w:rsidRPr="004F6991">
        <w:rPr>
          <w:b/>
          <w:bCs/>
        </w:rPr>
        <w:t>AGMs: Consideration of the annual report and accounts</w:t>
      </w:r>
    </w:p>
    <w:p w14:paraId="39D5FB22" w14:textId="77777777" w:rsidR="00F77AF7" w:rsidRPr="00F77AF7" w:rsidRDefault="00F77AF7" w:rsidP="00F77AF7">
      <w:r w:rsidRPr="00F77AF7">
        <w:rPr>
          <w:lang w:val="en-US"/>
        </w:rPr>
        <w:t xml:space="preserve">Every company must, pursuant to s.423(1) CA 2006, send a copy of its annual accounts and reports for each financial year to: </w:t>
      </w:r>
    </w:p>
    <w:p w14:paraId="611014E7" w14:textId="77777777" w:rsidR="00F77AF7" w:rsidRPr="00F77AF7" w:rsidRDefault="00F77AF7" w:rsidP="00F77AF7">
      <w:pPr>
        <w:numPr>
          <w:ilvl w:val="0"/>
          <w:numId w:val="3"/>
        </w:numPr>
      </w:pPr>
      <w:r w:rsidRPr="00F77AF7">
        <w:rPr>
          <w:lang w:val="en-US"/>
        </w:rPr>
        <w:t>every member;</w:t>
      </w:r>
    </w:p>
    <w:p w14:paraId="40FEBBAF" w14:textId="77777777" w:rsidR="00F77AF7" w:rsidRPr="00F77AF7" w:rsidRDefault="00F77AF7" w:rsidP="00F77AF7">
      <w:pPr>
        <w:numPr>
          <w:ilvl w:val="0"/>
          <w:numId w:val="3"/>
        </w:numPr>
      </w:pPr>
      <w:r w:rsidRPr="00F77AF7">
        <w:rPr>
          <w:lang w:val="en-US"/>
        </w:rPr>
        <w:t xml:space="preserve">every debenture holder; and </w:t>
      </w:r>
    </w:p>
    <w:p w14:paraId="0772F348" w14:textId="77777777" w:rsidR="00F77AF7" w:rsidRPr="00F77AF7" w:rsidRDefault="00F77AF7" w:rsidP="00F77AF7">
      <w:pPr>
        <w:numPr>
          <w:ilvl w:val="0"/>
          <w:numId w:val="3"/>
        </w:numPr>
      </w:pPr>
      <w:r w:rsidRPr="00F77AF7">
        <w:rPr>
          <w:lang w:val="en-US"/>
        </w:rPr>
        <w:t>every person who is entitled to receive notice of general meetings.</w:t>
      </w:r>
    </w:p>
    <w:p w14:paraId="5FEBC84D" w14:textId="77777777" w:rsidR="00F77AF7" w:rsidRPr="00F77AF7" w:rsidRDefault="00F77AF7" w:rsidP="00F77AF7">
      <w:r w:rsidRPr="00F77AF7">
        <w:rPr>
          <w:lang w:val="en-US"/>
        </w:rPr>
        <w:t xml:space="preserve">The directors of a public company must ‘lay’ before the company in general meeting copies of its annual accounts and reports within </w:t>
      </w:r>
      <w:r w:rsidRPr="00F77AF7">
        <w:rPr>
          <w:b/>
          <w:bCs/>
          <w:lang w:val="en-US"/>
        </w:rPr>
        <w:t xml:space="preserve">6 months </w:t>
      </w:r>
      <w:r w:rsidRPr="00F77AF7">
        <w:rPr>
          <w:lang w:val="en-US"/>
        </w:rPr>
        <w:t xml:space="preserve">after the end of the accounting period to which they relate (s.437(1) and s.442(2)(b) CA 2006). </w:t>
      </w:r>
    </w:p>
    <w:p w14:paraId="7370262F" w14:textId="77777777" w:rsidR="00F77AF7" w:rsidRPr="00F77AF7" w:rsidRDefault="00F77AF7" w:rsidP="00F77AF7">
      <w:r w:rsidRPr="00F77AF7">
        <w:rPr>
          <w:lang w:val="en-US"/>
        </w:rPr>
        <w:t xml:space="preserve">There is no statutory requirement for shareholders to approve the accounts. Therefore, the relevant resolution will often be drafted </w:t>
      </w:r>
      <w:proofErr w:type="gramStart"/>
      <w:r w:rsidRPr="00F77AF7">
        <w:rPr>
          <w:lang w:val="en-US"/>
        </w:rPr>
        <w:t>so as to</w:t>
      </w:r>
      <w:proofErr w:type="gramEnd"/>
      <w:r w:rsidRPr="00F77AF7">
        <w:rPr>
          <w:lang w:val="en-US"/>
        </w:rPr>
        <w:t xml:space="preserve"> ‘consider and adopt’, ‘receive’ or ‘receive and adopt’ the annual report and accounts. </w:t>
      </w:r>
    </w:p>
    <w:p w14:paraId="3075CEB7" w14:textId="4907B9AF" w:rsidR="00F77AF7" w:rsidRDefault="00F77AF7" w:rsidP="00F77AF7">
      <w:pPr>
        <w:rPr>
          <w:lang w:val="en-US"/>
        </w:rPr>
      </w:pPr>
      <w:r w:rsidRPr="00F77AF7">
        <w:rPr>
          <w:lang w:val="en-US"/>
        </w:rPr>
        <w:t xml:space="preserve">You should </w:t>
      </w:r>
      <w:r w:rsidRPr="00F77AF7">
        <w:rPr>
          <w:b/>
          <w:bCs/>
          <w:lang w:val="en-US"/>
        </w:rPr>
        <w:t>always</w:t>
      </w:r>
      <w:r w:rsidRPr="00F77AF7">
        <w:rPr>
          <w:lang w:val="en-US"/>
        </w:rPr>
        <w:t xml:space="preserve"> check the articles of association of the company you are advising to confirm that specific wording is not required.</w:t>
      </w:r>
    </w:p>
    <w:p w14:paraId="51707EC7" w14:textId="77777777" w:rsidR="006630AA" w:rsidRPr="00F77AF7" w:rsidRDefault="006630AA" w:rsidP="00F77AF7"/>
    <w:p w14:paraId="3BA8D2E0" w14:textId="77777777" w:rsidR="00F77AF7" w:rsidRPr="00F77AF7" w:rsidRDefault="00F77AF7" w:rsidP="00F77AF7">
      <w:r w:rsidRPr="00F77AF7">
        <w:rPr>
          <w:b/>
          <w:bCs/>
        </w:rPr>
        <w:t>AGMs: Approval of the directors’ remuneration policy (binding vote)</w:t>
      </w:r>
    </w:p>
    <w:p w14:paraId="46D61F70" w14:textId="77777777" w:rsidR="00790285" w:rsidRPr="00790285" w:rsidRDefault="00790285" w:rsidP="00790285">
      <w:r w:rsidRPr="00790285">
        <w:rPr>
          <w:lang w:val="en-US"/>
        </w:rPr>
        <w:t xml:space="preserve">A company’s remuneration policy sets out the scope of payments which may be made to directors. This includes their remuneration (including the scope for pay rises or bonuses) and any sums paid for “loss of office”.  The remuneration policy must be put to a shareholder vote by </w:t>
      </w:r>
      <w:r w:rsidRPr="00790285">
        <w:rPr>
          <w:b/>
          <w:bCs/>
          <w:lang w:val="en-US"/>
        </w:rPr>
        <w:t xml:space="preserve">ordinary resolution. </w:t>
      </w:r>
      <w:r w:rsidRPr="00790285">
        <w:rPr>
          <w:lang w:val="en-US"/>
        </w:rPr>
        <w:t>This must be done:</w:t>
      </w:r>
      <w:r w:rsidRPr="00790285">
        <w:rPr>
          <w:b/>
          <w:bCs/>
          <w:lang w:val="en-US"/>
        </w:rPr>
        <w:t xml:space="preserve"> </w:t>
      </w:r>
    </w:p>
    <w:p w14:paraId="1F80F797" w14:textId="77777777" w:rsidR="00790285" w:rsidRPr="00790285" w:rsidRDefault="00790285" w:rsidP="00790285">
      <w:pPr>
        <w:numPr>
          <w:ilvl w:val="0"/>
          <w:numId w:val="4"/>
        </w:numPr>
      </w:pPr>
      <w:r w:rsidRPr="00790285">
        <w:rPr>
          <w:lang w:val="en-US"/>
        </w:rPr>
        <w:t xml:space="preserve">at its </w:t>
      </w:r>
      <w:r w:rsidRPr="00790285">
        <w:rPr>
          <w:b/>
          <w:bCs/>
          <w:lang w:val="en-US"/>
        </w:rPr>
        <w:t>first</w:t>
      </w:r>
      <w:r w:rsidRPr="00790285">
        <w:rPr>
          <w:lang w:val="en-US"/>
        </w:rPr>
        <w:t xml:space="preserve"> AGM as a quoted company; and then </w:t>
      </w:r>
    </w:p>
    <w:p w14:paraId="31A7158D" w14:textId="77777777" w:rsidR="00790285" w:rsidRPr="00790285" w:rsidRDefault="00790285" w:rsidP="00790285">
      <w:pPr>
        <w:numPr>
          <w:ilvl w:val="0"/>
          <w:numId w:val="4"/>
        </w:numPr>
      </w:pPr>
      <w:r w:rsidRPr="00790285">
        <w:rPr>
          <w:lang w:val="en-US"/>
        </w:rPr>
        <w:lastRenderedPageBreak/>
        <w:t xml:space="preserve">at least once </w:t>
      </w:r>
      <w:r w:rsidRPr="00790285">
        <w:rPr>
          <w:b/>
          <w:bCs/>
          <w:lang w:val="en-US"/>
        </w:rPr>
        <w:t xml:space="preserve">every 3 years </w:t>
      </w:r>
      <w:r w:rsidRPr="00790285">
        <w:rPr>
          <w:lang w:val="en-US"/>
        </w:rPr>
        <w:t>(see s. 439</w:t>
      </w:r>
      <w:proofErr w:type="gramStart"/>
      <w:r w:rsidRPr="00790285">
        <w:rPr>
          <w:lang w:val="en-US"/>
        </w:rPr>
        <w:t>A(</w:t>
      </w:r>
      <w:proofErr w:type="gramEnd"/>
      <w:r w:rsidRPr="00790285">
        <w:rPr>
          <w:lang w:val="en-US"/>
        </w:rPr>
        <w:t xml:space="preserve">1) CA 2006).  </w:t>
      </w:r>
    </w:p>
    <w:p w14:paraId="71F296D0" w14:textId="77777777" w:rsidR="00790285" w:rsidRPr="00790285" w:rsidRDefault="00790285" w:rsidP="00790285">
      <w:r w:rsidRPr="00790285">
        <w:rPr>
          <w:lang w:val="en-US"/>
        </w:rPr>
        <w:t xml:space="preserve">The vote to approve the remuneration policy is </w:t>
      </w:r>
      <w:r w:rsidRPr="00790285">
        <w:rPr>
          <w:b/>
          <w:bCs/>
          <w:lang w:val="en-US"/>
        </w:rPr>
        <w:t>binding</w:t>
      </w:r>
      <w:r w:rsidRPr="00790285">
        <w:rPr>
          <w:lang w:val="en-US"/>
        </w:rPr>
        <w:t xml:space="preserve">.  Once the policy has been approved, the company may only make payments to directors in accordance with the approved policy (unless it seeks specific shareholder approval to amend the policy to permit the payment; see s.226B(1) and s.226C(1) CA 2006).  </w:t>
      </w:r>
    </w:p>
    <w:p w14:paraId="702BF2EF" w14:textId="77777777" w:rsidR="006B5248" w:rsidRPr="006B5248" w:rsidRDefault="006B5248" w:rsidP="006B5248">
      <w:r w:rsidRPr="006B5248">
        <w:rPr>
          <w:lang w:val="en-US"/>
        </w:rPr>
        <w:t xml:space="preserve">An obligation, however arising, to make a payment which would contravene ss. 226B or 226C CA 2006 has </w:t>
      </w:r>
      <w:r w:rsidRPr="006B5248">
        <w:rPr>
          <w:b/>
          <w:bCs/>
          <w:lang w:val="en-US"/>
        </w:rPr>
        <w:t xml:space="preserve">no effect </w:t>
      </w:r>
      <w:r w:rsidRPr="006B5248">
        <w:rPr>
          <w:lang w:val="en-US"/>
        </w:rPr>
        <w:t>(s.226E(1) CA 2006). Any payment made in contravention of these sections will be held on trust by the recipient and any director who authorised such a payment would be jointly and severally liable to indemnify the company for any loss resulting from it (s. 226</w:t>
      </w:r>
      <w:proofErr w:type="gramStart"/>
      <w:r w:rsidRPr="006B5248">
        <w:rPr>
          <w:lang w:val="en-US"/>
        </w:rPr>
        <w:t>E(</w:t>
      </w:r>
      <w:proofErr w:type="gramEnd"/>
      <w:r w:rsidRPr="006B5248">
        <w:rPr>
          <w:lang w:val="en-US"/>
        </w:rPr>
        <w:t>2) CA 2006).</w:t>
      </w:r>
    </w:p>
    <w:p w14:paraId="6113B9E7" w14:textId="44B752BE" w:rsidR="006B5248" w:rsidRPr="006B5248" w:rsidRDefault="006B5248" w:rsidP="006B5248">
      <w:r w:rsidRPr="006B5248">
        <w:rPr>
          <w:lang w:val="en-US"/>
        </w:rPr>
        <w:t xml:space="preserve">If the remuneration policy is not </w:t>
      </w:r>
      <w:r w:rsidR="00391E29" w:rsidRPr="006B5248">
        <w:rPr>
          <w:lang w:val="en-US"/>
        </w:rPr>
        <w:t>approved,</w:t>
      </w:r>
      <w:r w:rsidRPr="006B5248">
        <w:rPr>
          <w:lang w:val="en-US"/>
        </w:rPr>
        <w:t xml:space="preserve"> then a company may only pay remuneration in accordance with the most recent remuneration policy which </w:t>
      </w:r>
      <w:r w:rsidRPr="006B5248">
        <w:rPr>
          <w:u w:val="single"/>
          <w:lang w:val="en-US"/>
        </w:rPr>
        <w:t>has</w:t>
      </w:r>
      <w:r w:rsidRPr="006B5248">
        <w:rPr>
          <w:lang w:val="en-US"/>
        </w:rPr>
        <w:t xml:space="preserve"> been approved (s.226B(2)).</w:t>
      </w:r>
    </w:p>
    <w:p w14:paraId="1486D731" w14:textId="77777777" w:rsidR="00D35543" w:rsidRDefault="00D35543" w:rsidP="00D35543">
      <w:pPr>
        <w:rPr>
          <w:b/>
          <w:bCs/>
        </w:rPr>
      </w:pPr>
    </w:p>
    <w:p w14:paraId="0269B7A1" w14:textId="77777777" w:rsidR="00D35543" w:rsidRDefault="00D35543" w:rsidP="00D35543">
      <w:pPr>
        <w:rPr>
          <w:b/>
          <w:bCs/>
        </w:rPr>
      </w:pPr>
    </w:p>
    <w:p w14:paraId="4858129D" w14:textId="13FA3FAE" w:rsidR="00D35543" w:rsidRPr="00D35543" w:rsidRDefault="00D35543" w:rsidP="00D35543">
      <w:r w:rsidRPr="00D35543">
        <w:rPr>
          <w:b/>
          <w:bCs/>
        </w:rPr>
        <w:t>AGMs: Approval of directors’ remuneration report (advisory vote)</w:t>
      </w:r>
    </w:p>
    <w:p w14:paraId="01C4B89F" w14:textId="77777777" w:rsidR="00D35543" w:rsidRPr="00D35543" w:rsidRDefault="00D35543" w:rsidP="00D35543">
      <w:r w:rsidRPr="00D35543">
        <w:rPr>
          <w:lang w:val="en-US"/>
        </w:rPr>
        <w:t>The remuneration report sets out details of (1) the actual amounts paid during the last financial year to the directors (including a ‘single total figure’ table for each director); together with (2) any link between their performance and pay. The report should also cover the way in which the company intends to implement its remuneration policy in the next financial year.</w:t>
      </w:r>
    </w:p>
    <w:p w14:paraId="72EB4B27" w14:textId="0C26C488" w:rsidR="00D35543" w:rsidRPr="00D35543" w:rsidRDefault="00D35543" w:rsidP="00D35543">
      <w:r w:rsidRPr="00D35543">
        <w:rPr>
          <w:lang w:val="en-US"/>
        </w:rPr>
        <w:t xml:space="preserve">s.439 CA 2006 requires quoted companies to put the remuneration report to a shareholder vote at the company’s AGM. This vote is not, however, binding; the directors’ entitlement to remuneration is not dependent on the resolution being passed (s. 439(5) CA 2006).  </w:t>
      </w:r>
      <w:r w:rsidR="00761AE6">
        <w:rPr>
          <w:lang w:val="en-US"/>
        </w:rPr>
        <w:t xml:space="preserve">Sometimes this </w:t>
      </w:r>
      <w:r w:rsidR="00166023">
        <w:rPr>
          <w:lang w:val="en-US"/>
        </w:rPr>
        <w:t xml:space="preserve">type of resolution </w:t>
      </w:r>
      <w:r w:rsidR="00761AE6">
        <w:rPr>
          <w:lang w:val="en-US"/>
        </w:rPr>
        <w:t xml:space="preserve">is called </w:t>
      </w:r>
      <w:r w:rsidR="00166023">
        <w:rPr>
          <w:lang w:val="en-US"/>
        </w:rPr>
        <w:t xml:space="preserve">an advisory vote. </w:t>
      </w:r>
      <w:r w:rsidRPr="00D35543">
        <w:rPr>
          <w:lang w:val="en-US"/>
        </w:rPr>
        <w:t xml:space="preserve">Shareholders are, in effect, voting retrospectively on a statement which relates to payments which have generally already been made.  </w:t>
      </w:r>
    </w:p>
    <w:p w14:paraId="2DD9F868" w14:textId="4E234A8A" w:rsidR="00E6749D" w:rsidRPr="00E6749D" w:rsidRDefault="00E6749D" w:rsidP="00E6749D">
      <w:r w:rsidRPr="00E6749D">
        <w:rPr>
          <w:lang w:val="en-US"/>
        </w:rPr>
        <w:t>Note</w:t>
      </w:r>
      <w:r w:rsidR="009210C3">
        <w:rPr>
          <w:lang w:val="en-US"/>
        </w:rPr>
        <w:t xml:space="preserve"> -</w:t>
      </w:r>
      <w:r w:rsidRPr="00E6749D">
        <w:rPr>
          <w:lang w:val="en-US"/>
        </w:rPr>
        <w:t>ss. 439 and 439A CA 2006: if the resolution to approve the remuneration report is not passed at an AGM (a remuneration policy was not separately approved at that same AGM), it will be necessary for the company to put a remuneration policy to a shareholder vote at its next following AGM (s.439A(2) CA) - even if the usual three-year period has not expired.</w:t>
      </w:r>
    </w:p>
    <w:p w14:paraId="1E1B6827" w14:textId="77777777" w:rsidR="00E6749D" w:rsidRDefault="00E6749D" w:rsidP="00E6749D">
      <w:pPr>
        <w:rPr>
          <w:lang w:val="en-US"/>
        </w:rPr>
      </w:pPr>
      <w:r w:rsidRPr="00E6749D">
        <w:rPr>
          <w:lang w:val="en-US"/>
        </w:rPr>
        <w:t>The question of whether a listed company’s notice of AGM will contain a s. 439A resolution will depend on whether a) the company is newly listed, b) three years have passed since the last s.439A resolution, c) the company is seeking to change its remuneration policy within three years and/or d) the section 439(1) resolution was approved at the last AGM.</w:t>
      </w:r>
    </w:p>
    <w:p w14:paraId="22F91F17" w14:textId="77777777" w:rsidR="00655E0D" w:rsidRPr="00E6749D" w:rsidRDefault="00655E0D" w:rsidP="00E6749D"/>
    <w:p w14:paraId="2FE8452D" w14:textId="77777777" w:rsidR="00FD135E" w:rsidRPr="00FD135E" w:rsidRDefault="00FD135E" w:rsidP="00FD135E">
      <w:r w:rsidRPr="00FD135E">
        <w:rPr>
          <w:b/>
          <w:bCs/>
        </w:rPr>
        <w:t xml:space="preserve">AGMs: Declaration of a final dividend </w:t>
      </w:r>
    </w:p>
    <w:p w14:paraId="460FD248" w14:textId="77777777" w:rsidR="00FD135E" w:rsidRPr="00FD135E" w:rsidRDefault="00FD135E" w:rsidP="00FD135E">
      <w:r w:rsidRPr="00FD135E">
        <w:rPr>
          <w:lang w:val="en-US"/>
        </w:rPr>
        <w:t>The articles of association of listed companies tend to include a provision which requires final dividends to be recommended by the directors and approved by shareholders in general meeting.</w:t>
      </w:r>
    </w:p>
    <w:p w14:paraId="034E9403" w14:textId="77777777" w:rsidR="00FD135E" w:rsidRPr="00FD135E" w:rsidRDefault="00FD135E" w:rsidP="00FD135E">
      <w:r w:rsidRPr="00FD135E">
        <w:rPr>
          <w:b/>
          <w:bCs/>
        </w:rPr>
        <w:t xml:space="preserve">AGMs: Appointment and re-appointment of directors </w:t>
      </w:r>
    </w:p>
    <w:p w14:paraId="181390AA" w14:textId="77777777" w:rsidR="00F42AB5" w:rsidRPr="00F42AB5" w:rsidRDefault="00F42AB5" w:rsidP="00F42AB5">
      <w:r w:rsidRPr="00F42AB5">
        <w:rPr>
          <w:lang w:val="en-US"/>
        </w:rPr>
        <w:t xml:space="preserve">Provision 18 of the UK Corporate Governance Code states that “…all directors should be subject to annual re-election”.  </w:t>
      </w:r>
    </w:p>
    <w:p w14:paraId="41A196DC" w14:textId="170F425A" w:rsidR="00F42AB5" w:rsidRPr="00F42AB5" w:rsidRDefault="00F42AB5" w:rsidP="00F42AB5">
      <w:r w:rsidRPr="00F42AB5">
        <w:rPr>
          <w:lang w:val="en-US"/>
        </w:rPr>
        <w:lastRenderedPageBreak/>
        <w:t xml:space="preserve">Compliance with the UK Corporate Governance Code is not mandatory - companies are free to explain rather than comply with Provision 18 under </w:t>
      </w:r>
      <w:r w:rsidR="000C7939">
        <w:rPr>
          <w:lang w:val="en-US"/>
        </w:rPr>
        <w:t>UK</w:t>
      </w:r>
      <w:r w:rsidRPr="00F42AB5">
        <w:rPr>
          <w:lang w:val="en-US"/>
        </w:rPr>
        <w:t xml:space="preserve">LR </w:t>
      </w:r>
      <w:r w:rsidR="000C7939">
        <w:rPr>
          <w:lang w:val="en-US"/>
        </w:rPr>
        <w:t>6</w:t>
      </w:r>
      <w:r w:rsidRPr="00F42AB5">
        <w:rPr>
          <w:lang w:val="en-US"/>
        </w:rPr>
        <w:t>.</w:t>
      </w:r>
      <w:r w:rsidR="008E3B69">
        <w:rPr>
          <w:lang w:val="en-US"/>
        </w:rPr>
        <w:t>6</w:t>
      </w:r>
      <w:r w:rsidRPr="00F42AB5">
        <w:rPr>
          <w:lang w:val="en-US"/>
        </w:rPr>
        <w:t xml:space="preserve">.6(5) and (6) if they believe their existing arrangements ensure proper accountability (although this is unusual).  </w:t>
      </w:r>
    </w:p>
    <w:p w14:paraId="41AC3EFD" w14:textId="77777777" w:rsidR="00DE429C" w:rsidRDefault="00F42AB5">
      <w:pPr>
        <w:rPr>
          <w:lang w:val="en-US"/>
        </w:rPr>
      </w:pPr>
      <w:r w:rsidRPr="00F42AB5">
        <w:rPr>
          <w:lang w:val="en-US"/>
        </w:rPr>
        <w:t>The notice of AGM must contain a separate resolution for each appointment/re-appointment of a director (s.160 CA 2006).  This allows shareholders to express their discontent directly by voting against the re-election of a director whose performance they consider to have been unsatisfactory.</w:t>
      </w:r>
    </w:p>
    <w:p w14:paraId="2F7D7316" w14:textId="77777777" w:rsidR="00DE429C" w:rsidRPr="00DE429C" w:rsidRDefault="00DE429C" w:rsidP="00DE429C">
      <w:r w:rsidRPr="00DE429C">
        <w:rPr>
          <w:b/>
          <w:bCs/>
        </w:rPr>
        <w:t xml:space="preserve">AGMs: Re-appointment of auditors and authority to determine remuneration </w:t>
      </w:r>
    </w:p>
    <w:p w14:paraId="38B6F9BA" w14:textId="77777777" w:rsidR="00DE429C" w:rsidRPr="00DE429C" w:rsidRDefault="00DE429C" w:rsidP="00DE429C">
      <w:r w:rsidRPr="00DE429C">
        <w:rPr>
          <w:lang w:val="en-US"/>
        </w:rPr>
        <w:t xml:space="preserve">An auditor of a public company must be appointed for each financial year of the company (s.489(1) CA 2006). </w:t>
      </w:r>
    </w:p>
    <w:p w14:paraId="5E972ABC" w14:textId="77777777" w:rsidR="00DE429C" w:rsidRPr="00DE429C" w:rsidRDefault="00DE429C" w:rsidP="00DE429C">
      <w:r w:rsidRPr="00DE429C">
        <w:rPr>
          <w:lang w:val="en-US"/>
        </w:rPr>
        <w:t>The members must appoint an auditor by ordinary resolution before the end of the accounts meeting of the company at which the company’s annual accounts and reports for the previous financial year are laid (usually the AGM); see s.489(4)(a) CA 2006.</w:t>
      </w:r>
    </w:p>
    <w:p w14:paraId="6406C404" w14:textId="5F24CB61" w:rsidR="00D30C59" w:rsidRPr="00D30C59" w:rsidRDefault="00D30C59" w:rsidP="00D30C59">
      <w:r w:rsidRPr="00D30C59">
        <w:rPr>
          <w:b/>
          <w:bCs/>
        </w:rPr>
        <w:t xml:space="preserve">AGMs: Directors’ authority to allot shares (s.551 CA 2006) </w:t>
      </w:r>
    </w:p>
    <w:p w14:paraId="6777E623" w14:textId="77777777" w:rsidR="00D30C59" w:rsidRPr="00D30C59" w:rsidRDefault="00D30C59" w:rsidP="00D30C59">
      <w:r w:rsidRPr="00D30C59">
        <w:rPr>
          <w:lang w:val="en-US"/>
        </w:rPr>
        <w:t xml:space="preserve">It is usual for a company to obtain authority to allot share capital from its shareholders at its AGM. This provides the company with flexibility over allotments in the following year and avoids the need for (and expense of) calling a subsequent general meeting. </w:t>
      </w:r>
    </w:p>
    <w:p w14:paraId="7DC4CD83" w14:textId="77777777" w:rsidR="00D30C59" w:rsidRPr="00D30C59" w:rsidRDefault="00D30C59" w:rsidP="00D30C59">
      <w:r w:rsidRPr="00D30C59">
        <w:rPr>
          <w:lang w:val="en-US"/>
        </w:rPr>
        <w:t xml:space="preserve">An ordinary resolution is required under s. 551 CA 2006.  </w:t>
      </w:r>
    </w:p>
    <w:p w14:paraId="02B0B8B5" w14:textId="58E21B64" w:rsidR="006227CB" w:rsidRPr="000B6397" w:rsidRDefault="006227CB" w:rsidP="006227CB">
      <w:pPr>
        <w:rPr>
          <w:lang w:val="en-US"/>
        </w:rPr>
      </w:pPr>
      <w:r w:rsidRPr="006227CB">
        <w:rPr>
          <w:lang w:val="en-US"/>
        </w:rPr>
        <w:t>The ability to obtain approval for such a resolution will depend on whether the resolution complies with the Investment Association Share Capital Management Guidelines ('IA Guidelines') - see box. ​</w:t>
      </w:r>
    </w:p>
    <w:p w14:paraId="03DAE772" w14:textId="50AABA70" w:rsidR="00FB270F" w:rsidRDefault="006227CB" w:rsidP="006227CB">
      <w:pPr>
        <w:rPr>
          <w:lang w:val="en-US"/>
        </w:rPr>
      </w:pPr>
      <w:r w:rsidRPr="000B6397">
        <w:rPr>
          <w:lang w:val="en-US"/>
        </w:rPr>
        <w:t xml:space="preserve">Most listed companies choose to comply with the IA Guidelines on authority to allot. </w:t>
      </w:r>
      <w:r w:rsidR="00FB270F" w:rsidRPr="000B6397">
        <w:rPr>
          <w:lang w:val="en-US"/>
        </w:rPr>
        <w:t>IA Guidelines - Authority to allot</w:t>
      </w:r>
    </w:p>
    <w:p w14:paraId="7C7020E2" w14:textId="77777777" w:rsidR="00B35F51" w:rsidRPr="00B35F51" w:rsidRDefault="00B35F51" w:rsidP="00B35F51">
      <w:pPr>
        <w:rPr>
          <w:b/>
          <w:bCs/>
          <w:lang w:val="en-US"/>
        </w:rPr>
      </w:pPr>
      <w:r w:rsidRPr="00B35F51">
        <w:rPr>
          <w:b/>
          <w:bCs/>
          <w:lang w:val="en-US"/>
        </w:rPr>
        <w:t>Investment Association ​</w:t>
      </w:r>
    </w:p>
    <w:p w14:paraId="4AA8547F" w14:textId="77777777" w:rsidR="00B35F51" w:rsidRPr="00B35F51" w:rsidRDefault="00B35F51" w:rsidP="00B35F51">
      <w:pPr>
        <w:rPr>
          <w:b/>
          <w:bCs/>
          <w:lang w:val="en-US"/>
        </w:rPr>
      </w:pPr>
      <w:r w:rsidRPr="00B35F51">
        <w:rPr>
          <w:b/>
          <w:bCs/>
          <w:lang w:val="en-US"/>
        </w:rPr>
        <w:t>Share Capital Management Guidelines 2023 ​</w:t>
      </w:r>
    </w:p>
    <w:p w14:paraId="2E58C50C" w14:textId="717F0D60" w:rsidR="00B35F51" w:rsidRPr="00B35F51" w:rsidRDefault="00B35F51" w:rsidP="00B35F51">
      <w:pPr>
        <w:rPr>
          <w:b/>
          <w:bCs/>
          <w:lang w:val="en-US"/>
        </w:rPr>
      </w:pPr>
      <w:r w:rsidRPr="00B35F51">
        <w:rPr>
          <w:b/>
          <w:bCs/>
          <w:lang w:val="en-US"/>
        </w:rPr>
        <w:t>Authority to allot​</w:t>
      </w:r>
    </w:p>
    <w:p w14:paraId="1FFB096E" w14:textId="77777777" w:rsidR="00B35F51" w:rsidRDefault="00B35F51" w:rsidP="00B35F51">
      <w:pPr>
        <w:rPr>
          <w:lang w:val="en-US"/>
        </w:rPr>
      </w:pPr>
      <w:r w:rsidRPr="00B35F51">
        <w:rPr>
          <w:lang w:val="en-US"/>
        </w:rPr>
        <w:t xml:space="preserve">The IA Guidelines state that Investment Association members will regard as routine an authority to allot up to two-thirds of the existing issued share capital. Any amount </w:t>
      </w:r>
      <w:proofErr w:type="gramStart"/>
      <w:r w:rsidRPr="00B35F51">
        <w:rPr>
          <w:lang w:val="en-US"/>
        </w:rPr>
        <w:t>in excess of</w:t>
      </w:r>
      <w:proofErr w:type="gramEnd"/>
      <w:r w:rsidRPr="00B35F51">
        <w:rPr>
          <w:lang w:val="en-US"/>
        </w:rPr>
        <w:t xml:space="preserve"> one-third of existing issued shares should be applied to fully pre-emptive offers only.​</w:t>
      </w:r>
    </w:p>
    <w:p w14:paraId="7536BE6A" w14:textId="77777777" w:rsidR="00B35F51" w:rsidRDefault="00B35F51" w:rsidP="00B35F51">
      <w:pPr>
        <w:rPr>
          <w:lang w:val="en-US"/>
        </w:rPr>
      </w:pPr>
    </w:p>
    <w:p w14:paraId="69CDDC1B" w14:textId="7CA586F1" w:rsidR="00FB270F" w:rsidRPr="00FB270F" w:rsidRDefault="00FB270F" w:rsidP="00B35F51">
      <w:r w:rsidRPr="00FB270F">
        <w:rPr>
          <w:b/>
          <w:bCs/>
        </w:rPr>
        <w:t xml:space="preserve">AGMs: Disapplying pre-emption rights (ss.570 CA 2006) </w:t>
      </w:r>
    </w:p>
    <w:p w14:paraId="5E570194" w14:textId="77777777" w:rsidR="005B0EBF" w:rsidRPr="005B0EBF" w:rsidRDefault="005B0EBF" w:rsidP="005B0EBF">
      <w:r w:rsidRPr="005B0EBF">
        <w:rPr>
          <w:lang w:val="en-US"/>
        </w:rPr>
        <w:t xml:space="preserve">Disapplication resolutions are used to disapply the statutory pre-emption rights which would otherwise apply in the context of the allotment of equity securities for cash under s. 561 CA 2006.  Any such resolution must be passed as a </w:t>
      </w:r>
      <w:r w:rsidRPr="005B0EBF">
        <w:rPr>
          <w:b/>
          <w:bCs/>
          <w:lang w:val="en-US"/>
        </w:rPr>
        <w:t xml:space="preserve">special resolution </w:t>
      </w:r>
      <w:r w:rsidRPr="005B0EBF">
        <w:rPr>
          <w:lang w:val="en-US"/>
        </w:rPr>
        <w:t xml:space="preserve">and must be expressed to be dependent on the related s.551 resolution being passed. </w:t>
      </w:r>
    </w:p>
    <w:p w14:paraId="40956767" w14:textId="77777777" w:rsidR="00120334" w:rsidRPr="00120334" w:rsidRDefault="00120334" w:rsidP="00120334">
      <w:pPr>
        <w:rPr>
          <w:lang w:val="en-US"/>
        </w:rPr>
      </w:pPr>
      <w:r w:rsidRPr="00120334">
        <w:rPr>
          <w:lang w:val="en-US"/>
        </w:rPr>
        <w:t>The resolution will also be limited in duration and cannot, in any event, endure for longer than the resolution relating to authority to allot.​</w:t>
      </w:r>
    </w:p>
    <w:p w14:paraId="1124B2D1" w14:textId="50DEFC76" w:rsidR="00120334" w:rsidRPr="00120334" w:rsidRDefault="00120334" w:rsidP="00120334">
      <w:pPr>
        <w:rPr>
          <w:lang w:val="en-US"/>
        </w:rPr>
      </w:pPr>
      <w:r w:rsidRPr="00120334">
        <w:rPr>
          <w:lang w:val="en-US"/>
        </w:rPr>
        <w:t>The Pre-Emption Group ('</w:t>
      </w:r>
      <w:r w:rsidRPr="00811C91">
        <w:rPr>
          <w:b/>
          <w:bCs/>
          <w:lang w:val="en-US"/>
        </w:rPr>
        <w:t>PEG'</w:t>
      </w:r>
      <w:r w:rsidRPr="00120334">
        <w:rPr>
          <w:lang w:val="en-US"/>
        </w:rPr>
        <w:t xml:space="preserve">) publishes guidance on the disapplication of pre-emption rights (issuing equity securities for cash on a non-pre-emptive basis, </w:t>
      </w:r>
      <w:r w:rsidR="00391E29" w:rsidRPr="00120334">
        <w:rPr>
          <w:lang w:val="en-US"/>
        </w:rPr>
        <w:t>i.e.</w:t>
      </w:r>
      <w:r w:rsidRPr="00120334">
        <w:rPr>
          <w:lang w:val="en-US"/>
        </w:rPr>
        <w:t xml:space="preserve"> without offering them first pro rata to existing shareholders) and it also monitors and reports on how this guidance is applied. The </w:t>
      </w:r>
      <w:r w:rsidRPr="00120334">
        <w:rPr>
          <w:lang w:val="en-US"/>
        </w:rPr>
        <w:lastRenderedPageBreak/>
        <w:t>PEG Statement of Principles 2022 ('PEG Guidelines') have an important impact on any such proposed resolution. Although compliance with the PEG Guidelines is voluntary, listed companies are unlikely to deviate from it without good reason (and prior shareholder consultation).  ​</w:t>
      </w:r>
    </w:p>
    <w:p w14:paraId="6779A70C" w14:textId="77777777" w:rsidR="00120334" w:rsidRDefault="00120334" w:rsidP="00120334">
      <w:pPr>
        <w:rPr>
          <w:lang w:val="en-US"/>
        </w:rPr>
      </w:pPr>
      <w:r w:rsidRPr="00120334">
        <w:rPr>
          <w:lang w:val="en-US"/>
        </w:rPr>
        <w:t>The IA Guidelines state that the terms of a special resolution to disapply pre-emption rights should comply with the current PEG Guidelines.</w:t>
      </w:r>
    </w:p>
    <w:p w14:paraId="5D379DAB" w14:textId="77777777" w:rsidR="00811C91" w:rsidRDefault="00811C91" w:rsidP="00120334">
      <w:pPr>
        <w:rPr>
          <w:lang w:val="en-US"/>
        </w:rPr>
      </w:pPr>
    </w:p>
    <w:p w14:paraId="79E00705" w14:textId="0D649A21" w:rsidR="00B9613C" w:rsidRPr="00B9613C" w:rsidRDefault="00B9613C" w:rsidP="00120334">
      <w:r w:rsidRPr="00B9613C">
        <w:rPr>
          <w:b/>
          <w:bCs/>
          <w:lang w:val="en-US"/>
        </w:rPr>
        <w:t>PEG Statement of Principles – disapplication of pre-emption rights</w:t>
      </w:r>
    </w:p>
    <w:p w14:paraId="227A35F7" w14:textId="77777777" w:rsidR="00B9613C" w:rsidRPr="00B9613C" w:rsidRDefault="00B9613C" w:rsidP="00B9613C">
      <w:r w:rsidRPr="00B9613C">
        <w:rPr>
          <w:lang w:val="en-US"/>
        </w:rPr>
        <w:t>The PEG Statement of Principles splits the disapplication authority which a listed company may acceptably seek into two parts (Part 2A, paragraph 3 of the PEG Statement of Principles):</w:t>
      </w:r>
    </w:p>
    <w:p w14:paraId="457514FB" w14:textId="77777777" w:rsidR="00B9613C" w:rsidRPr="00B9613C" w:rsidRDefault="00B9613C" w:rsidP="00B9613C">
      <w:pPr>
        <w:numPr>
          <w:ilvl w:val="0"/>
          <w:numId w:val="5"/>
        </w:numPr>
      </w:pPr>
      <w:r w:rsidRPr="00B9613C">
        <w:rPr>
          <w:lang w:val="en-US"/>
        </w:rPr>
        <w:t>First: the company may seek a general disapplication of pre-emption rights at its AGM over up to 10% of its issued share capital.  This disapplication may be applied to any purpose.</w:t>
      </w:r>
    </w:p>
    <w:p w14:paraId="37B2A944" w14:textId="77777777" w:rsidR="00B9613C" w:rsidRPr="00B9613C" w:rsidRDefault="00B9613C" w:rsidP="00B9613C">
      <w:pPr>
        <w:numPr>
          <w:ilvl w:val="0"/>
          <w:numId w:val="5"/>
        </w:numPr>
      </w:pPr>
      <w:r w:rsidRPr="00B9613C">
        <w:rPr>
          <w:lang w:val="en-US"/>
        </w:rPr>
        <w:t xml:space="preserve">Second (and in a separate resolution): the company may seek disapplication over up to a further 10% of its issued share capital but this second tranche of authority may only be used to fund an acquisition or specified capital investment (as defined).  </w:t>
      </w:r>
    </w:p>
    <w:p w14:paraId="5C146580" w14:textId="77777777" w:rsidR="00B9613C" w:rsidRPr="00B9613C" w:rsidRDefault="00B9613C" w:rsidP="00B9613C">
      <w:r w:rsidRPr="00B9613C">
        <w:rPr>
          <w:lang w:val="en-US"/>
        </w:rPr>
        <w:t>In the case of each tranche of authority, the company may seek a further authority of no more than 2% to be used only to make a follow-on offer.  This follow-on offer would be made to retail investors and/or existing shareholders and would take place after a placing.</w:t>
      </w:r>
    </w:p>
    <w:p w14:paraId="43E0F71E" w14:textId="77777777" w:rsidR="00C55449" w:rsidRPr="00C55449" w:rsidRDefault="00C55449" w:rsidP="00C55449">
      <w:r w:rsidRPr="00C55449">
        <w:rPr>
          <w:lang w:val="en-US"/>
        </w:rPr>
        <w:t>PEG has issued a standard “template” resolutions for companies to adopt if they intend to seek the additional disapplication of pre-emption rights.</w:t>
      </w:r>
    </w:p>
    <w:p w14:paraId="28751E9B" w14:textId="77777777" w:rsidR="00C55449" w:rsidRPr="00C55449" w:rsidRDefault="00C55449" w:rsidP="00C55449">
      <w:r w:rsidRPr="00C55449">
        <w:rPr>
          <w:lang w:val="en-US"/>
        </w:rPr>
        <w:t>The template resolutions are available on the FRC website.  This is a link:</w:t>
      </w:r>
    </w:p>
    <w:p w14:paraId="3023D895" w14:textId="77777777" w:rsidR="00C55449" w:rsidRPr="00C55449" w:rsidRDefault="00CF670B" w:rsidP="00C55449">
      <w:hyperlink r:id="rId9" w:history="1">
        <w:r w:rsidR="00C55449" w:rsidRPr="00C55449">
          <w:rPr>
            <w:rStyle w:val="Hyperlink"/>
            <w:lang w:val="en-US"/>
          </w:rPr>
          <w:t>https://www.frc.org.uk/getattachment/e3b27fda-18c5-4a02-903f-f9267a209684/PEG_Template-resolutions.pdf</w:t>
        </w:r>
      </w:hyperlink>
      <w:r w:rsidR="00C55449" w:rsidRPr="00C55449">
        <w:rPr>
          <w:lang w:val="en-US"/>
        </w:rPr>
        <w:t xml:space="preserve">   </w:t>
      </w:r>
    </w:p>
    <w:p w14:paraId="2B5DCBEE" w14:textId="77777777" w:rsidR="008600EA" w:rsidRDefault="00C55449" w:rsidP="00C55449">
      <w:r w:rsidRPr="00C55449">
        <w:rPr>
          <w:lang w:val="en-US"/>
        </w:rPr>
        <w:t xml:space="preserve">Companies generally choose to adopt the wording of the template resolutions </w:t>
      </w:r>
      <w:proofErr w:type="gramStart"/>
      <w:r w:rsidRPr="00C55449">
        <w:rPr>
          <w:lang w:val="en-US"/>
        </w:rPr>
        <w:t>in order to</w:t>
      </w:r>
      <w:proofErr w:type="gramEnd"/>
      <w:r w:rsidRPr="00C55449">
        <w:rPr>
          <w:lang w:val="en-US"/>
        </w:rPr>
        <w:t xml:space="preserve"> maximise the chance that their disapplication resolutions will be passed.</w:t>
      </w:r>
    </w:p>
    <w:p w14:paraId="6604FEE8" w14:textId="4865336A" w:rsidR="00C55449" w:rsidRPr="00C55449" w:rsidRDefault="00C55449" w:rsidP="00C55449">
      <w:r w:rsidRPr="00C55449">
        <w:rPr>
          <w:lang w:val="en-US"/>
        </w:rPr>
        <w:t xml:space="preserve">The concept of “acquisition or specified capital investment” is defined in the Appendix to the PEG Statement of Principles.  It was introduced </w:t>
      </w:r>
      <w:proofErr w:type="gramStart"/>
      <w:r w:rsidRPr="00C55449">
        <w:rPr>
          <w:lang w:val="en-US"/>
        </w:rPr>
        <w:t>in order to</w:t>
      </w:r>
      <w:proofErr w:type="gramEnd"/>
      <w:r w:rsidRPr="00C55449">
        <w:rPr>
          <w:lang w:val="en-US"/>
        </w:rPr>
        <w:t xml:space="preserve"> allow companies the opportunity to finance expansion opportunities using equity finance without having to seek additional shareholder approval.</w:t>
      </w:r>
    </w:p>
    <w:p w14:paraId="68B4016A" w14:textId="77777777" w:rsidR="00C55449" w:rsidRPr="00C55449" w:rsidRDefault="00C55449" w:rsidP="00C55449">
      <w:r w:rsidRPr="00C55449">
        <w:rPr>
          <w:lang w:val="en-US"/>
        </w:rPr>
        <w:t xml:space="preserve">The 10% general authority to disapply pre-emption rights may be used for any purpose so a company may, in practice, choose to use its full 20% disapplication of pre-emption rights to carry out one or more placing(s) to finance one or more acquisition(s) or specified capital investment(s) during the year. </w:t>
      </w:r>
    </w:p>
    <w:p w14:paraId="178E1D1A" w14:textId="77777777" w:rsidR="00084C51" w:rsidRDefault="00084C51" w:rsidP="00B54D33">
      <w:pPr>
        <w:rPr>
          <w:lang w:val="en-US"/>
        </w:rPr>
      </w:pPr>
      <w:r w:rsidRPr="00084C51">
        <w:rPr>
          <w:lang w:val="en-US"/>
        </w:rPr>
        <w:t xml:space="preserve">A company which needs to raise larger amounts of money more frequently known as ‘capital hungry companies’ (Part 2A paragraph 4, PEG Guidelines) may seek additional disapplication authority if it specifically highlights its reason for exceeding the amounts set out above at the time it requests its general disapplication.  </w:t>
      </w:r>
    </w:p>
    <w:p w14:paraId="76D3093A" w14:textId="77777777" w:rsidR="00084C51" w:rsidRDefault="00084C51" w:rsidP="00B54D33">
      <w:pPr>
        <w:rPr>
          <w:lang w:val="en-US"/>
        </w:rPr>
      </w:pPr>
    </w:p>
    <w:p w14:paraId="655EFFD0" w14:textId="41FF364D" w:rsidR="00B54D33" w:rsidRPr="00B54D33" w:rsidRDefault="00B54D33" w:rsidP="00B54D33">
      <w:r w:rsidRPr="00B54D33">
        <w:rPr>
          <w:lang w:val="en-US"/>
        </w:rPr>
        <w:lastRenderedPageBreak/>
        <w:t>Under Part 2B paragraph 1 of the PEG Statement of Principles, a company which issues equity securities non-pre-emptively for cash pursuant to a general disapplication of pre-emption rights should undertake steps including:</w:t>
      </w:r>
    </w:p>
    <w:p w14:paraId="079EE948" w14:textId="77777777" w:rsidR="004B7606" w:rsidRPr="004B7606" w:rsidRDefault="004B7606" w:rsidP="004B7606">
      <w:pPr>
        <w:pStyle w:val="ListParagraph"/>
        <w:numPr>
          <w:ilvl w:val="0"/>
          <w:numId w:val="15"/>
        </w:numPr>
        <w:rPr>
          <w:lang w:val="en-US"/>
        </w:rPr>
      </w:pPr>
      <w:r w:rsidRPr="004B7606">
        <w:rPr>
          <w:lang w:val="en-US"/>
        </w:rPr>
        <w:t>consulting with its major shareholders prior to the announcement of the issue (where permitted);</w:t>
      </w:r>
    </w:p>
    <w:p w14:paraId="766825A0" w14:textId="77777777" w:rsidR="004B7606" w:rsidRPr="004B7606" w:rsidRDefault="004B7606" w:rsidP="004B7606">
      <w:pPr>
        <w:pStyle w:val="ListParagraph"/>
        <w:numPr>
          <w:ilvl w:val="0"/>
          <w:numId w:val="15"/>
        </w:numPr>
        <w:rPr>
          <w:lang w:val="en-US"/>
        </w:rPr>
      </w:pPr>
      <w:r w:rsidRPr="004B7606">
        <w:rPr>
          <w:lang w:val="en-US"/>
        </w:rPr>
        <w:t xml:space="preserve">give due consideration to the involvement, in the placing and / or in a follow-on issue of retail investors and existing investors not allocated shares as part of the soft pre-emptive </w:t>
      </w:r>
      <w:proofErr w:type="gramStart"/>
      <w:r w:rsidRPr="004B7606">
        <w:rPr>
          <w:lang w:val="en-US"/>
        </w:rPr>
        <w:t>process;</w:t>
      </w:r>
      <w:proofErr w:type="gramEnd"/>
    </w:p>
    <w:p w14:paraId="14786D5A" w14:textId="77777777" w:rsidR="004B7606" w:rsidRPr="004B7606" w:rsidRDefault="004B7606" w:rsidP="004B7606">
      <w:pPr>
        <w:pStyle w:val="ListParagraph"/>
        <w:numPr>
          <w:ilvl w:val="0"/>
          <w:numId w:val="15"/>
        </w:numPr>
        <w:rPr>
          <w:lang w:val="en-US"/>
        </w:rPr>
      </w:pPr>
      <w:r w:rsidRPr="004B7606">
        <w:rPr>
          <w:lang w:val="en-US"/>
        </w:rPr>
        <w:t>providing an explanation for the background to and reasons for the offer and the proposed use of proceeds, including details of any acquisition or specified capital investment;</w:t>
      </w:r>
    </w:p>
    <w:p w14:paraId="6B07E3D8" w14:textId="77777777" w:rsidR="004B7606" w:rsidRPr="004B7606" w:rsidRDefault="004B7606" w:rsidP="004B7606">
      <w:pPr>
        <w:pStyle w:val="ListParagraph"/>
        <w:numPr>
          <w:ilvl w:val="0"/>
          <w:numId w:val="15"/>
        </w:numPr>
        <w:rPr>
          <w:lang w:val="en-US"/>
        </w:rPr>
      </w:pPr>
      <w:r w:rsidRPr="004B7606">
        <w:rPr>
          <w:lang w:val="en-US"/>
        </w:rPr>
        <w:t>as far as practicable, making the issue on a soft pre-emptive basis;</w:t>
      </w:r>
    </w:p>
    <w:p w14:paraId="28BCC09E" w14:textId="77777777" w:rsidR="004B7606" w:rsidRPr="004B7606" w:rsidRDefault="004B7606" w:rsidP="004B7606">
      <w:pPr>
        <w:pStyle w:val="ListParagraph"/>
        <w:numPr>
          <w:ilvl w:val="0"/>
          <w:numId w:val="15"/>
        </w:numPr>
        <w:rPr>
          <w:lang w:val="en-US"/>
        </w:rPr>
      </w:pPr>
      <w:r w:rsidRPr="004B7606">
        <w:rPr>
          <w:lang w:val="en-US"/>
        </w:rPr>
        <w:t>involving company management in the allocation of the shares; and</w:t>
      </w:r>
    </w:p>
    <w:p w14:paraId="6C363DA5" w14:textId="77777777" w:rsidR="004B7606" w:rsidRDefault="004B7606" w:rsidP="004B7606">
      <w:pPr>
        <w:pStyle w:val="ListParagraph"/>
        <w:numPr>
          <w:ilvl w:val="0"/>
          <w:numId w:val="15"/>
        </w:numPr>
        <w:rPr>
          <w:lang w:val="en-US"/>
        </w:rPr>
      </w:pPr>
      <w:r w:rsidRPr="004B7606">
        <w:rPr>
          <w:lang w:val="en-US"/>
        </w:rPr>
        <w:t xml:space="preserve">after completion of the issue, making a post-transaction report within one week which includes details of the transaction, the use and quantum of the proceeds, share allocations (including to retail investors) and consultations with shareholders. </w:t>
      </w:r>
    </w:p>
    <w:p w14:paraId="6F181545" w14:textId="77777777" w:rsidR="004B7606" w:rsidRPr="004B7606" w:rsidRDefault="004B7606" w:rsidP="00B4593B">
      <w:pPr>
        <w:pStyle w:val="ListParagraph"/>
        <w:rPr>
          <w:lang w:val="en-US"/>
        </w:rPr>
      </w:pPr>
    </w:p>
    <w:p w14:paraId="6BB00889" w14:textId="193C9FD3" w:rsidR="001E6794" w:rsidRDefault="001E6794" w:rsidP="001E6794">
      <w:pPr>
        <w:rPr>
          <w:b/>
          <w:bCs/>
        </w:rPr>
      </w:pPr>
      <w:r w:rsidRPr="001E6794">
        <w:rPr>
          <w:b/>
          <w:bCs/>
        </w:rPr>
        <w:t>AGMs: Authority to allot and disapplication of pre-emption rights – expiry of authority</w:t>
      </w:r>
    </w:p>
    <w:p w14:paraId="17DB8DDE" w14:textId="77777777" w:rsidR="001E6794" w:rsidRPr="001E6794" w:rsidRDefault="001E6794" w:rsidP="001E6794">
      <w:r w:rsidRPr="001E6794">
        <w:rPr>
          <w:lang w:val="en-US"/>
        </w:rPr>
        <w:t>Under the IA Guidelines, an authority to allot resolution should last for a period until the next AGM.  However, the PEG Guidelines refer to a disapplication lasting no more than 15 months or until the date of the next AGM, whichever is the shorter period.</w:t>
      </w:r>
    </w:p>
    <w:p w14:paraId="4CB595F1" w14:textId="77777777" w:rsidR="00B4593B" w:rsidRDefault="001E6794" w:rsidP="00790156">
      <w:r w:rsidRPr="001E6794">
        <w:rPr>
          <w:lang w:val="en-US"/>
        </w:rPr>
        <w:t>Given the close interrelationship between the two resolutions, market practice dictates that both should expire at the same time.  As such, it is accepted practice for the authority to allot and the disapplication resolutions both to adopt the PEG Guidelines timeframe i.e. each resolution will expire on the earlier of the next AGM and 15 months from the date of the AGM.</w:t>
      </w:r>
    </w:p>
    <w:p w14:paraId="3353BAD3" w14:textId="77777777" w:rsidR="00B4593B" w:rsidRDefault="00B4593B" w:rsidP="00790156"/>
    <w:p w14:paraId="6A4D4312" w14:textId="6D460C53" w:rsidR="00790156" w:rsidRPr="00790156" w:rsidRDefault="00790156" w:rsidP="00790156">
      <w:r w:rsidRPr="00790156">
        <w:rPr>
          <w:b/>
          <w:bCs/>
        </w:rPr>
        <w:t xml:space="preserve">AGMs: Market purchase of own shares (s.701 CA 2006) </w:t>
      </w:r>
    </w:p>
    <w:p w14:paraId="1BB82938" w14:textId="77777777" w:rsidR="00790156" w:rsidRPr="00790156" w:rsidRDefault="00790156" w:rsidP="00790156">
      <w:r w:rsidRPr="00790156">
        <w:rPr>
          <w:lang w:val="en-US"/>
        </w:rPr>
        <w:t xml:space="preserve">Although s. 701 CA 2006 only requires a company to pass an ordinary resolution to authorise a purchase of its own shares, the IA Guidelines state that a listed company should in fact: </w:t>
      </w:r>
    </w:p>
    <w:p w14:paraId="031201EB" w14:textId="77777777" w:rsidR="00790156" w:rsidRPr="00790156" w:rsidRDefault="00790156" w:rsidP="00790156">
      <w:pPr>
        <w:numPr>
          <w:ilvl w:val="0"/>
          <w:numId w:val="7"/>
        </w:numPr>
      </w:pPr>
      <w:r w:rsidRPr="00790156">
        <w:rPr>
          <w:lang w:val="en-US"/>
        </w:rPr>
        <w:t xml:space="preserve">seek this authority by </w:t>
      </w:r>
      <w:r w:rsidRPr="00790156">
        <w:rPr>
          <w:b/>
          <w:bCs/>
          <w:lang w:val="en-US"/>
        </w:rPr>
        <w:t>special resolution</w:t>
      </w:r>
      <w:r w:rsidRPr="00790156">
        <w:rPr>
          <w:lang w:val="en-US"/>
        </w:rPr>
        <w:t xml:space="preserve">; and </w:t>
      </w:r>
    </w:p>
    <w:p w14:paraId="64E04D2A" w14:textId="77777777" w:rsidR="00790156" w:rsidRPr="00790156" w:rsidRDefault="00790156" w:rsidP="00790156">
      <w:pPr>
        <w:numPr>
          <w:ilvl w:val="0"/>
          <w:numId w:val="7"/>
        </w:numPr>
      </w:pPr>
      <w:r w:rsidRPr="00790156">
        <w:rPr>
          <w:lang w:val="en-US"/>
        </w:rPr>
        <w:t xml:space="preserve">renew the authority </w:t>
      </w:r>
      <w:r w:rsidRPr="00790156">
        <w:rPr>
          <w:b/>
          <w:bCs/>
          <w:lang w:val="en-US"/>
        </w:rPr>
        <w:t>annually</w:t>
      </w:r>
      <w:r w:rsidRPr="00790156">
        <w:rPr>
          <w:lang w:val="en-US"/>
        </w:rPr>
        <w:t>.</w:t>
      </w:r>
    </w:p>
    <w:p w14:paraId="0BFD3854" w14:textId="77777777" w:rsidR="00790156" w:rsidRPr="00790156" w:rsidRDefault="00790156" w:rsidP="00790156">
      <w:r w:rsidRPr="00790156">
        <w:rPr>
          <w:lang w:val="en-US"/>
        </w:rPr>
        <w:t xml:space="preserve">According to the IA Guidelines, shareholders expect that a general authority for a company to purchase its own shares will be exercised only if it is in the best interests of shareholders generally and, normally, only if it would result in an increase in earnings per share.  </w:t>
      </w:r>
    </w:p>
    <w:p w14:paraId="60361FE6" w14:textId="77777777" w:rsidR="00314BFE" w:rsidRDefault="00790156" w:rsidP="00643638">
      <w:r w:rsidRPr="00790156">
        <w:rPr>
          <w:lang w:val="en-US"/>
        </w:rPr>
        <w:t>Where this outcome is not expected, the company should explain the benefits of the own share purchase clearly.  Companies are required to disclose in their next annual report the justification for any own share purchases made in the previous year.</w:t>
      </w:r>
    </w:p>
    <w:p w14:paraId="3993CCE5" w14:textId="4338B14E" w:rsidR="006B0BFA" w:rsidRPr="006B0BFA" w:rsidRDefault="006B0BFA" w:rsidP="006B0BFA">
      <w:pPr>
        <w:rPr>
          <w:lang w:val="en-US"/>
        </w:rPr>
      </w:pPr>
      <w:r w:rsidRPr="006B0BFA">
        <w:rPr>
          <w:lang w:val="en-US"/>
        </w:rPr>
        <w:t>The IA Guidelines suggest a general authority to purchase up to 10% of the existing ordinary issued share capital is unlikely to cause concern:​</w:t>
      </w:r>
    </w:p>
    <w:p w14:paraId="2E8E6875" w14:textId="745A03EB" w:rsidR="006B0BFA" w:rsidRPr="006B0BFA" w:rsidRDefault="006B0BFA" w:rsidP="006B0BFA">
      <w:pPr>
        <w:rPr>
          <w:lang w:val="en-US"/>
        </w:rPr>
      </w:pPr>
      <w:r w:rsidRPr="006B0BFA">
        <w:rPr>
          <w:lang w:val="en-US"/>
        </w:rPr>
        <w:t xml:space="preserve">"A general authority to purchase up to 10% of the existing issued Ordinary share capital is unlikely to cause concern. The Institutional Voting Information Service (IVIS) will note a general authority to </w:t>
      </w:r>
      <w:r w:rsidRPr="006B0BFA">
        <w:rPr>
          <w:lang w:val="en-US"/>
        </w:rPr>
        <w:lastRenderedPageBreak/>
        <w:t xml:space="preserve">purchase more than 10% (but less than 15%) of the existing issued ordinary share capital. A repurchase of more than 15% is not permitted under the </w:t>
      </w:r>
      <w:r w:rsidR="00C6698D">
        <w:rPr>
          <w:lang w:val="en-US"/>
        </w:rPr>
        <w:t xml:space="preserve">UK </w:t>
      </w:r>
      <w:r w:rsidRPr="006B0BFA">
        <w:rPr>
          <w:lang w:val="en-US"/>
        </w:rPr>
        <w:t>Listing Rules, unless carried out by a tender offer". (Paragraph 3.2, IA Guidelines)​</w:t>
      </w:r>
    </w:p>
    <w:p w14:paraId="33C49176" w14:textId="3D101402" w:rsidR="006B0BFA" w:rsidRDefault="006B0BFA" w:rsidP="001619FD">
      <w:pPr>
        <w:rPr>
          <w:lang w:val="en-US"/>
        </w:rPr>
      </w:pPr>
      <w:r w:rsidRPr="006B0BFA">
        <w:rPr>
          <w:lang w:val="en-US"/>
        </w:rPr>
        <w:t>In practice, some companies seek buyback authorities for up to 14.99% of issued share capital but there is less certainty over whether the resolution will be passed if the company seeks a buyback authority which exceeds 10%.</w:t>
      </w:r>
    </w:p>
    <w:p w14:paraId="3B110A40" w14:textId="5F6B8EF2" w:rsidR="001619FD" w:rsidRPr="001619FD" w:rsidRDefault="00823E00" w:rsidP="001619FD">
      <w:r>
        <w:rPr>
          <w:b/>
          <w:bCs/>
          <w:lang w:val="en-US"/>
        </w:rPr>
        <w:t xml:space="preserve">Institutional </w:t>
      </w:r>
      <w:r w:rsidR="001619FD" w:rsidRPr="001619FD">
        <w:rPr>
          <w:b/>
          <w:bCs/>
        </w:rPr>
        <w:t>investor guidelines: a note about treasury shares</w:t>
      </w:r>
    </w:p>
    <w:p w14:paraId="0C46C80E" w14:textId="77777777" w:rsidR="001619FD" w:rsidRPr="001619FD" w:rsidRDefault="001619FD" w:rsidP="001619FD">
      <w:r w:rsidRPr="001619FD">
        <w:rPr>
          <w:lang w:val="en-US"/>
        </w:rPr>
        <w:t xml:space="preserve">The PEG Statement of Principles and the IA Guidelines both </w:t>
      </w:r>
      <w:proofErr w:type="gramStart"/>
      <w:r w:rsidRPr="001619FD">
        <w:rPr>
          <w:lang w:val="en-US"/>
        </w:rPr>
        <w:t>make reference</w:t>
      </w:r>
      <w:proofErr w:type="gramEnd"/>
      <w:r w:rsidRPr="001619FD">
        <w:rPr>
          <w:lang w:val="en-US"/>
        </w:rPr>
        <w:t xml:space="preserve"> to shares which are held in treasury.  This concept is also referred to extensively in the PEG template disapplication resolutions.</w:t>
      </w:r>
    </w:p>
    <w:p w14:paraId="12756654" w14:textId="77777777" w:rsidR="001619FD" w:rsidRPr="001619FD" w:rsidRDefault="001619FD" w:rsidP="001619FD">
      <w:r w:rsidRPr="001619FD">
        <w:rPr>
          <w:lang w:val="en-US"/>
        </w:rPr>
        <w:t xml:space="preserve">Treasury shares are shares in the capital of the company which are held by the company itself.  Treasury shares arise where a company buys back its own shares out of distributable profits and chooses to hold them in treasury rather than cancelling them (s. 724 CA 2006). </w:t>
      </w:r>
    </w:p>
    <w:p w14:paraId="3CE3628F" w14:textId="77777777" w:rsidR="001619FD" w:rsidRPr="001619FD" w:rsidRDefault="001619FD" w:rsidP="001619FD">
      <w:r w:rsidRPr="001619FD">
        <w:rPr>
          <w:lang w:val="en-US"/>
        </w:rPr>
        <w:t>The company may not exercise any rights in respect of the treasury shares it holds and it is not entitled to receive dividends in respect of them (s. 726 CA 2006).  The company is not entitled to receive an allocation of shares in a pre-emptive share issue (s. 561(4) CA 2006).</w:t>
      </w:r>
    </w:p>
    <w:p w14:paraId="7A48CAB5" w14:textId="77777777" w:rsidR="001619FD" w:rsidRPr="001619FD" w:rsidRDefault="001619FD" w:rsidP="001619FD">
      <w:r w:rsidRPr="001619FD">
        <w:rPr>
          <w:lang w:val="en-US"/>
        </w:rPr>
        <w:t>However, the company may at any time sell the treasury shares for cash or transfer them for the purposes of an employee share scheme (s. 727 CA 2006).  The sale of treasury shares is subject to statutory pre-emption rights in the same way as the allotment of new shares (s. 560(3) CA 2006).</w:t>
      </w:r>
    </w:p>
    <w:p w14:paraId="28BB948A" w14:textId="77777777" w:rsidR="009A777F" w:rsidRDefault="009A777F" w:rsidP="003E009E">
      <w:pPr>
        <w:rPr>
          <w:b/>
          <w:bCs/>
        </w:rPr>
      </w:pPr>
    </w:p>
    <w:p w14:paraId="54E06228" w14:textId="5A7A8134" w:rsidR="003E009E" w:rsidRPr="003E009E" w:rsidRDefault="003E009E" w:rsidP="003E009E">
      <w:r w:rsidRPr="003E009E">
        <w:rPr>
          <w:b/>
          <w:bCs/>
        </w:rPr>
        <w:t xml:space="preserve">AGMs: Contributions to political parties (Part 14, CA 2006) </w:t>
      </w:r>
    </w:p>
    <w:p w14:paraId="6FE83221" w14:textId="77777777" w:rsidR="003E009E" w:rsidRPr="003E009E" w:rsidRDefault="003E009E" w:rsidP="003E009E">
      <w:r w:rsidRPr="003E009E">
        <w:rPr>
          <w:lang w:val="en-US"/>
        </w:rPr>
        <w:t xml:space="preserve">Part 14 CA 2006 regulates political expenditure by companies and political donations by companies to: </w:t>
      </w:r>
    </w:p>
    <w:p w14:paraId="39D80856" w14:textId="77777777" w:rsidR="003E009E" w:rsidRPr="003E009E" w:rsidRDefault="003E009E" w:rsidP="003E009E">
      <w:pPr>
        <w:numPr>
          <w:ilvl w:val="0"/>
          <w:numId w:val="8"/>
        </w:numPr>
      </w:pPr>
      <w:r w:rsidRPr="003E009E">
        <w:rPr>
          <w:lang w:val="en-US"/>
        </w:rPr>
        <w:t xml:space="preserve">political parties; </w:t>
      </w:r>
    </w:p>
    <w:p w14:paraId="2FC497E5" w14:textId="77777777" w:rsidR="003E009E" w:rsidRPr="003E009E" w:rsidRDefault="003E009E" w:rsidP="003E009E">
      <w:pPr>
        <w:numPr>
          <w:ilvl w:val="0"/>
          <w:numId w:val="8"/>
        </w:numPr>
      </w:pPr>
      <w:r w:rsidRPr="003E009E">
        <w:rPr>
          <w:lang w:val="en-US"/>
        </w:rPr>
        <w:t xml:space="preserve">other political </w:t>
      </w:r>
      <w:proofErr w:type="spellStart"/>
      <w:r w:rsidRPr="003E009E">
        <w:rPr>
          <w:lang w:val="en-US"/>
        </w:rPr>
        <w:t>organisations</w:t>
      </w:r>
      <w:proofErr w:type="spellEnd"/>
      <w:r w:rsidRPr="003E009E">
        <w:rPr>
          <w:lang w:val="en-US"/>
        </w:rPr>
        <w:t xml:space="preserve">; and </w:t>
      </w:r>
    </w:p>
    <w:p w14:paraId="2403FF10" w14:textId="77777777" w:rsidR="003E009E" w:rsidRPr="003E009E" w:rsidRDefault="003E009E" w:rsidP="003E009E">
      <w:pPr>
        <w:numPr>
          <w:ilvl w:val="0"/>
          <w:numId w:val="8"/>
        </w:numPr>
      </w:pPr>
      <w:r w:rsidRPr="003E009E">
        <w:rPr>
          <w:lang w:val="en-US"/>
        </w:rPr>
        <w:t>independent election candidates.</w:t>
      </w:r>
    </w:p>
    <w:p w14:paraId="50634A41" w14:textId="77777777" w:rsidR="009A777F" w:rsidRDefault="009A777F" w:rsidP="003E009E">
      <w:pPr>
        <w:rPr>
          <w:lang w:val="en-US"/>
        </w:rPr>
      </w:pPr>
    </w:p>
    <w:p w14:paraId="485CDE9B" w14:textId="3F3E3425" w:rsidR="003E009E" w:rsidRPr="003E009E" w:rsidRDefault="003E009E" w:rsidP="003E009E">
      <w:r w:rsidRPr="003E009E">
        <w:rPr>
          <w:lang w:val="en-US"/>
        </w:rPr>
        <w:t xml:space="preserve">A company must not: </w:t>
      </w:r>
    </w:p>
    <w:p w14:paraId="2DD4B953" w14:textId="77777777" w:rsidR="003E009E" w:rsidRPr="003E009E" w:rsidRDefault="003E009E" w:rsidP="003E009E">
      <w:pPr>
        <w:numPr>
          <w:ilvl w:val="0"/>
          <w:numId w:val="9"/>
        </w:numPr>
      </w:pPr>
      <w:r w:rsidRPr="003E009E">
        <w:rPr>
          <w:lang w:val="en-US"/>
        </w:rPr>
        <w:t xml:space="preserve">make any donation to any registered political party or independent election candidates; or </w:t>
      </w:r>
    </w:p>
    <w:p w14:paraId="54D676E6" w14:textId="77777777" w:rsidR="003E009E" w:rsidRPr="003E009E" w:rsidRDefault="003E009E" w:rsidP="003E009E">
      <w:pPr>
        <w:numPr>
          <w:ilvl w:val="0"/>
          <w:numId w:val="9"/>
        </w:numPr>
      </w:pPr>
      <w:r w:rsidRPr="003E009E">
        <w:rPr>
          <w:lang w:val="en-US"/>
        </w:rPr>
        <w:t xml:space="preserve">make any donation to any other UK political </w:t>
      </w:r>
      <w:proofErr w:type="spellStart"/>
      <w:r w:rsidRPr="003E009E">
        <w:rPr>
          <w:lang w:val="en-US"/>
        </w:rPr>
        <w:t>organisation</w:t>
      </w:r>
      <w:proofErr w:type="spellEnd"/>
      <w:r w:rsidRPr="003E009E">
        <w:rPr>
          <w:lang w:val="en-US"/>
        </w:rPr>
        <w:t xml:space="preserve">; or </w:t>
      </w:r>
    </w:p>
    <w:p w14:paraId="429C35EA" w14:textId="77777777" w:rsidR="003E009E" w:rsidRPr="003E009E" w:rsidRDefault="003E009E" w:rsidP="003E009E">
      <w:pPr>
        <w:numPr>
          <w:ilvl w:val="0"/>
          <w:numId w:val="9"/>
        </w:numPr>
      </w:pPr>
      <w:r w:rsidRPr="003E009E">
        <w:rPr>
          <w:lang w:val="en-US"/>
        </w:rPr>
        <w:t>incur any UK political expenditure</w:t>
      </w:r>
    </w:p>
    <w:p w14:paraId="7DCD1C1C" w14:textId="77777777" w:rsidR="003E009E" w:rsidRPr="003E009E" w:rsidRDefault="003E009E" w:rsidP="003E009E">
      <w:r w:rsidRPr="003E009E">
        <w:rPr>
          <w:b/>
          <w:bCs/>
          <w:lang w:val="en-US"/>
        </w:rPr>
        <w:t>unless</w:t>
      </w:r>
      <w:r w:rsidRPr="003E009E">
        <w:rPr>
          <w:lang w:val="en-US"/>
        </w:rPr>
        <w:t xml:space="preserve"> the donation or expenditure is approved </w:t>
      </w:r>
      <w:r w:rsidRPr="003E009E">
        <w:rPr>
          <w:b/>
          <w:bCs/>
          <w:lang w:val="en-US"/>
        </w:rPr>
        <w:t xml:space="preserve">in advance </w:t>
      </w:r>
      <w:r w:rsidRPr="003E009E">
        <w:rPr>
          <w:lang w:val="en-US"/>
        </w:rPr>
        <w:t xml:space="preserve">by the shareholders by </w:t>
      </w:r>
      <w:r w:rsidRPr="003E009E">
        <w:rPr>
          <w:b/>
          <w:bCs/>
          <w:lang w:val="en-US"/>
        </w:rPr>
        <w:t>ordinary resolution</w:t>
      </w:r>
      <w:r w:rsidRPr="003E009E">
        <w:rPr>
          <w:lang w:val="en-US"/>
        </w:rPr>
        <w:t xml:space="preserve">. </w:t>
      </w:r>
    </w:p>
    <w:p w14:paraId="06D43CB2" w14:textId="6D91B919" w:rsidR="00FC3803" w:rsidRDefault="00FC3803" w:rsidP="00FC3803">
      <w:pPr>
        <w:rPr>
          <w:b/>
          <w:bCs/>
        </w:rPr>
      </w:pPr>
      <w:r w:rsidRPr="00FC3803">
        <w:rPr>
          <w:b/>
          <w:bCs/>
        </w:rPr>
        <w:t xml:space="preserve">AGMs: Reducing general meeting notice period to 14 clear days </w:t>
      </w:r>
    </w:p>
    <w:p w14:paraId="3B269F01" w14:textId="77777777" w:rsidR="00FC3803" w:rsidRPr="00FC3803" w:rsidRDefault="00FC3803" w:rsidP="00FC3803">
      <w:r w:rsidRPr="00FC3803">
        <w:rPr>
          <w:lang w:val="en-US"/>
        </w:rPr>
        <w:t xml:space="preserve">“Traded companies” generally seek shareholder approval for a special resolution at each AGM which permits them to hold general meetings (other than AGMs) on 14 clear days’ notice rather than the 21 clear days’ noticed which would otherwise be required (s. 307A CA 2006). </w:t>
      </w:r>
    </w:p>
    <w:p w14:paraId="53AEC560" w14:textId="77777777" w:rsidR="00FC3803" w:rsidRPr="00FC3803" w:rsidRDefault="00FC3803" w:rsidP="00FC3803">
      <w:r w:rsidRPr="00FC3803">
        <w:rPr>
          <w:lang w:val="en-US"/>
        </w:rPr>
        <w:lastRenderedPageBreak/>
        <w:t>The rules relating to notice of general meetings are considered in the following pages.</w:t>
      </w:r>
    </w:p>
    <w:p w14:paraId="1048B83C" w14:textId="77777777" w:rsidR="0021721C" w:rsidRDefault="0021721C" w:rsidP="00ED1564">
      <w:pPr>
        <w:rPr>
          <w:b/>
          <w:bCs/>
        </w:rPr>
      </w:pPr>
    </w:p>
    <w:p w14:paraId="4F1B1139" w14:textId="6BAABE05" w:rsidR="00ED1564" w:rsidRPr="00ED1564" w:rsidRDefault="00ED1564" w:rsidP="00ED1564">
      <w:r w:rsidRPr="00ED1564">
        <w:rPr>
          <w:b/>
          <w:bCs/>
        </w:rPr>
        <w:t>Notice periods of general meetings</w:t>
      </w:r>
    </w:p>
    <w:p w14:paraId="711E98FE" w14:textId="77777777" w:rsidR="00437B56" w:rsidRPr="00437B56" w:rsidRDefault="00437B56" w:rsidP="00437B56">
      <w:r w:rsidRPr="00437B56">
        <w:rPr>
          <w:lang w:val="en-US"/>
        </w:rPr>
        <w:t xml:space="preserve">There are specific rules regulating when and how notice of general meetings must be provided. </w:t>
      </w:r>
    </w:p>
    <w:p w14:paraId="3DE04016" w14:textId="77777777" w:rsidR="00437B56" w:rsidRPr="00437B56" w:rsidRDefault="00437B56" w:rsidP="00437B56">
      <w:r w:rsidRPr="00437B56">
        <w:rPr>
          <w:lang w:val="en-US"/>
        </w:rPr>
        <w:t>The rules that apply depend upon whether the meeting is an annual general meeting (AGM) or a general meeting other than an AGM.</w:t>
      </w:r>
    </w:p>
    <w:p w14:paraId="0A76E514" w14:textId="52CC2E4C" w:rsidR="00FC3803" w:rsidRPr="0021721C" w:rsidRDefault="00437B56" w:rsidP="00FC3803">
      <w:pPr>
        <w:rPr>
          <w:b/>
          <w:bCs/>
        </w:rPr>
      </w:pPr>
      <w:r w:rsidRPr="0021721C">
        <w:rPr>
          <w:b/>
          <w:bCs/>
        </w:rPr>
        <w:t>AGMs</w:t>
      </w:r>
      <w:r w:rsidR="004A2225" w:rsidRPr="0021721C">
        <w:rPr>
          <w:b/>
          <w:bCs/>
        </w:rPr>
        <w:t>:</w:t>
      </w:r>
    </w:p>
    <w:p w14:paraId="34C7026C" w14:textId="222B26A5" w:rsidR="004A2225" w:rsidRPr="004A2225" w:rsidRDefault="004A2225" w:rsidP="004A2225">
      <w:pPr>
        <w:numPr>
          <w:ilvl w:val="0"/>
          <w:numId w:val="10"/>
        </w:numPr>
      </w:pPr>
      <w:r w:rsidRPr="004A2225">
        <w:rPr>
          <w:lang w:val="en-US"/>
        </w:rPr>
        <w:t xml:space="preserve">s.307A(1)(b) CA </w:t>
      </w:r>
      <w:proofErr w:type="gramStart"/>
      <w:r w:rsidRPr="004A2225">
        <w:rPr>
          <w:lang w:val="en-US"/>
        </w:rPr>
        <w:t>2006</w:t>
      </w:r>
      <w:r w:rsidR="006B51BA">
        <w:rPr>
          <w:lang w:val="en-US"/>
        </w:rPr>
        <w:t>;</w:t>
      </w:r>
      <w:proofErr w:type="gramEnd"/>
    </w:p>
    <w:p w14:paraId="51B4B822" w14:textId="3DBA1C45" w:rsidR="004A2225" w:rsidRPr="004A2225" w:rsidRDefault="004A2225" w:rsidP="004A2225">
      <w:pPr>
        <w:numPr>
          <w:ilvl w:val="0"/>
          <w:numId w:val="10"/>
        </w:numPr>
      </w:pPr>
      <w:r w:rsidRPr="004A2225">
        <w:rPr>
          <w:lang w:val="en-US"/>
        </w:rPr>
        <w:t>s.360 CA 2006</w:t>
      </w:r>
      <w:r w:rsidR="006B51BA">
        <w:rPr>
          <w:lang w:val="en-US"/>
        </w:rPr>
        <w:t>; and</w:t>
      </w:r>
    </w:p>
    <w:p w14:paraId="1D08D475" w14:textId="77777777" w:rsidR="004A2225" w:rsidRPr="004A2225" w:rsidRDefault="004A2225" w:rsidP="004A2225">
      <w:pPr>
        <w:numPr>
          <w:ilvl w:val="0"/>
          <w:numId w:val="10"/>
        </w:numPr>
      </w:pPr>
      <w:r w:rsidRPr="004A2225">
        <w:rPr>
          <w:lang w:val="en-US"/>
        </w:rPr>
        <w:t>Paragraph 36 of the FRC’s Guidance on Board Effectiveness</w:t>
      </w:r>
    </w:p>
    <w:p w14:paraId="73DF93CF" w14:textId="24D535A2" w:rsidR="004A2225" w:rsidRPr="0021721C" w:rsidRDefault="004A2225" w:rsidP="00FC3803">
      <w:pPr>
        <w:rPr>
          <w:b/>
          <w:bCs/>
        </w:rPr>
      </w:pPr>
      <w:r w:rsidRPr="0021721C">
        <w:rPr>
          <w:b/>
          <w:bCs/>
        </w:rPr>
        <w:t xml:space="preserve">Meetings other </w:t>
      </w:r>
      <w:r w:rsidR="009E63CC" w:rsidRPr="0021721C">
        <w:rPr>
          <w:b/>
          <w:bCs/>
        </w:rPr>
        <w:t>than AGMs:</w:t>
      </w:r>
    </w:p>
    <w:p w14:paraId="3DB1468E" w14:textId="594CF023" w:rsidR="009E63CC" w:rsidRPr="009E63CC" w:rsidRDefault="009E63CC" w:rsidP="009E63CC">
      <w:pPr>
        <w:pStyle w:val="ListParagraph"/>
        <w:numPr>
          <w:ilvl w:val="0"/>
          <w:numId w:val="11"/>
        </w:numPr>
      </w:pPr>
      <w:r w:rsidRPr="009E63CC">
        <w:rPr>
          <w:lang w:val="en-US"/>
        </w:rPr>
        <w:t>s.307A(1)(a) CA 2006</w:t>
      </w:r>
      <w:r>
        <w:rPr>
          <w:lang w:val="en-US"/>
        </w:rPr>
        <w:t>;</w:t>
      </w:r>
      <w:r w:rsidRPr="009E63CC">
        <w:rPr>
          <w:lang w:val="en-US"/>
        </w:rPr>
        <w:t xml:space="preserve"> and </w:t>
      </w:r>
    </w:p>
    <w:p w14:paraId="54EC92DF" w14:textId="77777777" w:rsidR="009E63CC" w:rsidRPr="009E63CC" w:rsidRDefault="009E63CC" w:rsidP="009E63CC">
      <w:pPr>
        <w:pStyle w:val="ListParagraph"/>
        <w:numPr>
          <w:ilvl w:val="0"/>
          <w:numId w:val="11"/>
        </w:numPr>
      </w:pPr>
      <w:r w:rsidRPr="009E63CC">
        <w:rPr>
          <w:lang w:val="en-US"/>
        </w:rPr>
        <w:t>s.360 CA 2006</w:t>
      </w:r>
    </w:p>
    <w:p w14:paraId="3828D984" w14:textId="77777777" w:rsidR="002C12D7" w:rsidRPr="002C12D7" w:rsidRDefault="002C12D7" w:rsidP="002C12D7">
      <w:r w:rsidRPr="002C12D7">
        <w:rPr>
          <w:b/>
          <w:bCs/>
        </w:rPr>
        <w:t>Notice periods of general meetings: AGMs</w:t>
      </w:r>
    </w:p>
    <w:p w14:paraId="414B0564" w14:textId="77777777" w:rsidR="002C12D7" w:rsidRPr="002C12D7" w:rsidRDefault="002C12D7" w:rsidP="002C12D7">
      <w:r w:rsidRPr="002C12D7">
        <w:rPr>
          <w:lang w:val="en-US"/>
        </w:rPr>
        <w:t xml:space="preserve">The notice period for an annual general meeting of a traded company is at least </w:t>
      </w:r>
      <w:r w:rsidRPr="002C12D7">
        <w:rPr>
          <w:b/>
          <w:bCs/>
          <w:lang w:val="en-US"/>
        </w:rPr>
        <w:t>21 clear days</w:t>
      </w:r>
      <w:r w:rsidRPr="002C12D7">
        <w:rPr>
          <w:lang w:val="en-US"/>
        </w:rPr>
        <w:t xml:space="preserve">; see s.307A(1)(b) and s.360 CA 2006. </w:t>
      </w:r>
    </w:p>
    <w:p w14:paraId="761A95DB" w14:textId="77777777" w:rsidR="002C12D7" w:rsidRPr="002C12D7" w:rsidRDefault="002C12D7" w:rsidP="002C12D7">
      <w:r w:rsidRPr="002C12D7">
        <w:rPr>
          <w:lang w:val="en-US"/>
        </w:rPr>
        <w:t xml:space="preserve">When calculating </w:t>
      </w:r>
      <w:r w:rsidRPr="002C12D7">
        <w:rPr>
          <w:b/>
          <w:bCs/>
          <w:lang w:val="en-US"/>
        </w:rPr>
        <w:t>clear days</w:t>
      </w:r>
      <w:r w:rsidRPr="002C12D7">
        <w:rPr>
          <w:lang w:val="en-US"/>
        </w:rPr>
        <w:t xml:space="preserve">: </w:t>
      </w:r>
    </w:p>
    <w:p w14:paraId="74F3F7A1" w14:textId="0C4B568C" w:rsidR="002C12D7" w:rsidRPr="002C12D7" w:rsidRDefault="002C12D7" w:rsidP="002C12D7">
      <w:pPr>
        <w:numPr>
          <w:ilvl w:val="0"/>
          <w:numId w:val="12"/>
        </w:numPr>
      </w:pPr>
      <w:r w:rsidRPr="002C12D7">
        <w:rPr>
          <w:lang w:val="en-US"/>
        </w:rPr>
        <w:t xml:space="preserve">You do </w:t>
      </w:r>
      <w:r w:rsidRPr="002C12D7">
        <w:rPr>
          <w:b/>
          <w:bCs/>
          <w:lang w:val="en-US"/>
        </w:rPr>
        <w:t>not</w:t>
      </w:r>
      <w:r w:rsidRPr="002C12D7">
        <w:rPr>
          <w:lang w:val="en-US"/>
        </w:rPr>
        <w:t xml:space="preserve"> include the day on which the notice is deemed </w:t>
      </w:r>
      <w:r w:rsidR="00703964">
        <w:rPr>
          <w:lang w:val="en-US"/>
        </w:rPr>
        <w:t>given</w:t>
      </w:r>
      <w:r w:rsidRPr="002C12D7">
        <w:rPr>
          <w:lang w:val="en-US"/>
        </w:rPr>
        <w:t xml:space="preserve">; and </w:t>
      </w:r>
    </w:p>
    <w:p w14:paraId="4E6FCC1B" w14:textId="77777777" w:rsidR="002C12D7" w:rsidRPr="002C12D7" w:rsidRDefault="002C12D7" w:rsidP="002C12D7">
      <w:pPr>
        <w:numPr>
          <w:ilvl w:val="0"/>
          <w:numId w:val="12"/>
        </w:numPr>
      </w:pPr>
      <w:r w:rsidRPr="002C12D7">
        <w:rPr>
          <w:lang w:val="en-US"/>
        </w:rPr>
        <w:t xml:space="preserve">You do </w:t>
      </w:r>
      <w:r w:rsidRPr="002C12D7">
        <w:rPr>
          <w:b/>
          <w:bCs/>
          <w:lang w:val="en-US"/>
        </w:rPr>
        <w:t>not</w:t>
      </w:r>
      <w:r w:rsidRPr="002C12D7">
        <w:rPr>
          <w:lang w:val="en-US"/>
        </w:rPr>
        <w:t xml:space="preserve"> include the day of the annual general meeting itself.</w:t>
      </w:r>
    </w:p>
    <w:p w14:paraId="31F601F3" w14:textId="77777777" w:rsidR="002C12D7" w:rsidRPr="002C12D7" w:rsidRDefault="002C12D7" w:rsidP="002C12D7">
      <w:r w:rsidRPr="002C12D7">
        <w:rPr>
          <w:lang w:val="en-US"/>
        </w:rPr>
        <w:t>In addition to the above, Paragraph 36 of the FRC’s Guidance on Board Effectiveness (which supplements the UK Corporate Governance Code, but is not part of it), recommends that the notice of the AGM and related papers should be sent to shareholders at least 20 working days before the AGM.</w:t>
      </w:r>
    </w:p>
    <w:p w14:paraId="30BE4443" w14:textId="2235F4E3" w:rsidR="0030446C" w:rsidRPr="0030446C" w:rsidRDefault="0030446C" w:rsidP="0030446C">
      <w:r w:rsidRPr="0030446C">
        <w:rPr>
          <w:lang w:val="en-US"/>
        </w:rPr>
        <w:t xml:space="preserve">In addition to the notice periods in CA 2006, time must be added to allow for postage of the meeting notice. S.1147(2) CA 2006 provides a </w:t>
      </w:r>
      <w:proofErr w:type="gramStart"/>
      <w:r w:rsidRPr="0030446C">
        <w:rPr>
          <w:lang w:val="en-US"/>
        </w:rPr>
        <w:t>48 hour</w:t>
      </w:r>
      <w:proofErr w:type="gramEnd"/>
      <w:r w:rsidRPr="0030446C">
        <w:rPr>
          <w:lang w:val="en-US"/>
        </w:rPr>
        <w:t xml:space="preserve"> period for deemed service of notices, which includes only “working days” (see s.1147(5) CA 2006), subject to any contrary provision in the company’s articles (see s.1147(6)(a) CA 2006).  </w:t>
      </w:r>
      <w:r w:rsidR="00653DAC">
        <w:rPr>
          <w:lang w:val="en-US"/>
        </w:rPr>
        <w:t>However, m</w:t>
      </w:r>
      <w:r w:rsidRPr="0030446C">
        <w:rPr>
          <w:lang w:val="en-US"/>
        </w:rPr>
        <w:t xml:space="preserve">any listed companies have provisions in their articles providing that service is deemed to have occurred the day after </w:t>
      </w:r>
      <w:r w:rsidR="004141B9">
        <w:rPr>
          <w:lang w:val="en-US"/>
        </w:rPr>
        <w:t>sending.</w:t>
      </w:r>
    </w:p>
    <w:p w14:paraId="413F31C7" w14:textId="77777777" w:rsidR="0030446C" w:rsidRPr="0030446C" w:rsidRDefault="0030446C" w:rsidP="0030446C">
      <w:r w:rsidRPr="0030446C">
        <w:rPr>
          <w:b/>
          <w:bCs/>
        </w:rPr>
        <w:t>Notice periods of general meetings: Meetings other than AGMs</w:t>
      </w:r>
    </w:p>
    <w:p w14:paraId="4EF39B49" w14:textId="1332AA90" w:rsidR="001F2BD9" w:rsidRPr="001F2BD9" w:rsidRDefault="001F2BD9" w:rsidP="001F2BD9">
      <w:r w:rsidRPr="001F2BD9">
        <w:rPr>
          <w:lang w:val="en-US"/>
        </w:rPr>
        <w:t xml:space="preserve">The notice period for a general meeting (other than an AGM) of a traded company is at least </w:t>
      </w:r>
      <w:r w:rsidRPr="001F2BD9">
        <w:rPr>
          <w:b/>
          <w:bCs/>
          <w:lang w:val="en-US"/>
        </w:rPr>
        <w:t>21 clear days</w:t>
      </w:r>
      <w:r w:rsidRPr="001F2BD9">
        <w:rPr>
          <w:lang w:val="en-US"/>
        </w:rPr>
        <w:t xml:space="preserve">. This may, however, be reduced to </w:t>
      </w:r>
      <w:r w:rsidRPr="001F2BD9">
        <w:rPr>
          <w:b/>
          <w:bCs/>
          <w:lang w:val="en-US"/>
        </w:rPr>
        <w:t xml:space="preserve">14 clear days </w:t>
      </w:r>
      <w:r w:rsidRPr="001F2BD9">
        <w:rPr>
          <w:lang w:val="en-US"/>
        </w:rPr>
        <w:t>(s.307A(1)(a) and s.360 CA 2006) provided the following conditions are met:</w:t>
      </w:r>
    </w:p>
    <w:p w14:paraId="72992C16" w14:textId="77777777" w:rsidR="001F2BD9" w:rsidRPr="001F2BD9" w:rsidRDefault="001F2BD9" w:rsidP="001F2BD9">
      <w:pPr>
        <w:numPr>
          <w:ilvl w:val="0"/>
          <w:numId w:val="13"/>
        </w:numPr>
      </w:pPr>
      <w:r w:rsidRPr="001F2BD9">
        <w:rPr>
          <w:lang w:val="en-US"/>
        </w:rPr>
        <w:t xml:space="preserve">the general meeting is not an </w:t>
      </w:r>
      <w:proofErr w:type="gramStart"/>
      <w:r w:rsidRPr="001F2BD9">
        <w:rPr>
          <w:lang w:val="en-US"/>
        </w:rPr>
        <w:t>AGM;</w:t>
      </w:r>
      <w:proofErr w:type="gramEnd"/>
    </w:p>
    <w:p w14:paraId="793D4FC2" w14:textId="77777777" w:rsidR="001F2BD9" w:rsidRPr="001F2BD9" w:rsidRDefault="001F2BD9" w:rsidP="001F2BD9">
      <w:pPr>
        <w:numPr>
          <w:ilvl w:val="0"/>
          <w:numId w:val="13"/>
        </w:numPr>
      </w:pPr>
      <w:r w:rsidRPr="001F2BD9">
        <w:rPr>
          <w:lang w:val="en-US"/>
        </w:rPr>
        <w:t>the company provides a facility enabling all shareholders to vote electronically at any meeting held on such reduced notice, for example the ability to appoint a proxy via a website; and</w:t>
      </w:r>
    </w:p>
    <w:p w14:paraId="4029CAC6" w14:textId="77777777" w:rsidR="001F2BD9" w:rsidRPr="001F2BD9" w:rsidRDefault="001F2BD9" w:rsidP="001F2BD9">
      <w:pPr>
        <w:numPr>
          <w:ilvl w:val="0"/>
          <w:numId w:val="13"/>
        </w:numPr>
      </w:pPr>
      <w:r w:rsidRPr="001F2BD9">
        <w:rPr>
          <w:lang w:val="en-US"/>
        </w:rPr>
        <w:lastRenderedPageBreak/>
        <w:t>shareholders have passed a special resolution at or since the most recent AGM approving the shorter notice period.</w:t>
      </w:r>
    </w:p>
    <w:p w14:paraId="1E54ED2A" w14:textId="77777777" w:rsidR="001F2BD9" w:rsidRPr="001F2BD9" w:rsidRDefault="001F2BD9" w:rsidP="001F2BD9">
      <w:r w:rsidRPr="001F2BD9">
        <w:rPr>
          <w:lang w:val="en-US"/>
        </w:rPr>
        <w:t>Consequently, many companies include a resolution at each AGM enabling them to call a general meeting on as little as 14 clear days’ notice.</w:t>
      </w:r>
    </w:p>
    <w:p w14:paraId="6F401E40" w14:textId="77777777" w:rsidR="009516EF" w:rsidRDefault="009516EF" w:rsidP="00FC3803">
      <w:pPr>
        <w:rPr>
          <w:b/>
          <w:bCs/>
        </w:rPr>
      </w:pPr>
    </w:p>
    <w:p w14:paraId="227744B2" w14:textId="7EF745DD" w:rsidR="009E63CC" w:rsidRDefault="00EA0770" w:rsidP="00FC3803">
      <w:pPr>
        <w:rPr>
          <w:b/>
          <w:bCs/>
        </w:rPr>
      </w:pPr>
      <w:r w:rsidRPr="00EA0770">
        <w:rPr>
          <w:b/>
          <w:bCs/>
        </w:rPr>
        <w:t>Summary</w:t>
      </w:r>
    </w:p>
    <w:p w14:paraId="0E7B76EA" w14:textId="77777777" w:rsidR="004768BB" w:rsidRPr="004768BB" w:rsidRDefault="004768BB" w:rsidP="004768BB">
      <w:pPr>
        <w:numPr>
          <w:ilvl w:val="0"/>
          <w:numId w:val="14"/>
        </w:numPr>
      </w:pPr>
      <w:r w:rsidRPr="004768BB">
        <w:t xml:space="preserve">Listed company AGMs play an important role for both the company and its shareholders.  Given their importance, there are legal and regulatory requirements governing how they are conducted. </w:t>
      </w:r>
    </w:p>
    <w:p w14:paraId="318D9B71" w14:textId="77777777" w:rsidR="004768BB" w:rsidRPr="004768BB" w:rsidRDefault="004768BB" w:rsidP="004768BB">
      <w:pPr>
        <w:numPr>
          <w:ilvl w:val="0"/>
          <w:numId w:val="14"/>
        </w:numPr>
      </w:pPr>
      <w:r w:rsidRPr="004768BB">
        <w:t>Key regulatory requirements relate to communications with shareholders, ensuring that they have the requisite notice of and information about the matters to be covered.</w:t>
      </w:r>
    </w:p>
    <w:p w14:paraId="20910CE1" w14:textId="77777777" w:rsidR="004768BB" w:rsidRPr="004768BB" w:rsidRDefault="004768BB" w:rsidP="004768BB">
      <w:pPr>
        <w:numPr>
          <w:ilvl w:val="0"/>
          <w:numId w:val="14"/>
        </w:numPr>
      </w:pPr>
      <w:r w:rsidRPr="004768BB">
        <w:rPr>
          <w:lang w:val="en-US"/>
        </w:rPr>
        <w:t>Matters considered at AGMs include: consideration of the annual report and accounts; approval of the directors’ remuneration policy (binding vote); approval of the directors’ remuneration report (advisory vote); declaration of a final dividend; appointment and re-appointment of directors; re-appointment of auditors and authority to determine remuneration; the directors’ authority to allot shares; disapplying pre-emption rights; market purchase of a company’s own shares; contributions to political parties; and reducing the general meeting notice period to 14 clear days.</w:t>
      </w:r>
    </w:p>
    <w:p w14:paraId="4F1F3248" w14:textId="77777777" w:rsidR="00EA0770" w:rsidRPr="00FC3803" w:rsidRDefault="00EA0770" w:rsidP="00FC3803"/>
    <w:p w14:paraId="45CC2FE1" w14:textId="77777777" w:rsidR="001E6794" w:rsidRPr="001E6794" w:rsidRDefault="001E6794" w:rsidP="001E6794"/>
    <w:p w14:paraId="457DFB82" w14:textId="2FF413E7" w:rsidR="00366E38" w:rsidRDefault="00F42AB5">
      <w:r w:rsidRPr="00F42AB5">
        <w:rPr>
          <w:lang w:val="en-US"/>
        </w:rPr>
        <w:tab/>
      </w:r>
    </w:p>
    <w:sectPr w:rsidR="00366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3FF"/>
    <w:multiLevelType w:val="hybridMultilevel"/>
    <w:tmpl w:val="F190BF52"/>
    <w:lvl w:ilvl="0" w:tplc="28C6947A">
      <w:start w:val="1"/>
      <w:numFmt w:val="bullet"/>
      <w:lvlText w:val="•"/>
      <w:lvlJc w:val="left"/>
      <w:pPr>
        <w:tabs>
          <w:tab w:val="num" w:pos="720"/>
        </w:tabs>
        <w:ind w:left="720" w:hanging="360"/>
      </w:pPr>
      <w:rPr>
        <w:rFonts w:ascii="Arial" w:hAnsi="Arial" w:hint="default"/>
      </w:rPr>
    </w:lvl>
    <w:lvl w:ilvl="1" w:tplc="AC469144" w:tentative="1">
      <w:start w:val="1"/>
      <w:numFmt w:val="bullet"/>
      <w:lvlText w:val="•"/>
      <w:lvlJc w:val="left"/>
      <w:pPr>
        <w:tabs>
          <w:tab w:val="num" w:pos="1440"/>
        </w:tabs>
        <w:ind w:left="1440" w:hanging="360"/>
      </w:pPr>
      <w:rPr>
        <w:rFonts w:ascii="Arial" w:hAnsi="Arial" w:hint="default"/>
      </w:rPr>
    </w:lvl>
    <w:lvl w:ilvl="2" w:tplc="7F7C439E" w:tentative="1">
      <w:start w:val="1"/>
      <w:numFmt w:val="bullet"/>
      <w:lvlText w:val="•"/>
      <w:lvlJc w:val="left"/>
      <w:pPr>
        <w:tabs>
          <w:tab w:val="num" w:pos="2160"/>
        </w:tabs>
        <w:ind w:left="2160" w:hanging="360"/>
      </w:pPr>
      <w:rPr>
        <w:rFonts w:ascii="Arial" w:hAnsi="Arial" w:hint="default"/>
      </w:rPr>
    </w:lvl>
    <w:lvl w:ilvl="3" w:tplc="6470AB70" w:tentative="1">
      <w:start w:val="1"/>
      <w:numFmt w:val="bullet"/>
      <w:lvlText w:val="•"/>
      <w:lvlJc w:val="left"/>
      <w:pPr>
        <w:tabs>
          <w:tab w:val="num" w:pos="2880"/>
        </w:tabs>
        <w:ind w:left="2880" w:hanging="360"/>
      </w:pPr>
      <w:rPr>
        <w:rFonts w:ascii="Arial" w:hAnsi="Arial" w:hint="default"/>
      </w:rPr>
    </w:lvl>
    <w:lvl w:ilvl="4" w:tplc="8F00682E" w:tentative="1">
      <w:start w:val="1"/>
      <w:numFmt w:val="bullet"/>
      <w:lvlText w:val="•"/>
      <w:lvlJc w:val="left"/>
      <w:pPr>
        <w:tabs>
          <w:tab w:val="num" w:pos="3600"/>
        </w:tabs>
        <w:ind w:left="3600" w:hanging="360"/>
      </w:pPr>
      <w:rPr>
        <w:rFonts w:ascii="Arial" w:hAnsi="Arial" w:hint="default"/>
      </w:rPr>
    </w:lvl>
    <w:lvl w:ilvl="5" w:tplc="0CAEC0EA" w:tentative="1">
      <w:start w:val="1"/>
      <w:numFmt w:val="bullet"/>
      <w:lvlText w:val="•"/>
      <w:lvlJc w:val="left"/>
      <w:pPr>
        <w:tabs>
          <w:tab w:val="num" w:pos="4320"/>
        </w:tabs>
        <w:ind w:left="4320" w:hanging="360"/>
      </w:pPr>
      <w:rPr>
        <w:rFonts w:ascii="Arial" w:hAnsi="Arial" w:hint="default"/>
      </w:rPr>
    </w:lvl>
    <w:lvl w:ilvl="6" w:tplc="4AD8D832" w:tentative="1">
      <w:start w:val="1"/>
      <w:numFmt w:val="bullet"/>
      <w:lvlText w:val="•"/>
      <w:lvlJc w:val="left"/>
      <w:pPr>
        <w:tabs>
          <w:tab w:val="num" w:pos="5040"/>
        </w:tabs>
        <w:ind w:left="5040" w:hanging="360"/>
      </w:pPr>
      <w:rPr>
        <w:rFonts w:ascii="Arial" w:hAnsi="Arial" w:hint="default"/>
      </w:rPr>
    </w:lvl>
    <w:lvl w:ilvl="7" w:tplc="8F0420D4" w:tentative="1">
      <w:start w:val="1"/>
      <w:numFmt w:val="bullet"/>
      <w:lvlText w:val="•"/>
      <w:lvlJc w:val="left"/>
      <w:pPr>
        <w:tabs>
          <w:tab w:val="num" w:pos="5760"/>
        </w:tabs>
        <w:ind w:left="5760" w:hanging="360"/>
      </w:pPr>
      <w:rPr>
        <w:rFonts w:ascii="Arial" w:hAnsi="Arial" w:hint="default"/>
      </w:rPr>
    </w:lvl>
    <w:lvl w:ilvl="8" w:tplc="E10C08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E50BBE"/>
    <w:multiLevelType w:val="hybridMultilevel"/>
    <w:tmpl w:val="3F621716"/>
    <w:lvl w:ilvl="0" w:tplc="0432542A">
      <w:start w:val="1"/>
      <w:numFmt w:val="bullet"/>
      <w:lvlText w:val="•"/>
      <w:lvlJc w:val="left"/>
      <w:pPr>
        <w:tabs>
          <w:tab w:val="num" w:pos="720"/>
        </w:tabs>
        <w:ind w:left="720" w:hanging="360"/>
      </w:pPr>
      <w:rPr>
        <w:rFonts w:ascii="Arial" w:hAnsi="Arial" w:hint="default"/>
      </w:rPr>
    </w:lvl>
    <w:lvl w:ilvl="1" w:tplc="2390D32A" w:tentative="1">
      <w:start w:val="1"/>
      <w:numFmt w:val="bullet"/>
      <w:lvlText w:val="•"/>
      <w:lvlJc w:val="left"/>
      <w:pPr>
        <w:tabs>
          <w:tab w:val="num" w:pos="1440"/>
        </w:tabs>
        <w:ind w:left="1440" w:hanging="360"/>
      </w:pPr>
      <w:rPr>
        <w:rFonts w:ascii="Arial" w:hAnsi="Arial" w:hint="default"/>
      </w:rPr>
    </w:lvl>
    <w:lvl w:ilvl="2" w:tplc="8B6086DC" w:tentative="1">
      <w:start w:val="1"/>
      <w:numFmt w:val="bullet"/>
      <w:lvlText w:val="•"/>
      <w:lvlJc w:val="left"/>
      <w:pPr>
        <w:tabs>
          <w:tab w:val="num" w:pos="2160"/>
        </w:tabs>
        <w:ind w:left="2160" w:hanging="360"/>
      </w:pPr>
      <w:rPr>
        <w:rFonts w:ascii="Arial" w:hAnsi="Arial" w:hint="default"/>
      </w:rPr>
    </w:lvl>
    <w:lvl w:ilvl="3" w:tplc="1D860A78" w:tentative="1">
      <w:start w:val="1"/>
      <w:numFmt w:val="bullet"/>
      <w:lvlText w:val="•"/>
      <w:lvlJc w:val="left"/>
      <w:pPr>
        <w:tabs>
          <w:tab w:val="num" w:pos="2880"/>
        </w:tabs>
        <w:ind w:left="2880" w:hanging="360"/>
      </w:pPr>
      <w:rPr>
        <w:rFonts w:ascii="Arial" w:hAnsi="Arial" w:hint="default"/>
      </w:rPr>
    </w:lvl>
    <w:lvl w:ilvl="4" w:tplc="F172402E" w:tentative="1">
      <w:start w:val="1"/>
      <w:numFmt w:val="bullet"/>
      <w:lvlText w:val="•"/>
      <w:lvlJc w:val="left"/>
      <w:pPr>
        <w:tabs>
          <w:tab w:val="num" w:pos="3600"/>
        </w:tabs>
        <w:ind w:left="3600" w:hanging="360"/>
      </w:pPr>
      <w:rPr>
        <w:rFonts w:ascii="Arial" w:hAnsi="Arial" w:hint="default"/>
      </w:rPr>
    </w:lvl>
    <w:lvl w:ilvl="5" w:tplc="B626754A" w:tentative="1">
      <w:start w:val="1"/>
      <w:numFmt w:val="bullet"/>
      <w:lvlText w:val="•"/>
      <w:lvlJc w:val="left"/>
      <w:pPr>
        <w:tabs>
          <w:tab w:val="num" w:pos="4320"/>
        </w:tabs>
        <w:ind w:left="4320" w:hanging="360"/>
      </w:pPr>
      <w:rPr>
        <w:rFonts w:ascii="Arial" w:hAnsi="Arial" w:hint="default"/>
      </w:rPr>
    </w:lvl>
    <w:lvl w:ilvl="6" w:tplc="F4064F7E" w:tentative="1">
      <w:start w:val="1"/>
      <w:numFmt w:val="bullet"/>
      <w:lvlText w:val="•"/>
      <w:lvlJc w:val="left"/>
      <w:pPr>
        <w:tabs>
          <w:tab w:val="num" w:pos="5040"/>
        </w:tabs>
        <w:ind w:left="5040" w:hanging="360"/>
      </w:pPr>
      <w:rPr>
        <w:rFonts w:ascii="Arial" w:hAnsi="Arial" w:hint="default"/>
      </w:rPr>
    </w:lvl>
    <w:lvl w:ilvl="7" w:tplc="2C4E0EA0" w:tentative="1">
      <w:start w:val="1"/>
      <w:numFmt w:val="bullet"/>
      <w:lvlText w:val="•"/>
      <w:lvlJc w:val="left"/>
      <w:pPr>
        <w:tabs>
          <w:tab w:val="num" w:pos="5760"/>
        </w:tabs>
        <w:ind w:left="5760" w:hanging="360"/>
      </w:pPr>
      <w:rPr>
        <w:rFonts w:ascii="Arial" w:hAnsi="Arial" w:hint="default"/>
      </w:rPr>
    </w:lvl>
    <w:lvl w:ilvl="8" w:tplc="57F603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972C26"/>
    <w:multiLevelType w:val="hybridMultilevel"/>
    <w:tmpl w:val="F1B448EA"/>
    <w:lvl w:ilvl="0" w:tplc="AA86587A">
      <w:start w:val="1"/>
      <w:numFmt w:val="bullet"/>
      <w:lvlText w:val="•"/>
      <w:lvlJc w:val="left"/>
      <w:pPr>
        <w:tabs>
          <w:tab w:val="num" w:pos="720"/>
        </w:tabs>
        <w:ind w:left="720" w:hanging="360"/>
      </w:pPr>
      <w:rPr>
        <w:rFonts w:ascii="Arial" w:hAnsi="Arial" w:hint="default"/>
      </w:rPr>
    </w:lvl>
    <w:lvl w:ilvl="1" w:tplc="C07E56AE" w:tentative="1">
      <w:start w:val="1"/>
      <w:numFmt w:val="bullet"/>
      <w:lvlText w:val="•"/>
      <w:lvlJc w:val="left"/>
      <w:pPr>
        <w:tabs>
          <w:tab w:val="num" w:pos="1440"/>
        </w:tabs>
        <w:ind w:left="1440" w:hanging="360"/>
      </w:pPr>
      <w:rPr>
        <w:rFonts w:ascii="Arial" w:hAnsi="Arial" w:hint="default"/>
      </w:rPr>
    </w:lvl>
    <w:lvl w:ilvl="2" w:tplc="B53C6DB4" w:tentative="1">
      <w:start w:val="1"/>
      <w:numFmt w:val="bullet"/>
      <w:lvlText w:val="•"/>
      <w:lvlJc w:val="left"/>
      <w:pPr>
        <w:tabs>
          <w:tab w:val="num" w:pos="2160"/>
        </w:tabs>
        <w:ind w:left="2160" w:hanging="360"/>
      </w:pPr>
      <w:rPr>
        <w:rFonts w:ascii="Arial" w:hAnsi="Arial" w:hint="default"/>
      </w:rPr>
    </w:lvl>
    <w:lvl w:ilvl="3" w:tplc="27FC6008" w:tentative="1">
      <w:start w:val="1"/>
      <w:numFmt w:val="bullet"/>
      <w:lvlText w:val="•"/>
      <w:lvlJc w:val="left"/>
      <w:pPr>
        <w:tabs>
          <w:tab w:val="num" w:pos="2880"/>
        </w:tabs>
        <w:ind w:left="2880" w:hanging="360"/>
      </w:pPr>
      <w:rPr>
        <w:rFonts w:ascii="Arial" w:hAnsi="Arial" w:hint="default"/>
      </w:rPr>
    </w:lvl>
    <w:lvl w:ilvl="4" w:tplc="90D48AEC" w:tentative="1">
      <w:start w:val="1"/>
      <w:numFmt w:val="bullet"/>
      <w:lvlText w:val="•"/>
      <w:lvlJc w:val="left"/>
      <w:pPr>
        <w:tabs>
          <w:tab w:val="num" w:pos="3600"/>
        </w:tabs>
        <w:ind w:left="3600" w:hanging="360"/>
      </w:pPr>
      <w:rPr>
        <w:rFonts w:ascii="Arial" w:hAnsi="Arial" w:hint="default"/>
      </w:rPr>
    </w:lvl>
    <w:lvl w:ilvl="5" w:tplc="1D98CF32" w:tentative="1">
      <w:start w:val="1"/>
      <w:numFmt w:val="bullet"/>
      <w:lvlText w:val="•"/>
      <w:lvlJc w:val="left"/>
      <w:pPr>
        <w:tabs>
          <w:tab w:val="num" w:pos="4320"/>
        </w:tabs>
        <w:ind w:left="4320" w:hanging="360"/>
      </w:pPr>
      <w:rPr>
        <w:rFonts w:ascii="Arial" w:hAnsi="Arial" w:hint="default"/>
      </w:rPr>
    </w:lvl>
    <w:lvl w:ilvl="6" w:tplc="3642D4F6" w:tentative="1">
      <w:start w:val="1"/>
      <w:numFmt w:val="bullet"/>
      <w:lvlText w:val="•"/>
      <w:lvlJc w:val="left"/>
      <w:pPr>
        <w:tabs>
          <w:tab w:val="num" w:pos="5040"/>
        </w:tabs>
        <w:ind w:left="5040" w:hanging="360"/>
      </w:pPr>
      <w:rPr>
        <w:rFonts w:ascii="Arial" w:hAnsi="Arial" w:hint="default"/>
      </w:rPr>
    </w:lvl>
    <w:lvl w:ilvl="7" w:tplc="719020CA" w:tentative="1">
      <w:start w:val="1"/>
      <w:numFmt w:val="bullet"/>
      <w:lvlText w:val="•"/>
      <w:lvlJc w:val="left"/>
      <w:pPr>
        <w:tabs>
          <w:tab w:val="num" w:pos="5760"/>
        </w:tabs>
        <w:ind w:left="5760" w:hanging="360"/>
      </w:pPr>
      <w:rPr>
        <w:rFonts w:ascii="Arial" w:hAnsi="Arial" w:hint="default"/>
      </w:rPr>
    </w:lvl>
    <w:lvl w:ilvl="8" w:tplc="314A4F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92096"/>
    <w:multiLevelType w:val="hybridMultilevel"/>
    <w:tmpl w:val="7F7A0708"/>
    <w:lvl w:ilvl="0" w:tplc="0F3010BA">
      <w:start w:val="1"/>
      <w:numFmt w:val="bullet"/>
      <w:lvlText w:val="•"/>
      <w:lvlJc w:val="left"/>
      <w:pPr>
        <w:tabs>
          <w:tab w:val="num" w:pos="720"/>
        </w:tabs>
        <w:ind w:left="720" w:hanging="360"/>
      </w:pPr>
      <w:rPr>
        <w:rFonts w:ascii="Arial" w:hAnsi="Arial" w:hint="default"/>
      </w:rPr>
    </w:lvl>
    <w:lvl w:ilvl="1" w:tplc="FB3CCC52" w:tentative="1">
      <w:start w:val="1"/>
      <w:numFmt w:val="bullet"/>
      <w:lvlText w:val="•"/>
      <w:lvlJc w:val="left"/>
      <w:pPr>
        <w:tabs>
          <w:tab w:val="num" w:pos="1440"/>
        </w:tabs>
        <w:ind w:left="1440" w:hanging="360"/>
      </w:pPr>
      <w:rPr>
        <w:rFonts w:ascii="Arial" w:hAnsi="Arial" w:hint="default"/>
      </w:rPr>
    </w:lvl>
    <w:lvl w:ilvl="2" w:tplc="DE920C56" w:tentative="1">
      <w:start w:val="1"/>
      <w:numFmt w:val="bullet"/>
      <w:lvlText w:val="•"/>
      <w:lvlJc w:val="left"/>
      <w:pPr>
        <w:tabs>
          <w:tab w:val="num" w:pos="2160"/>
        </w:tabs>
        <w:ind w:left="2160" w:hanging="360"/>
      </w:pPr>
      <w:rPr>
        <w:rFonts w:ascii="Arial" w:hAnsi="Arial" w:hint="default"/>
      </w:rPr>
    </w:lvl>
    <w:lvl w:ilvl="3" w:tplc="98BA9C86" w:tentative="1">
      <w:start w:val="1"/>
      <w:numFmt w:val="bullet"/>
      <w:lvlText w:val="•"/>
      <w:lvlJc w:val="left"/>
      <w:pPr>
        <w:tabs>
          <w:tab w:val="num" w:pos="2880"/>
        </w:tabs>
        <w:ind w:left="2880" w:hanging="360"/>
      </w:pPr>
      <w:rPr>
        <w:rFonts w:ascii="Arial" w:hAnsi="Arial" w:hint="default"/>
      </w:rPr>
    </w:lvl>
    <w:lvl w:ilvl="4" w:tplc="5AFCF95A" w:tentative="1">
      <w:start w:val="1"/>
      <w:numFmt w:val="bullet"/>
      <w:lvlText w:val="•"/>
      <w:lvlJc w:val="left"/>
      <w:pPr>
        <w:tabs>
          <w:tab w:val="num" w:pos="3600"/>
        </w:tabs>
        <w:ind w:left="3600" w:hanging="360"/>
      </w:pPr>
      <w:rPr>
        <w:rFonts w:ascii="Arial" w:hAnsi="Arial" w:hint="default"/>
      </w:rPr>
    </w:lvl>
    <w:lvl w:ilvl="5" w:tplc="9AC8791C" w:tentative="1">
      <w:start w:val="1"/>
      <w:numFmt w:val="bullet"/>
      <w:lvlText w:val="•"/>
      <w:lvlJc w:val="left"/>
      <w:pPr>
        <w:tabs>
          <w:tab w:val="num" w:pos="4320"/>
        </w:tabs>
        <w:ind w:left="4320" w:hanging="360"/>
      </w:pPr>
      <w:rPr>
        <w:rFonts w:ascii="Arial" w:hAnsi="Arial" w:hint="default"/>
      </w:rPr>
    </w:lvl>
    <w:lvl w:ilvl="6" w:tplc="CAB4FA98" w:tentative="1">
      <w:start w:val="1"/>
      <w:numFmt w:val="bullet"/>
      <w:lvlText w:val="•"/>
      <w:lvlJc w:val="left"/>
      <w:pPr>
        <w:tabs>
          <w:tab w:val="num" w:pos="5040"/>
        </w:tabs>
        <w:ind w:left="5040" w:hanging="360"/>
      </w:pPr>
      <w:rPr>
        <w:rFonts w:ascii="Arial" w:hAnsi="Arial" w:hint="default"/>
      </w:rPr>
    </w:lvl>
    <w:lvl w:ilvl="7" w:tplc="376EE334" w:tentative="1">
      <w:start w:val="1"/>
      <w:numFmt w:val="bullet"/>
      <w:lvlText w:val="•"/>
      <w:lvlJc w:val="left"/>
      <w:pPr>
        <w:tabs>
          <w:tab w:val="num" w:pos="5760"/>
        </w:tabs>
        <w:ind w:left="5760" w:hanging="360"/>
      </w:pPr>
      <w:rPr>
        <w:rFonts w:ascii="Arial" w:hAnsi="Arial" w:hint="default"/>
      </w:rPr>
    </w:lvl>
    <w:lvl w:ilvl="8" w:tplc="F70C38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D83C0A"/>
    <w:multiLevelType w:val="hybridMultilevel"/>
    <w:tmpl w:val="38325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2913F51"/>
    <w:multiLevelType w:val="hybridMultilevel"/>
    <w:tmpl w:val="A5403780"/>
    <w:lvl w:ilvl="0" w:tplc="B8EE02E6">
      <w:start w:val="1"/>
      <w:numFmt w:val="decimal"/>
      <w:lvlText w:val="%1."/>
      <w:lvlJc w:val="left"/>
      <w:pPr>
        <w:tabs>
          <w:tab w:val="num" w:pos="720"/>
        </w:tabs>
        <w:ind w:left="720" w:hanging="360"/>
      </w:pPr>
    </w:lvl>
    <w:lvl w:ilvl="1" w:tplc="871E1AE2" w:tentative="1">
      <w:start w:val="1"/>
      <w:numFmt w:val="decimal"/>
      <w:lvlText w:val="%2."/>
      <w:lvlJc w:val="left"/>
      <w:pPr>
        <w:tabs>
          <w:tab w:val="num" w:pos="1440"/>
        </w:tabs>
        <w:ind w:left="1440" w:hanging="360"/>
      </w:pPr>
    </w:lvl>
    <w:lvl w:ilvl="2" w:tplc="98403528" w:tentative="1">
      <w:start w:val="1"/>
      <w:numFmt w:val="decimal"/>
      <w:lvlText w:val="%3."/>
      <w:lvlJc w:val="left"/>
      <w:pPr>
        <w:tabs>
          <w:tab w:val="num" w:pos="2160"/>
        </w:tabs>
        <w:ind w:left="2160" w:hanging="360"/>
      </w:pPr>
    </w:lvl>
    <w:lvl w:ilvl="3" w:tplc="91804136" w:tentative="1">
      <w:start w:val="1"/>
      <w:numFmt w:val="decimal"/>
      <w:lvlText w:val="%4."/>
      <w:lvlJc w:val="left"/>
      <w:pPr>
        <w:tabs>
          <w:tab w:val="num" w:pos="2880"/>
        </w:tabs>
        <w:ind w:left="2880" w:hanging="360"/>
      </w:pPr>
    </w:lvl>
    <w:lvl w:ilvl="4" w:tplc="1444BB20" w:tentative="1">
      <w:start w:val="1"/>
      <w:numFmt w:val="decimal"/>
      <w:lvlText w:val="%5."/>
      <w:lvlJc w:val="left"/>
      <w:pPr>
        <w:tabs>
          <w:tab w:val="num" w:pos="3600"/>
        </w:tabs>
        <w:ind w:left="3600" w:hanging="360"/>
      </w:pPr>
    </w:lvl>
    <w:lvl w:ilvl="5" w:tplc="2C60EE7A" w:tentative="1">
      <w:start w:val="1"/>
      <w:numFmt w:val="decimal"/>
      <w:lvlText w:val="%6."/>
      <w:lvlJc w:val="left"/>
      <w:pPr>
        <w:tabs>
          <w:tab w:val="num" w:pos="4320"/>
        </w:tabs>
        <w:ind w:left="4320" w:hanging="360"/>
      </w:pPr>
    </w:lvl>
    <w:lvl w:ilvl="6" w:tplc="7AB0287C" w:tentative="1">
      <w:start w:val="1"/>
      <w:numFmt w:val="decimal"/>
      <w:lvlText w:val="%7."/>
      <w:lvlJc w:val="left"/>
      <w:pPr>
        <w:tabs>
          <w:tab w:val="num" w:pos="5040"/>
        </w:tabs>
        <w:ind w:left="5040" w:hanging="360"/>
      </w:pPr>
    </w:lvl>
    <w:lvl w:ilvl="7" w:tplc="A6324FB0" w:tentative="1">
      <w:start w:val="1"/>
      <w:numFmt w:val="decimal"/>
      <w:lvlText w:val="%8."/>
      <w:lvlJc w:val="left"/>
      <w:pPr>
        <w:tabs>
          <w:tab w:val="num" w:pos="5760"/>
        </w:tabs>
        <w:ind w:left="5760" w:hanging="360"/>
      </w:pPr>
    </w:lvl>
    <w:lvl w:ilvl="8" w:tplc="A27CDDB0" w:tentative="1">
      <w:start w:val="1"/>
      <w:numFmt w:val="decimal"/>
      <w:lvlText w:val="%9."/>
      <w:lvlJc w:val="left"/>
      <w:pPr>
        <w:tabs>
          <w:tab w:val="num" w:pos="6480"/>
        </w:tabs>
        <w:ind w:left="6480" w:hanging="360"/>
      </w:pPr>
    </w:lvl>
  </w:abstractNum>
  <w:abstractNum w:abstractNumId="6" w15:restartNumberingAfterBreak="0">
    <w:nsid w:val="292B193A"/>
    <w:multiLevelType w:val="hybridMultilevel"/>
    <w:tmpl w:val="F19A666A"/>
    <w:lvl w:ilvl="0" w:tplc="626081E2">
      <w:start w:val="1"/>
      <w:numFmt w:val="bullet"/>
      <w:lvlText w:val="•"/>
      <w:lvlJc w:val="left"/>
      <w:pPr>
        <w:tabs>
          <w:tab w:val="num" w:pos="720"/>
        </w:tabs>
        <w:ind w:left="720" w:hanging="360"/>
      </w:pPr>
      <w:rPr>
        <w:rFonts w:ascii="Arial" w:hAnsi="Arial" w:hint="default"/>
      </w:rPr>
    </w:lvl>
    <w:lvl w:ilvl="1" w:tplc="3BE41D06" w:tentative="1">
      <w:start w:val="1"/>
      <w:numFmt w:val="bullet"/>
      <w:lvlText w:val="•"/>
      <w:lvlJc w:val="left"/>
      <w:pPr>
        <w:tabs>
          <w:tab w:val="num" w:pos="1440"/>
        </w:tabs>
        <w:ind w:left="1440" w:hanging="360"/>
      </w:pPr>
      <w:rPr>
        <w:rFonts w:ascii="Arial" w:hAnsi="Arial" w:hint="default"/>
      </w:rPr>
    </w:lvl>
    <w:lvl w:ilvl="2" w:tplc="FAAEB084" w:tentative="1">
      <w:start w:val="1"/>
      <w:numFmt w:val="bullet"/>
      <w:lvlText w:val="•"/>
      <w:lvlJc w:val="left"/>
      <w:pPr>
        <w:tabs>
          <w:tab w:val="num" w:pos="2160"/>
        </w:tabs>
        <w:ind w:left="2160" w:hanging="360"/>
      </w:pPr>
      <w:rPr>
        <w:rFonts w:ascii="Arial" w:hAnsi="Arial" w:hint="default"/>
      </w:rPr>
    </w:lvl>
    <w:lvl w:ilvl="3" w:tplc="333877AA" w:tentative="1">
      <w:start w:val="1"/>
      <w:numFmt w:val="bullet"/>
      <w:lvlText w:val="•"/>
      <w:lvlJc w:val="left"/>
      <w:pPr>
        <w:tabs>
          <w:tab w:val="num" w:pos="2880"/>
        </w:tabs>
        <w:ind w:left="2880" w:hanging="360"/>
      </w:pPr>
      <w:rPr>
        <w:rFonts w:ascii="Arial" w:hAnsi="Arial" w:hint="default"/>
      </w:rPr>
    </w:lvl>
    <w:lvl w:ilvl="4" w:tplc="5914BE14" w:tentative="1">
      <w:start w:val="1"/>
      <w:numFmt w:val="bullet"/>
      <w:lvlText w:val="•"/>
      <w:lvlJc w:val="left"/>
      <w:pPr>
        <w:tabs>
          <w:tab w:val="num" w:pos="3600"/>
        </w:tabs>
        <w:ind w:left="3600" w:hanging="360"/>
      </w:pPr>
      <w:rPr>
        <w:rFonts w:ascii="Arial" w:hAnsi="Arial" w:hint="default"/>
      </w:rPr>
    </w:lvl>
    <w:lvl w:ilvl="5" w:tplc="7D28F574" w:tentative="1">
      <w:start w:val="1"/>
      <w:numFmt w:val="bullet"/>
      <w:lvlText w:val="•"/>
      <w:lvlJc w:val="left"/>
      <w:pPr>
        <w:tabs>
          <w:tab w:val="num" w:pos="4320"/>
        </w:tabs>
        <w:ind w:left="4320" w:hanging="360"/>
      </w:pPr>
      <w:rPr>
        <w:rFonts w:ascii="Arial" w:hAnsi="Arial" w:hint="default"/>
      </w:rPr>
    </w:lvl>
    <w:lvl w:ilvl="6" w:tplc="0EAC209C" w:tentative="1">
      <w:start w:val="1"/>
      <w:numFmt w:val="bullet"/>
      <w:lvlText w:val="•"/>
      <w:lvlJc w:val="left"/>
      <w:pPr>
        <w:tabs>
          <w:tab w:val="num" w:pos="5040"/>
        </w:tabs>
        <w:ind w:left="5040" w:hanging="360"/>
      </w:pPr>
      <w:rPr>
        <w:rFonts w:ascii="Arial" w:hAnsi="Arial" w:hint="default"/>
      </w:rPr>
    </w:lvl>
    <w:lvl w:ilvl="7" w:tplc="8C1473BC" w:tentative="1">
      <w:start w:val="1"/>
      <w:numFmt w:val="bullet"/>
      <w:lvlText w:val="•"/>
      <w:lvlJc w:val="left"/>
      <w:pPr>
        <w:tabs>
          <w:tab w:val="num" w:pos="5760"/>
        </w:tabs>
        <w:ind w:left="5760" w:hanging="360"/>
      </w:pPr>
      <w:rPr>
        <w:rFonts w:ascii="Arial" w:hAnsi="Arial" w:hint="default"/>
      </w:rPr>
    </w:lvl>
    <w:lvl w:ilvl="8" w:tplc="59E403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581BD4"/>
    <w:multiLevelType w:val="hybridMultilevel"/>
    <w:tmpl w:val="7A0A4818"/>
    <w:lvl w:ilvl="0" w:tplc="3C9CA93A">
      <w:start w:val="1"/>
      <w:numFmt w:val="bullet"/>
      <w:lvlText w:val="•"/>
      <w:lvlJc w:val="left"/>
      <w:pPr>
        <w:tabs>
          <w:tab w:val="num" w:pos="720"/>
        </w:tabs>
        <w:ind w:left="720" w:hanging="360"/>
      </w:pPr>
      <w:rPr>
        <w:rFonts w:ascii="Arial" w:hAnsi="Arial" w:hint="default"/>
      </w:rPr>
    </w:lvl>
    <w:lvl w:ilvl="1" w:tplc="BC4EA0DE" w:tentative="1">
      <w:start w:val="1"/>
      <w:numFmt w:val="bullet"/>
      <w:lvlText w:val="•"/>
      <w:lvlJc w:val="left"/>
      <w:pPr>
        <w:tabs>
          <w:tab w:val="num" w:pos="1440"/>
        </w:tabs>
        <w:ind w:left="1440" w:hanging="360"/>
      </w:pPr>
      <w:rPr>
        <w:rFonts w:ascii="Arial" w:hAnsi="Arial" w:hint="default"/>
      </w:rPr>
    </w:lvl>
    <w:lvl w:ilvl="2" w:tplc="0786F068" w:tentative="1">
      <w:start w:val="1"/>
      <w:numFmt w:val="bullet"/>
      <w:lvlText w:val="•"/>
      <w:lvlJc w:val="left"/>
      <w:pPr>
        <w:tabs>
          <w:tab w:val="num" w:pos="2160"/>
        </w:tabs>
        <w:ind w:left="2160" w:hanging="360"/>
      </w:pPr>
      <w:rPr>
        <w:rFonts w:ascii="Arial" w:hAnsi="Arial" w:hint="default"/>
      </w:rPr>
    </w:lvl>
    <w:lvl w:ilvl="3" w:tplc="5A528BC0" w:tentative="1">
      <w:start w:val="1"/>
      <w:numFmt w:val="bullet"/>
      <w:lvlText w:val="•"/>
      <w:lvlJc w:val="left"/>
      <w:pPr>
        <w:tabs>
          <w:tab w:val="num" w:pos="2880"/>
        </w:tabs>
        <w:ind w:left="2880" w:hanging="360"/>
      </w:pPr>
      <w:rPr>
        <w:rFonts w:ascii="Arial" w:hAnsi="Arial" w:hint="default"/>
      </w:rPr>
    </w:lvl>
    <w:lvl w:ilvl="4" w:tplc="B52CFAB0" w:tentative="1">
      <w:start w:val="1"/>
      <w:numFmt w:val="bullet"/>
      <w:lvlText w:val="•"/>
      <w:lvlJc w:val="left"/>
      <w:pPr>
        <w:tabs>
          <w:tab w:val="num" w:pos="3600"/>
        </w:tabs>
        <w:ind w:left="3600" w:hanging="360"/>
      </w:pPr>
      <w:rPr>
        <w:rFonts w:ascii="Arial" w:hAnsi="Arial" w:hint="default"/>
      </w:rPr>
    </w:lvl>
    <w:lvl w:ilvl="5" w:tplc="EF38EEF6" w:tentative="1">
      <w:start w:val="1"/>
      <w:numFmt w:val="bullet"/>
      <w:lvlText w:val="•"/>
      <w:lvlJc w:val="left"/>
      <w:pPr>
        <w:tabs>
          <w:tab w:val="num" w:pos="4320"/>
        </w:tabs>
        <w:ind w:left="4320" w:hanging="360"/>
      </w:pPr>
      <w:rPr>
        <w:rFonts w:ascii="Arial" w:hAnsi="Arial" w:hint="default"/>
      </w:rPr>
    </w:lvl>
    <w:lvl w:ilvl="6" w:tplc="0A2696CC" w:tentative="1">
      <w:start w:val="1"/>
      <w:numFmt w:val="bullet"/>
      <w:lvlText w:val="•"/>
      <w:lvlJc w:val="left"/>
      <w:pPr>
        <w:tabs>
          <w:tab w:val="num" w:pos="5040"/>
        </w:tabs>
        <w:ind w:left="5040" w:hanging="360"/>
      </w:pPr>
      <w:rPr>
        <w:rFonts w:ascii="Arial" w:hAnsi="Arial" w:hint="default"/>
      </w:rPr>
    </w:lvl>
    <w:lvl w:ilvl="7" w:tplc="8F6A5DFC" w:tentative="1">
      <w:start w:val="1"/>
      <w:numFmt w:val="bullet"/>
      <w:lvlText w:val="•"/>
      <w:lvlJc w:val="left"/>
      <w:pPr>
        <w:tabs>
          <w:tab w:val="num" w:pos="5760"/>
        </w:tabs>
        <w:ind w:left="5760" w:hanging="360"/>
      </w:pPr>
      <w:rPr>
        <w:rFonts w:ascii="Arial" w:hAnsi="Arial" w:hint="default"/>
      </w:rPr>
    </w:lvl>
    <w:lvl w:ilvl="8" w:tplc="00B09B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E418D3"/>
    <w:multiLevelType w:val="hybridMultilevel"/>
    <w:tmpl w:val="C546C2E4"/>
    <w:lvl w:ilvl="0" w:tplc="615EB688">
      <w:start w:val="1"/>
      <w:numFmt w:val="bullet"/>
      <w:lvlText w:val=""/>
      <w:lvlJc w:val="left"/>
      <w:pPr>
        <w:ind w:left="720" w:hanging="360"/>
      </w:pPr>
      <w:rPr>
        <w:rFonts w:ascii="Symbol" w:hAnsi="Symbol"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5E16C5"/>
    <w:multiLevelType w:val="hybridMultilevel"/>
    <w:tmpl w:val="79042F94"/>
    <w:lvl w:ilvl="0" w:tplc="8B20E068">
      <w:start w:val="1"/>
      <w:numFmt w:val="bullet"/>
      <w:lvlText w:val="•"/>
      <w:lvlJc w:val="left"/>
      <w:pPr>
        <w:tabs>
          <w:tab w:val="num" w:pos="720"/>
        </w:tabs>
        <w:ind w:left="720" w:hanging="360"/>
      </w:pPr>
      <w:rPr>
        <w:rFonts w:ascii="Arial" w:hAnsi="Arial" w:hint="default"/>
      </w:rPr>
    </w:lvl>
    <w:lvl w:ilvl="1" w:tplc="7EB42DE2" w:tentative="1">
      <w:start w:val="1"/>
      <w:numFmt w:val="bullet"/>
      <w:lvlText w:val="•"/>
      <w:lvlJc w:val="left"/>
      <w:pPr>
        <w:tabs>
          <w:tab w:val="num" w:pos="1440"/>
        </w:tabs>
        <w:ind w:left="1440" w:hanging="360"/>
      </w:pPr>
      <w:rPr>
        <w:rFonts w:ascii="Arial" w:hAnsi="Arial" w:hint="default"/>
      </w:rPr>
    </w:lvl>
    <w:lvl w:ilvl="2" w:tplc="B58ADEE0" w:tentative="1">
      <w:start w:val="1"/>
      <w:numFmt w:val="bullet"/>
      <w:lvlText w:val="•"/>
      <w:lvlJc w:val="left"/>
      <w:pPr>
        <w:tabs>
          <w:tab w:val="num" w:pos="2160"/>
        </w:tabs>
        <w:ind w:left="2160" w:hanging="360"/>
      </w:pPr>
      <w:rPr>
        <w:rFonts w:ascii="Arial" w:hAnsi="Arial" w:hint="default"/>
      </w:rPr>
    </w:lvl>
    <w:lvl w:ilvl="3" w:tplc="B664B664" w:tentative="1">
      <w:start w:val="1"/>
      <w:numFmt w:val="bullet"/>
      <w:lvlText w:val="•"/>
      <w:lvlJc w:val="left"/>
      <w:pPr>
        <w:tabs>
          <w:tab w:val="num" w:pos="2880"/>
        </w:tabs>
        <w:ind w:left="2880" w:hanging="360"/>
      </w:pPr>
      <w:rPr>
        <w:rFonts w:ascii="Arial" w:hAnsi="Arial" w:hint="default"/>
      </w:rPr>
    </w:lvl>
    <w:lvl w:ilvl="4" w:tplc="9B98BC18" w:tentative="1">
      <w:start w:val="1"/>
      <w:numFmt w:val="bullet"/>
      <w:lvlText w:val="•"/>
      <w:lvlJc w:val="left"/>
      <w:pPr>
        <w:tabs>
          <w:tab w:val="num" w:pos="3600"/>
        </w:tabs>
        <w:ind w:left="3600" w:hanging="360"/>
      </w:pPr>
      <w:rPr>
        <w:rFonts w:ascii="Arial" w:hAnsi="Arial" w:hint="default"/>
      </w:rPr>
    </w:lvl>
    <w:lvl w:ilvl="5" w:tplc="87F2B282" w:tentative="1">
      <w:start w:val="1"/>
      <w:numFmt w:val="bullet"/>
      <w:lvlText w:val="•"/>
      <w:lvlJc w:val="left"/>
      <w:pPr>
        <w:tabs>
          <w:tab w:val="num" w:pos="4320"/>
        </w:tabs>
        <w:ind w:left="4320" w:hanging="360"/>
      </w:pPr>
      <w:rPr>
        <w:rFonts w:ascii="Arial" w:hAnsi="Arial" w:hint="default"/>
      </w:rPr>
    </w:lvl>
    <w:lvl w:ilvl="6" w:tplc="95C64280" w:tentative="1">
      <w:start w:val="1"/>
      <w:numFmt w:val="bullet"/>
      <w:lvlText w:val="•"/>
      <w:lvlJc w:val="left"/>
      <w:pPr>
        <w:tabs>
          <w:tab w:val="num" w:pos="5040"/>
        </w:tabs>
        <w:ind w:left="5040" w:hanging="360"/>
      </w:pPr>
      <w:rPr>
        <w:rFonts w:ascii="Arial" w:hAnsi="Arial" w:hint="default"/>
      </w:rPr>
    </w:lvl>
    <w:lvl w:ilvl="7" w:tplc="8FA084F6" w:tentative="1">
      <w:start w:val="1"/>
      <w:numFmt w:val="bullet"/>
      <w:lvlText w:val="•"/>
      <w:lvlJc w:val="left"/>
      <w:pPr>
        <w:tabs>
          <w:tab w:val="num" w:pos="5760"/>
        </w:tabs>
        <w:ind w:left="5760" w:hanging="360"/>
      </w:pPr>
      <w:rPr>
        <w:rFonts w:ascii="Arial" w:hAnsi="Arial" w:hint="default"/>
      </w:rPr>
    </w:lvl>
    <w:lvl w:ilvl="8" w:tplc="611E36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CD1B1D"/>
    <w:multiLevelType w:val="hybridMultilevel"/>
    <w:tmpl w:val="CC08D432"/>
    <w:lvl w:ilvl="0" w:tplc="FF865324">
      <w:start w:val="1"/>
      <w:numFmt w:val="bullet"/>
      <w:lvlText w:val="•"/>
      <w:lvlJc w:val="left"/>
      <w:pPr>
        <w:tabs>
          <w:tab w:val="num" w:pos="720"/>
        </w:tabs>
        <w:ind w:left="720" w:hanging="360"/>
      </w:pPr>
      <w:rPr>
        <w:rFonts w:ascii="Arial" w:hAnsi="Arial" w:hint="default"/>
      </w:rPr>
    </w:lvl>
    <w:lvl w:ilvl="1" w:tplc="1ABE38BA" w:tentative="1">
      <w:start w:val="1"/>
      <w:numFmt w:val="bullet"/>
      <w:lvlText w:val="•"/>
      <w:lvlJc w:val="left"/>
      <w:pPr>
        <w:tabs>
          <w:tab w:val="num" w:pos="1440"/>
        </w:tabs>
        <w:ind w:left="1440" w:hanging="360"/>
      </w:pPr>
      <w:rPr>
        <w:rFonts w:ascii="Arial" w:hAnsi="Arial" w:hint="default"/>
      </w:rPr>
    </w:lvl>
    <w:lvl w:ilvl="2" w:tplc="901C29E8" w:tentative="1">
      <w:start w:val="1"/>
      <w:numFmt w:val="bullet"/>
      <w:lvlText w:val="•"/>
      <w:lvlJc w:val="left"/>
      <w:pPr>
        <w:tabs>
          <w:tab w:val="num" w:pos="2160"/>
        </w:tabs>
        <w:ind w:left="2160" w:hanging="360"/>
      </w:pPr>
      <w:rPr>
        <w:rFonts w:ascii="Arial" w:hAnsi="Arial" w:hint="default"/>
      </w:rPr>
    </w:lvl>
    <w:lvl w:ilvl="3" w:tplc="22124D0E" w:tentative="1">
      <w:start w:val="1"/>
      <w:numFmt w:val="bullet"/>
      <w:lvlText w:val="•"/>
      <w:lvlJc w:val="left"/>
      <w:pPr>
        <w:tabs>
          <w:tab w:val="num" w:pos="2880"/>
        </w:tabs>
        <w:ind w:left="2880" w:hanging="360"/>
      </w:pPr>
      <w:rPr>
        <w:rFonts w:ascii="Arial" w:hAnsi="Arial" w:hint="default"/>
      </w:rPr>
    </w:lvl>
    <w:lvl w:ilvl="4" w:tplc="97647CFE" w:tentative="1">
      <w:start w:val="1"/>
      <w:numFmt w:val="bullet"/>
      <w:lvlText w:val="•"/>
      <w:lvlJc w:val="left"/>
      <w:pPr>
        <w:tabs>
          <w:tab w:val="num" w:pos="3600"/>
        </w:tabs>
        <w:ind w:left="3600" w:hanging="360"/>
      </w:pPr>
      <w:rPr>
        <w:rFonts w:ascii="Arial" w:hAnsi="Arial" w:hint="default"/>
      </w:rPr>
    </w:lvl>
    <w:lvl w:ilvl="5" w:tplc="C2942AA2" w:tentative="1">
      <w:start w:val="1"/>
      <w:numFmt w:val="bullet"/>
      <w:lvlText w:val="•"/>
      <w:lvlJc w:val="left"/>
      <w:pPr>
        <w:tabs>
          <w:tab w:val="num" w:pos="4320"/>
        </w:tabs>
        <w:ind w:left="4320" w:hanging="360"/>
      </w:pPr>
      <w:rPr>
        <w:rFonts w:ascii="Arial" w:hAnsi="Arial" w:hint="default"/>
      </w:rPr>
    </w:lvl>
    <w:lvl w:ilvl="6" w:tplc="DCF65A34" w:tentative="1">
      <w:start w:val="1"/>
      <w:numFmt w:val="bullet"/>
      <w:lvlText w:val="•"/>
      <w:lvlJc w:val="left"/>
      <w:pPr>
        <w:tabs>
          <w:tab w:val="num" w:pos="5040"/>
        </w:tabs>
        <w:ind w:left="5040" w:hanging="360"/>
      </w:pPr>
      <w:rPr>
        <w:rFonts w:ascii="Arial" w:hAnsi="Arial" w:hint="default"/>
      </w:rPr>
    </w:lvl>
    <w:lvl w:ilvl="7" w:tplc="0186E240" w:tentative="1">
      <w:start w:val="1"/>
      <w:numFmt w:val="bullet"/>
      <w:lvlText w:val="•"/>
      <w:lvlJc w:val="left"/>
      <w:pPr>
        <w:tabs>
          <w:tab w:val="num" w:pos="5760"/>
        </w:tabs>
        <w:ind w:left="5760" w:hanging="360"/>
      </w:pPr>
      <w:rPr>
        <w:rFonts w:ascii="Arial" w:hAnsi="Arial" w:hint="default"/>
      </w:rPr>
    </w:lvl>
    <w:lvl w:ilvl="8" w:tplc="3B2C63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4D050D"/>
    <w:multiLevelType w:val="hybridMultilevel"/>
    <w:tmpl w:val="8B7A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5C63AF"/>
    <w:multiLevelType w:val="hybridMultilevel"/>
    <w:tmpl w:val="F642D800"/>
    <w:lvl w:ilvl="0" w:tplc="17A8FEC8">
      <w:start w:val="1"/>
      <w:numFmt w:val="bullet"/>
      <w:lvlText w:val="•"/>
      <w:lvlJc w:val="left"/>
      <w:pPr>
        <w:tabs>
          <w:tab w:val="num" w:pos="720"/>
        </w:tabs>
        <w:ind w:left="720" w:hanging="360"/>
      </w:pPr>
      <w:rPr>
        <w:rFonts w:ascii="Arial" w:hAnsi="Arial" w:hint="default"/>
      </w:rPr>
    </w:lvl>
    <w:lvl w:ilvl="1" w:tplc="F9F0EF6E" w:tentative="1">
      <w:start w:val="1"/>
      <w:numFmt w:val="bullet"/>
      <w:lvlText w:val="•"/>
      <w:lvlJc w:val="left"/>
      <w:pPr>
        <w:tabs>
          <w:tab w:val="num" w:pos="1440"/>
        </w:tabs>
        <w:ind w:left="1440" w:hanging="360"/>
      </w:pPr>
      <w:rPr>
        <w:rFonts w:ascii="Arial" w:hAnsi="Arial" w:hint="default"/>
      </w:rPr>
    </w:lvl>
    <w:lvl w:ilvl="2" w:tplc="F522A4EE" w:tentative="1">
      <w:start w:val="1"/>
      <w:numFmt w:val="bullet"/>
      <w:lvlText w:val="•"/>
      <w:lvlJc w:val="left"/>
      <w:pPr>
        <w:tabs>
          <w:tab w:val="num" w:pos="2160"/>
        </w:tabs>
        <w:ind w:left="2160" w:hanging="360"/>
      </w:pPr>
      <w:rPr>
        <w:rFonts w:ascii="Arial" w:hAnsi="Arial" w:hint="default"/>
      </w:rPr>
    </w:lvl>
    <w:lvl w:ilvl="3" w:tplc="D7522332" w:tentative="1">
      <w:start w:val="1"/>
      <w:numFmt w:val="bullet"/>
      <w:lvlText w:val="•"/>
      <w:lvlJc w:val="left"/>
      <w:pPr>
        <w:tabs>
          <w:tab w:val="num" w:pos="2880"/>
        </w:tabs>
        <w:ind w:left="2880" w:hanging="360"/>
      </w:pPr>
      <w:rPr>
        <w:rFonts w:ascii="Arial" w:hAnsi="Arial" w:hint="default"/>
      </w:rPr>
    </w:lvl>
    <w:lvl w:ilvl="4" w:tplc="7DA83656" w:tentative="1">
      <w:start w:val="1"/>
      <w:numFmt w:val="bullet"/>
      <w:lvlText w:val="•"/>
      <w:lvlJc w:val="left"/>
      <w:pPr>
        <w:tabs>
          <w:tab w:val="num" w:pos="3600"/>
        </w:tabs>
        <w:ind w:left="3600" w:hanging="360"/>
      </w:pPr>
      <w:rPr>
        <w:rFonts w:ascii="Arial" w:hAnsi="Arial" w:hint="default"/>
      </w:rPr>
    </w:lvl>
    <w:lvl w:ilvl="5" w:tplc="EF66B59C" w:tentative="1">
      <w:start w:val="1"/>
      <w:numFmt w:val="bullet"/>
      <w:lvlText w:val="•"/>
      <w:lvlJc w:val="left"/>
      <w:pPr>
        <w:tabs>
          <w:tab w:val="num" w:pos="4320"/>
        </w:tabs>
        <w:ind w:left="4320" w:hanging="360"/>
      </w:pPr>
      <w:rPr>
        <w:rFonts w:ascii="Arial" w:hAnsi="Arial" w:hint="default"/>
      </w:rPr>
    </w:lvl>
    <w:lvl w:ilvl="6" w:tplc="D3367E16" w:tentative="1">
      <w:start w:val="1"/>
      <w:numFmt w:val="bullet"/>
      <w:lvlText w:val="•"/>
      <w:lvlJc w:val="left"/>
      <w:pPr>
        <w:tabs>
          <w:tab w:val="num" w:pos="5040"/>
        </w:tabs>
        <w:ind w:left="5040" w:hanging="360"/>
      </w:pPr>
      <w:rPr>
        <w:rFonts w:ascii="Arial" w:hAnsi="Arial" w:hint="default"/>
      </w:rPr>
    </w:lvl>
    <w:lvl w:ilvl="7" w:tplc="8536D370" w:tentative="1">
      <w:start w:val="1"/>
      <w:numFmt w:val="bullet"/>
      <w:lvlText w:val="•"/>
      <w:lvlJc w:val="left"/>
      <w:pPr>
        <w:tabs>
          <w:tab w:val="num" w:pos="5760"/>
        </w:tabs>
        <w:ind w:left="5760" w:hanging="360"/>
      </w:pPr>
      <w:rPr>
        <w:rFonts w:ascii="Arial" w:hAnsi="Arial" w:hint="default"/>
      </w:rPr>
    </w:lvl>
    <w:lvl w:ilvl="8" w:tplc="296464F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97224A"/>
    <w:multiLevelType w:val="hybridMultilevel"/>
    <w:tmpl w:val="35E05F42"/>
    <w:lvl w:ilvl="0" w:tplc="F26EE5D8">
      <w:start w:val="1"/>
      <w:numFmt w:val="bullet"/>
      <w:lvlText w:val="•"/>
      <w:lvlJc w:val="left"/>
      <w:pPr>
        <w:tabs>
          <w:tab w:val="num" w:pos="720"/>
        </w:tabs>
        <w:ind w:left="720" w:hanging="360"/>
      </w:pPr>
      <w:rPr>
        <w:rFonts w:ascii="Arial" w:hAnsi="Arial" w:hint="default"/>
      </w:rPr>
    </w:lvl>
    <w:lvl w:ilvl="1" w:tplc="21F4F286" w:tentative="1">
      <w:start w:val="1"/>
      <w:numFmt w:val="bullet"/>
      <w:lvlText w:val="•"/>
      <w:lvlJc w:val="left"/>
      <w:pPr>
        <w:tabs>
          <w:tab w:val="num" w:pos="1440"/>
        </w:tabs>
        <w:ind w:left="1440" w:hanging="360"/>
      </w:pPr>
      <w:rPr>
        <w:rFonts w:ascii="Arial" w:hAnsi="Arial" w:hint="default"/>
      </w:rPr>
    </w:lvl>
    <w:lvl w:ilvl="2" w:tplc="8E3C30BE" w:tentative="1">
      <w:start w:val="1"/>
      <w:numFmt w:val="bullet"/>
      <w:lvlText w:val="•"/>
      <w:lvlJc w:val="left"/>
      <w:pPr>
        <w:tabs>
          <w:tab w:val="num" w:pos="2160"/>
        </w:tabs>
        <w:ind w:left="2160" w:hanging="360"/>
      </w:pPr>
      <w:rPr>
        <w:rFonts w:ascii="Arial" w:hAnsi="Arial" w:hint="default"/>
      </w:rPr>
    </w:lvl>
    <w:lvl w:ilvl="3" w:tplc="347E2C30" w:tentative="1">
      <w:start w:val="1"/>
      <w:numFmt w:val="bullet"/>
      <w:lvlText w:val="•"/>
      <w:lvlJc w:val="left"/>
      <w:pPr>
        <w:tabs>
          <w:tab w:val="num" w:pos="2880"/>
        </w:tabs>
        <w:ind w:left="2880" w:hanging="360"/>
      </w:pPr>
      <w:rPr>
        <w:rFonts w:ascii="Arial" w:hAnsi="Arial" w:hint="default"/>
      </w:rPr>
    </w:lvl>
    <w:lvl w:ilvl="4" w:tplc="B4606F3A" w:tentative="1">
      <w:start w:val="1"/>
      <w:numFmt w:val="bullet"/>
      <w:lvlText w:val="•"/>
      <w:lvlJc w:val="left"/>
      <w:pPr>
        <w:tabs>
          <w:tab w:val="num" w:pos="3600"/>
        </w:tabs>
        <w:ind w:left="3600" w:hanging="360"/>
      </w:pPr>
      <w:rPr>
        <w:rFonts w:ascii="Arial" w:hAnsi="Arial" w:hint="default"/>
      </w:rPr>
    </w:lvl>
    <w:lvl w:ilvl="5" w:tplc="8A461728" w:tentative="1">
      <w:start w:val="1"/>
      <w:numFmt w:val="bullet"/>
      <w:lvlText w:val="•"/>
      <w:lvlJc w:val="left"/>
      <w:pPr>
        <w:tabs>
          <w:tab w:val="num" w:pos="4320"/>
        </w:tabs>
        <w:ind w:left="4320" w:hanging="360"/>
      </w:pPr>
      <w:rPr>
        <w:rFonts w:ascii="Arial" w:hAnsi="Arial" w:hint="default"/>
      </w:rPr>
    </w:lvl>
    <w:lvl w:ilvl="6" w:tplc="99BAE620" w:tentative="1">
      <w:start w:val="1"/>
      <w:numFmt w:val="bullet"/>
      <w:lvlText w:val="•"/>
      <w:lvlJc w:val="left"/>
      <w:pPr>
        <w:tabs>
          <w:tab w:val="num" w:pos="5040"/>
        </w:tabs>
        <w:ind w:left="5040" w:hanging="360"/>
      </w:pPr>
      <w:rPr>
        <w:rFonts w:ascii="Arial" w:hAnsi="Arial" w:hint="default"/>
      </w:rPr>
    </w:lvl>
    <w:lvl w:ilvl="7" w:tplc="0F6AAB86" w:tentative="1">
      <w:start w:val="1"/>
      <w:numFmt w:val="bullet"/>
      <w:lvlText w:val="•"/>
      <w:lvlJc w:val="left"/>
      <w:pPr>
        <w:tabs>
          <w:tab w:val="num" w:pos="5760"/>
        </w:tabs>
        <w:ind w:left="5760" w:hanging="360"/>
      </w:pPr>
      <w:rPr>
        <w:rFonts w:ascii="Arial" w:hAnsi="Arial" w:hint="default"/>
      </w:rPr>
    </w:lvl>
    <w:lvl w:ilvl="8" w:tplc="D1927D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96225D"/>
    <w:multiLevelType w:val="hybridMultilevel"/>
    <w:tmpl w:val="07E66DAA"/>
    <w:lvl w:ilvl="0" w:tplc="B1C6A210">
      <w:start w:val="1"/>
      <w:numFmt w:val="bullet"/>
      <w:lvlText w:val="•"/>
      <w:lvlJc w:val="left"/>
      <w:pPr>
        <w:tabs>
          <w:tab w:val="num" w:pos="720"/>
        </w:tabs>
        <w:ind w:left="720" w:hanging="360"/>
      </w:pPr>
      <w:rPr>
        <w:rFonts w:ascii="Arial" w:hAnsi="Arial" w:hint="default"/>
      </w:rPr>
    </w:lvl>
    <w:lvl w:ilvl="1" w:tplc="B9BAB6A0" w:tentative="1">
      <w:start w:val="1"/>
      <w:numFmt w:val="bullet"/>
      <w:lvlText w:val="•"/>
      <w:lvlJc w:val="left"/>
      <w:pPr>
        <w:tabs>
          <w:tab w:val="num" w:pos="1440"/>
        </w:tabs>
        <w:ind w:left="1440" w:hanging="360"/>
      </w:pPr>
      <w:rPr>
        <w:rFonts w:ascii="Arial" w:hAnsi="Arial" w:hint="default"/>
      </w:rPr>
    </w:lvl>
    <w:lvl w:ilvl="2" w:tplc="C4BE6ACA" w:tentative="1">
      <w:start w:val="1"/>
      <w:numFmt w:val="bullet"/>
      <w:lvlText w:val="•"/>
      <w:lvlJc w:val="left"/>
      <w:pPr>
        <w:tabs>
          <w:tab w:val="num" w:pos="2160"/>
        </w:tabs>
        <w:ind w:left="2160" w:hanging="360"/>
      </w:pPr>
      <w:rPr>
        <w:rFonts w:ascii="Arial" w:hAnsi="Arial" w:hint="default"/>
      </w:rPr>
    </w:lvl>
    <w:lvl w:ilvl="3" w:tplc="474A381E" w:tentative="1">
      <w:start w:val="1"/>
      <w:numFmt w:val="bullet"/>
      <w:lvlText w:val="•"/>
      <w:lvlJc w:val="left"/>
      <w:pPr>
        <w:tabs>
          <w:tab w:val="num" w:pos="2880"/>
        </w:tabs>
        <w:ind w:left="2880" w:hanging="360"/>
      </w:pPr>
      <w:rPr>
        <w:rFonts w:ascii="Arial" w:hAnsi="Arial" w:hint="default"/>
      </w:rPr>
    </w:lvl>
    <w:lvl w:ilvl="4" w:tplc="52FACEC0" w:tentative="1">
      <w:start w:val="1"/>
      <w:numFmt w:val="bullet"/>
      <w:lvlText w:val="•"/>
      <w:lvlJc w:val="left"/>
      <w:pPr>
        <w:tabs>
          <w:tab w:val="num" w:pos="3600"/>
        </w:tabs>
        <w:ind w:left="3600" w:hanging="360"/>
      </w:pPr>
      <w:rPr>
        <w:rFonts w:ascii="Arial" w:hAnsi="Arial" w:hint="default"/>
      </w:rPr>
    </w:lvl>
    <w:lvl w:ilvl="5" w:tplc="29D8BC3C" w:tentative="1">
      <w:start w:val="1"/>
      <w:numFmt w:val="bullet"/>
      <w:lvlText w:val="•"/>
      <w:lvlJc w:val="left"/>
      <w:pPr>
        <w:tabs>
          <w:tab w:val="num" w:pos="4320"/>
        </w:tabs>
        <w:ind w:left="4320" w:hanging="360"/>
      </w:pPr>
      <w:rPr>
        <w:rFonts w:ascii="Arial" w:hAnsi="Arial" w:hint="default"/>
      </w:rPr>
    </w:lvl>
    <w:lvl w:ilvl="6" w:tplc="DE18D0F0" w:tentative="1">
      <w:start w:val="1"/>
      <w:numFmt w:val="bullet"/>
      <w:lvlText w:val="•"/>
      <w:lvlJc w:val="left"/>
      <w:pPr>
        <w:tabs>
          <w:tab w:val="num" w:pos="5040"/>
        </w:tabs>
        <w:ind w:left="5040" w:hanging="360"/>
      </w:pPr>
      <w:rPr>
        <w:rFonts w:ascii="Arial" w:hAnsi="Arial" w:hint="default"/>
      </w:rPr>
    </w:lvl>
    <w:lvl w:ilvl="7" w:tplc="0754602C" w:tentative="1">
      <w:start w:val="1"/>
      <w:numFmt w:val="bullet"/>
      <w:lvlText w:val="•"/>
      <w:lvlJc w:val="left"/>
      <w:pPr>
        <w:tabs>
          <w:tab w:val="num" w:pos="5760"/>
        </w:tabs>
        <w:ind w:left="5760" w:hanging="360"/>
      </w:pPr>
      <w:rPr>
        <w:rFonts w:ascii="Arial" w:hAnsi="Arial" w:hint="default"/>
      </w:rPr>
    </w:lvl>
    <w:lvl w:ilvl="8" w:tplc="E0EC70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7E97E2B"/>
    <w:multiLevelType w:val="hybridMultilevel"/>
    <w:tmpl w:val="F2623A78"/>
    <w:lvl w:ilvl="0" w:tplc="9D925130">
      <w:start w:val="1"/>
      <w:numFmt w:val="bullet"/>
      <w:lvlText w:val="•"/>
      <w:lvlJc w:val="left"/>
      <w:pPr>
        <w:tabs>
          <w:tab w:val="num" w:pos="720"/>
        </w:tabs>
        <w:ind w:left="720" w:hanging="360"/>
      </w:pPr>
      <w:rPr>
        <w:rFonts w:ascii="Arial" w:hAnsi="Arial" w:hint="default"/>
      </w:rPr>
    </w:lvl>
    <w:lvl w:ilvl="1" w:tplc="0720A3D6" w:tentative="1">
      <w:start w:val="1"/>
      <w:numFmt w:val="bullet"/>
      <w:lvlText w:val="•"/>
      <w:lvlJc w:val="left"/>
      <w:pPr>
        <w:tabs>
          <w:tab w:val="num" w:pos="1440"/>
        </w:tabs>
        <w:ind w:left="1440" w:hanging="360"/>
      </w:pPr>
      <w:rPr>
        <w:rFonts w:ascii="Arial" w:hAnsi="Arial" w:hint="default"/>
      </w:rPr>
    </w:lvl>
    <w:lvl w:ilvl="2" w:tplc="CD5616E6" w:tentative="1">
      <w:start w:val="1"/>
      <w:numFmt w:val="bullet"/>
      <w:lvlText w:val="•"/>
      <w:lvlJc w:val="left"/>
      <w:pPr>
        <w:tabs>
          <w:tab w:val="num" w:pos="2160"/>
        </w:tabs>
        <w:ind w:left="2160" w:hanging="360"/>
      </w:pPr>
      <w:rPr>
        <w:rFonts w:ascii="Arial" w:hAnsi="Arial" w:hint="default"/>
      </w:rPr>
    </w:lvl>
    <w:lvl w:ilvl="3" w:tplc="FCA884F6" w:tentative="1">
      <w:start w:val="1"/>
      <w:numFmt w:val="bullet"/>
      <w:lvlText w:val="•"/>
      <w:lvlJc w:val="left"/>
      <w:pPr>
        <w:tabs>
          <w:tab w:val="num" w:pos="2880"/>
        </w:tabs>
        <w:ind w:left="2880" w:hanging="360"/>
      </w:pPr>
      <w:rPr>
        <w:rFonts w:ascii="Arial" w:hAnsi="Arial" w:hint="default"/>
      </w:rPr>
    </w:lvl>
    <w:lvl w:ilvl="4" w:tplc="70CA76B2" w:tentative="1">
      <w:start w:val="1"/>
      <w:numFmt w:val="bullet"/>
      <w:lvlText w:val="•"/>
      <w:lvlJc w:val="left"/>
      <w:pPr>
        <w:tabs>
          <w:tab w:val="num" w:pos="3600"/>
        </w:tabs>
        <w:ind w:left="3600" w:hanging="360"/>
      </w:pPr>
      <w:rPr>
        <w:rFonts w:ascii="Arial" w:hAnsi="Arial" w:hint="default"/>
      </w:rPr>
    </w:lvl>
    <w:lvl w:ilvl="5" w:tplc="FC725CE0" w:tentative="1">
      <w:start w:val="1"/>
      <w:numFmt w:val="bullet"/>
      <w:lvlText w:val="•"/>
      <w:lvlJc w:val="left"/>
      <w:pPr>
        <w:tabs>
          <w:tab w:val="num" w:pos="4320"/>
        </w:tabs>
        <w:ind w:left="4320" w:hanging="360"/>
      </w:pPr>
      <w:rPr>
        <w:rFonts w:ascii="Arial" w:hAnsi="Arial" w:hint="default"/>
      </w:rPr>
    </w:lvl>
    <w:lvl w:ilvl="6" w:tplc="58A87AB0" w:tentative="1">
      <w:start w:val="1"/>
      <w:numFmt w:val="bullet"/>
      <w:lvlText w:val="•"/>
      <w:lvlJc w:val="left"/>
      <w:pPr>
        <w:tabs>
          <w:tab w:val="num" w:pos="5040"/>
        </w:tabs>
        <w:ind w:left="5040" w:hanging="360"/>
      </w:pPr>
      <w:rPr>
        <w:rFonts w:ascii="Arial" w:hAnsi="Arial" w:hint="default"/>
      </w:rPr>
    </w:lvl>
    <w:lvl w:ilvl="7" w:tplc="52C4AF3A" w:tentative="1">
      <w:start w:val="1"/>
      <w:numFmt w:val="bullet"/>
      <w:lvlText w:val="•"/>
      <w:lvlJc w:val="left"/>
      <w:pPr>
        <w:tabs>
          <w:tab w:val="num" w:pos="5760"/>
        </w:tabs>
        <w:ind w:left="5760" w:hanging="360"/>
      </w:pPr>
      <w:rPr>
        <w:rFonts w:ascii="Arial" w:hAnsi="Arial" w:hint="default"/>
      </w:rPr>
    </w:lvl>
    <w:lvl w:ilvl="8" w:tplc="D9843F4A" w:tentative="1">
      <w:start w:val="1"/>
      <w:numFmt w:val="bullet"/>
      <w:lvlText w:val="•"/>
      <w:lvlJc w:val="left"/>
      <w:pPr>
        <w:tabs>
          <w:tab w:val="num" w:pos="6480"/>
        </w:tabs>
        <w:ind w:left="6480" w:hanging="360"/>
      </w:pPr>
      <w:rPr>
        <w:rFonts w:ascii="Arial" w:hAnsi="Arial" w:hint="default"/>
      </w:rPr>
    </w:lvl>
  </w:abstractNum>
  <w:num w:numId="1" w16cid:durableId="855849768">
    <w:abstractNumId w:val="9"/>
  </w:num>
  <w:num w:numId="2" w16cid:durableId="2092777865">
    <w:abstractNumId w:val="0"/>
  </w:num>
  <w:num w:numId="3" w16cid:durableId="990210094">
    <w:abstractNumId w:val="14"/>
  </w:num>
  <w:num w:numId="4" w16cid:durableId="814369599">
    <w:abstractNumId w:val="13"/>
  </w:num>
  <w:num w:numId="5" w16cid:durableId="1994019932">
    <w:abstractNumId w:val="15"/>
  </w:num>
  <w:num w:numId="6" w16cid:durableId="687027593">
    <w:abstractNumId w:val="1"/>
  </w:num>
  <w:num w:numId="7" w16cid:durableId="965042692">
    <w:abstractNumId w:val="5"/>
  </w:num>
  <w:num w:numId="8" w16cid:durableId="1887141115">
    <w:abstractNumId w:val="6"/>
  </w:num>
  <w:num w:numId="9" w16cid:durableId="1901206294">
    <w:abstractNumId w:val="3"/>
  </w:num>
  <w:num w:numId="10" w16cid:durableId="4141046">
    <w:abstractNumId w:val="2"/>
  </w:num>
  <w:num w:numId="11" w16cid:durableId="1767072870">
    <w:abstractNumId w:val="11"/>
  </w:num>
  <w:num w:numId="12" w16cid:durableId="546995599">
    <w:abstractNumId w:val="10"/>
  </w:num>
  <w:num w:numId="13" w16cid:durableId="1235553780">
    <w:abstractNumId w:val="7"/>
  </w:num>
  <w:num w:numId="14" w16cid:durableId="835002845">
    <w:abstractNumId w:val="12"/>
  </w:num>
  <w:num w:numId="15" w16cid:durableId="1710761497">
    <w:abstractNumId w:val="8"/>
  </w:num>
  <w:num w:numId="16" w16cid:durableId="1355839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C4"/>
    <w:rsid w:val="00004C69"/>
    <w:rsid w:val="00084C51"/>
    <w:rsid w:val="0009180F"/>
    <w:rsid w:val="000B6397"/>
    <w:rsid w:val="000C7939"/>
    <w:rsid w:val="000F599E"/>
    <w:rsid w:val="0011782A"/>
    <w:rsid w:val="00120334"/>
    <w:rsid w:val="0015343E"/>
    <w:rsid w:val="001619FD"/>
    <w:rsid w:val="00166023"/>
    <w:rsid w:val="001E6794"/>
    <w:rsid w:val="001F0EC4"/>
    <w:rsid w:val="001F2BD9"/>
    <w:rsid w:val="0020094E"/>
    <w:rsid w:val="0021721C"/>
    <w:rsid w:val="002838D9"/>
    <w:rsid w:val="002C12D7"/>
    <w:rsid w:val="002D42A0"/>
    <w:rsid w:val="0030446C"/>
    <w:rsid w:val="00310851"/>
    <w:rsid w:val="00314BFE"/>
    <w:rsid w:val="00366E38"/>
    <w:rsid w:val="00376D63"/>
    <w:rsid w:val="00391E29"/>
    <w:rsid w:val="003E009E"/>
    <w:rsid w:val="00401DDC"/>
    <w:rsid w:val="004141B9"/>
    <w:rsid w:val="00437B56"/>
    <w:rsid w:val="004768BB"/>
    <w:rsid w:val="00485D79"/>
    <w:rsid w:val="004A2225"/>
    <w:rsid w:val="004B7606"/>
    <w:rsid w:val="004B771E"/>
    <w:rsid w:val="004F6991"/>
    <w:rsid w:val="005B0EBF"/>
    <w:rsid w:val="006227CB"/>
    <w:rsid w:val="00643638"/>
    <w:rsid w:val="00653DAC"/>
    <w:rsid w:val="00655E0D"/>
    <w:rsid w:val="006630AA"/>
    <w:rsid w:val="006726C5"/>
    <w:rsid w:val="006B0BFA"/>
    <w:rsid w:val="006B51BA"/>
    <w:rsid w:val="006B5248"/>
    <w:rsid w:val="00703964"/>
    <w:rsid w:val="00721F5D"/>
    <w:rsid w:val="0072506D"/>
    <w:rsid w:val="00730328"/>
    <w:rsid w:val="00742DCD"/>
    <w:rsid w:val="00761AE6"/>
    <w:rsid w:val="007710FA"/>
    <w:rsid w:val="0077195E"/>
    <w:rsid w:val="0077566C"/>
    <w:rsid w:val="00781EDA"/>
    <w:rsid w:val="00790156"/>
    <w:rsid w:val="00790285"/>
    <w:rsid w:val="00811C91"/>
    <w:rsid w:val="00823E00"/>
    <w:rsid w:val="008600EA"/>
    <w:rsid w:val="008B3DC9"/>
    <w:rsid w:val="008E3B69"/>
    <w:rsid w:val="009210C3"/>
    <w:rsid w:val="009516EF"/>
    <w:rsid w:val="009617C8"/>
    <w:rsid w:val="00997E7E"/>
    <w:rsid w:val="009A777F"/>
    <w:rsid w:val="009E63CC"/>
    <w:rsid w:val="00A458CF"/>
    <w:rsid w:val="00A5748E"/>
    <w:rsid w:val="00A85EF8"/>
    <w:rsid w:val="00A95E8B"/>
    <w:rsid w:val="00AC7495"/>
    <w:rsid w:val="00AD5298"/>
    <w:rsid w:val="00B15FE9"/>
    <w:rsid w:val="00B35F51"/>
    <w:rsid w:val="00B4593B"/>
    <w:rsid w:val="00B50A1D"/>
    <w:rsid w:val="00B54D33"/>
    <w:rsid w:val="00B9613C"/>
    <w:rsid w:val="00BC44EA"/>
    <w:rsid w:val="00C24147"/>
    <w:rsid w:val="00C55449"/>
    <w:rsid w:val="00C6698D"/>
    <w:rsid w:val="00CF670B"/>
    <w:rsid w:val="00D2381E"/>
    <w:rsid w:val="00D30C59"/>
    <w:rsid w:val="00D35543"/>
    <w:rsid w:val="00D35FA8"/>
    <w:rsid w:val="00DB5043"/>
    <w:rsid w:val="00DE429C"/>
    <w:rsid w:val="00E414F5"/>
    <w:rsid w:val="00E60636"/>
    <w:rsid w:val="00E6749D"/>
    <w:rsid w:val="00EA0770"/>
    <w:rsid w:val="00EB7EBB"/>
    <w:rsid w:val="00ED0AF1"/>
    <w:rsid w:val="00ED1564"/>
    <w:rsid w:val="00F008BF"/>
    <w:rsid w:val="00F42AB5"/>
    <w:rsid w:val="00F552AB"/>
    <w:rsid w:val="00F55364"/>
    <w:rsid w:val="00F55433"/>
    <w:rsid w:val="00F7609B"/>
    <w:rsid w:val="00F77AF7"/>
    <w:rsid w:val="00F95EF5"/>
    <w:rsid w:val="00F95F56"/>
    <w:rsid w:val="00FB270F"/>
    <w:rsid w:val="00FC3803"/>
    <w:rsid w:val="00FD135E"/>
    <w:rsid w:val="00FD24B4"/>
    <w:rsid w:val="00FE4CB0"/>
    <w:rsid w:val="0FEEE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9B6C"/>
  <w15:chartTrackingRefBased/>
  <w15:docId w15:val="{5D4ED442-9D93-486D-8C07-FF006D43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043"/>
    <w:rPr>
      <w:color w:val="0563C1" w:themeColor="hyperlink"/>
      <w:u w:val="single"/>
    </w:rPr>
  </w:style>
  <w:style w:type="character" w:styleId="UnresolvedMention">
    <w:name w:val="Unresolved Mention"/>
    <w:basedOn w:val="DefaultParagraphFont"/>
    <w:uiPriority w:val="99"/>
    <w:semiHidden/>
    <w:unhideWhenUsed/>
    <w:rsid w:val="00DB5043"/>
    <w:rPr>
      <w:color w:val="605E5C"/>
      <w:shd w:val="clear" w:color="auto" w:fill="E1DFDD"/>
    </w:rPr>
  </w:style>
  <w:style w:type="paragraph" w:styleId="ListParagraph">
    <w:name w:val="List Paragraph"/>
    <w:basedOn w:val="Normal"/>
    <w:uiPriority w:val="34"/>
    <w:qFormat/>
    <w:rsid w:val="001E6794"/>
    <w:pPr>
      <w:ind w:left="720"/>
      <w:contextualSpacing/>
    </w:pPr>
  </w:style>
  <w:style w:type="paragraph" w:styleId="Revision">
    <w:name w:val="Revision"/>
    <w:hidden/>
    <w:uiPriority w:val="99"/>
    <w:semiHidden/>
    <w:rsid w:val="00FD24B4"/>
    <w:pPr>
      <w:spacing w:after="0" w:line="240" w:lineRule="auto"/>
    </w:pPr>
  </w:style>
  <w:style w:type="character" w:styleId="FollowedHyperlink">
    <w:name w:val="FollowedHyperlink"/>
    <w:basedOn w:val="DefaultParagraphFont"/>
    <w:uiPriority w:val="99"/>
    <w:semiHidden/>
    <w:unhideWhenUsed/>
    <w:rsid w:val="00761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64">
      <w:bodyDiv w:val="1"/>
      <w:marLeft w:val="0"/>
      <w:marRight w:val="0"/>
      <w:marTop w:val="0"/>
      <w:marBottom w:val="0"/>
      <w:divBdr>
        <w:top w:val="none" w:sz="0" w:space="0" w:color="auto"/>
        <w:left w:val="none" w:sz="0" w:space="0" w:color="auto"/>
        <w:bottom w:val="none" w:sz="0" w:space="0" w:color="auto"/>
        <w:right w:val="none" w:sz="0" w:space="0" w:color="auto"/>
      </w:divBdr>
    </w:div>
    <w:div w:id="68355849">
      <w:bodyDiv w:val="1"/>
      <w:marLeft w:val="0"/>
      <w:marRight w:val="0"/>
      <w:marTop w:val="0"/>
      <w:marBottom w:val="0"/>
      <w:divBdr>
        <w:top w:val="none" w:sz="0" w:space="0" w:color="auto"/>
        <w:left w:val="none" w:sz="0" w:space="0" w:color="auto"/>
        <w:bottom w:val="none" w:sz="0" w:space="0" w:color="auto"/>
        <w:right w:val="none" w:sz="0" w:space="0" w:color="auto"/>
      </w:divBdr>
    </w:div>
    <w:div w:id="72316377">
      <w:bodyDiv w:val="1"/>
      <w:marLeft w:val="0"/>
      <w:marRight w:val="0"/>
      <w:marTop w:val="0"/>
      <w:marBottom w:val="0"/>
      <w:divBdr>
        <w:top w:val="none" w:sz="0" w:space="0" w:color="auto"/>
        <w:left w:val="none" w:sz="0" w:space="0" w:color="auto"/>
        <w:bottom w:val="none" w:sz="0" w:space="0" w:color="auto"/>
        <w:right w:val="none" w:sz="0" w:space="0" w:color="auto"/>
      </w:divBdr>
    </w:div>
    <w:div w:id="88475516">
      <w:bodyDiv w:val="1"/>
      <w:marLeft w:val="0"/>
      <w:marRight w:val="0"/>
      <w:marTop w:val="0"/>
      <w:marBottom w:val="0"/>
      <w:divBdr>
        <w:top w:val="none" w:sz="0" w:space="0" w:color="auto"/>
        <w:left w:val="none" w:sz="0" w:space="0" w:color="auto"/>
        <w:bottom w:val="none" w:sz="0" w:space="0" w:color="auto"/>
        <w:right w:val="none" w:sz="0" w:space="0" w:color="auto"/>
      </w:divBdr>
    </w:div>
    <w:div w:id="97021902">
      <w:bodyDiv w:val="1"/>
      <w:marLeft w:val="0"/>
      <w:marRight w:val="0"/>
      <w:marTop w:val="0"/>
      <w:marBottom w:val="0"/>
      <w:divBdr>
        <w:top w:val="none" w:sz="0" w:space="0" w:color="auto"/>
        <w:left w:val="none" w:sz="0" w:space="0" w:color="auto"/>
        <w:bottom w:val="none" w:sz="0" w:space="0" w:color="auto"/>
        <w:right w:val="none" w:sz="0" w:space="0" w:color="auto"/>
      </w:divBdr>
      <w:divsChild>
        <w:div w:id="1834181227">
          <w:marLeft w:val="0"/>
          <w:marRight w:val="0"/>
          <w:marTop w:val="0"/>
          <w:marBottom w:val="0"/>
          <w:divBdr>
            <w:top w:val="none" w:sz="0" w:space="0" w:color="auto"/>
            <w:left w:val="none" w:sz="0" w:space="0" w:color="auto"/>
            <w:bottom w:val="none" w:sz="0" w:space="0" w:color="auto"/>
            <w:right w:val="none" w:sz="0" w:space="0" w:color="auto"/>
          </w:divBdr>
        </w:div>
        <w:div w:id="1502745084">
          <w:marLeft w:val="0"/>
          <w:marRight w:val="0"/>
          <w:marTop w:val="0"/>
          <w:marBottom w:val="0"/>
          <w:divBdr>
            <w:top w:val="none" w:sz="0" w:space="0" w:color="auto"/>
            <w:left w:val="none" w:sz="0" w:space="0" w:color="auto"/>
            <w:bottom w:val="none" w:sz="0" w:space="0" w:color="auto"/>
            <w:right w:val="none" w:sz="0" w:space="0" w:color="auto"/>
          </w:divBdr>
        </w:div>
      </w:divsChild>
    </w:div>
    <w:div w:id="103311235">
      <w:bodyDiv w:val="1"/>
      <w:marLeft w:val="0"/>
      <w:marRight w:val="0"/>
      <w:marTop w:val="0"/>
      <w:marBottom w:val="0"/>
      <w:divBdr>
        <w:top w:val="none" w:sz="0" w:space="0" w:color="auto"/>
        <w:left w:val="none" w:sz="0" w:space="0" w:color="auto"/>
        <w:bottom w:val="none" w:sz="0" w:space="0" w:color="auto"/>
        <w:right w:val="none" w:sz="0" w:space="0" w:color="auto"/>
      </w:divBdr>
      <w:divsChild>
        <w:div w:id="1708485881">
          <w:marLeft w:val="547"/>
          <w:marRight w:val="0"/>
          <w:marTop w:val="200"/>
          <w:marBottom w:val="0"/>
          <w:divBdr>
            <w:top w:val="none" w:sz="0" w:space="0" w:color="auto"/>
            <w:left w:val="none" w:sz="0" w:space="0" w:color="auto"/>
            <w:bottom w:val="none" w:sz="0" w:space="0" w:color="auto"/>
            <w:right w:val="none" w:sz="0" w:space="0" w:color="auto"/>
          </w:divBdr>
        </w:div>
        <w:div w:id="1852253547">
          <w:marLeft w:val="547"/>
          <w:marRight w:val="0"/>
          <w:marTop w:val="200"/>
          <w:marBottom w:val="0"/>
          <w:divBdr>
            <w:top w:val="none" w:sz="0" w:space="0" w:color="auto"/>
            <w:left w:val="none" w:sz="0" w:space="0" w:color="auto"/>
            <w:bottom w:val="none" w:sz="0" w:space="0" w:color="auto"/>
            <w:right w:val="none" w:sz="0" w:space="0" w:color="auto"/>
          </w:divBdr>
        </w:div>
        <w:div w:id="1049452705">
          <w:marLeft w:val="547"/>
          <w:marRight w:val="0"/>
          <w:marTop w:val="200"/>
          <w:marBottom w:val="0"/>
          <w:divBdr>
            <w:top w:val="none" w:sz="0" w:space="0" w:color="auto"/>
            <w:left w:val="none" w:sz="0" w:space="0" w:color="auto"/>
            <w:bottom w:val="none" w:sz="0" w:space="0" w:color="auto"/>
            <w:right w:val="none" w:sz="0" w:space="0" w:color="auto"/>
          </w:divBdr>
        </w:div>
        <w:div w:id="1361123841">
          <w:marLeft w:val="547"/>
          <w:marRight w:val="0"/>
          <w:marTop w:val="200"/>
          <w:marBottom w:val="0"/>
          <w:divBdr>
            <w:top w:val="none" w:sz="0" w:space="0" w:color="auto"/>
            <w:left w:val="none" w:sz="0" w:space="0" w:color="auto"/>
            <w:bottom w:val="none" w:sz="0" w:space="0" w:color="auto"/>
            <w:right w:val="none" w:sz="0" w:space="0" w:color="auto"/>
          </w:divBdr>
        </w:div>
        <w:div w:id="1684622249">
          <w:marLeft w:val="547"/>
          <w:marRight w:val="0"/>
          <w:marTop w:val="200"/>
          <w:marBottom w:val="0"/>
          <w:divBdr>
            <w:top w:val="none" w:sz="0" w:space="0" w:color="auto"/>
            <w:left w:val="none" w:sz="0" w:space="0" w:color="auto"/>
            <w:bottom w:val="none" w:sz="0" w:space="0" w:color="auto"/>
            <w:right w:val="none" w:sz="0" w:space="0" w:color="auto"/>
          </w:divBdr>
        </w:div>
        <w:div w:id="1122923004">
          <w:marLeft w:val="547"/>
          <w:marRight w:val="0"/>
          <w:marTop w:val="200"/>
          <w:marBottom w:val="0"/>
          <w:divBdr>
            <w:top w:val="none" w:sz="0" w:space="0" w:color="auto"/>
            <w:left w:val="none" w:sz="0" w:space="0" w:color="auto"/>
            <w:bottom w:val="none" w:sz="0" w:space="0" w:color="auto"/>
            <w:right w:val="none" w:sz="0" w:space="0" w:color="auto"/>
          </w:divBdr>
        </w:div>
      </w:divsChild>
    </w:div>
    <w:div w:id="104228315">
      <w:bodyDiv w:val="1"/>
      <w:marLeft w:val="0"/>
      <w:marRight w:val="0"/>
      <w:marTop w:val="0"/>
      <w:marBottom w:val="0"/>
      <w:divBdr>
        <w:top w:val="none" w:sz="0" w:space="0" w:color="auto"/>
        <w:left w:val="none" w:sz="0" w:space="0" w:color="auto"/>
        <w:bottom w:val="none" w:sz="0" w:space="0" w:color="auto"/>
        <w:right w:val="none" w:sz="0" w:space="0" w:color="auto"/>
      </w:divBdr>
    </w:div>
    <w:div w:id="163203441">
      <w:bodyDiv w:val="1"/>
      <w:marLeft w:val="0"/>
      <w:marRight w:val="0"/>
      <w:marTop w:val="0"/>
      <w:marBottom w:val="0"/>
      <w:divBdr>
        <w:top w:val="none" w:sz="0" w:space="0" w:color="auto"/>
        <w:left w:val="none" w:sz="0" w:space="0" w:color="auto"/>
        <w:bottom w:val="none" w:sz="0" w:space="0" w:color="auto"/>
        <w:right w:val="none" w:sz="0" w:space="0" w:color="auto"/>
      </w:divBdr>
    </w:div>
    <w:div w:id="176428636">
      <w:bodyDiv w:val="1"/>
      <w:marLeft w:val="0"/>
      <w:marRight w:val="0"/>
      <w:marTop w:val="0"/>
      <w:marBottom w:val="0"/>
      <w:divBdr>
        <w:top w:val="none" w:sz="0" w:space="0" w:color="auto"/>
        <w:left w:val="none" w:sz="0" w:space="0" w:color="auto"/>
        <w:bottom w:val="none" w:sz="0" w:space="0" w:color="auto"/>
        <w:right w:val="none" w:sz="0" w:space="0" w:color="auto"/>
      </w:divBdr>
      <w:divsChild>
        <w:div w:id="1548952225">
          <w:marLeft w:val="0"/>
          <w:marRight w:val="0"/>
          <w:marTop w:val="0"/>
          <w:marBottom w:val="0"/>
          <w:divBdr>
            <w:top w:val="none" w:sz="0" w:space="0" w:color="auto"/>
            <w:left w:val="none" w:sz="0" w:space="0" w:color="auto"/>
            <w:bottom w:val="none" w:sz="0" w:space="0" w:color="auto"/>
            <w:right w:val="none" w:sz="0" w:space="0" w:color="auto"/>
          </w:divBdr>
        </w:div>
        <w:div w:id="205071354">
          <w:marLeft w:val="0"/>
          <w:marRight w:val="0"/>
          <w:marTop w:val="0"/>
          <w:marBottom w:val="0"/>
          <w:divBdr>
            <w:top w:val="none" w:sz="0" w:space="0" w:color="auto"/>
            <w:left w:val="none" w:sz="0" w:space="0" w:color="auto"/>
            <w:bottom w:val="none" w:sz="0" w:space="0" w:color="auto"/>
            <w:right w:val="none" w:sz="0" w:space="0" w:color="auto"/>
          </w:divBdr>
        </w:div>
        <w:div w:id="1188526624">
          <w:marLeft w:val="0"/>
          <w:marRight w:val="0"/>
          <w:marTop w:val="0"/>
          <w:marBottom w:val="0"/>
          <w:divBdr>
            <w:top w:val="none" w:sz="0" w:space="0" w:color="auto"/>
            <w:left w:val="none" w:sz="0" w:space="0" w:color="auto"/>
            <w:bottom w:val="none" w:sz="0" w:space="0" w:color="auto"/>
            <w:right w:val="none" w:sz="0" w:space="0" w:color="auto"/>
          </w:divBdr>
        </w:div>
        <w:div w:id="1396389465">
          <w:marLeft w:val="0"/>
          <w:marRight w:val="0"/>
          <w:marTop w:val="0"/>
          <w:marBottom w:val="0"/>
          <w:divBdr>
            <w:top w:val="none" w:sz="0" w:space="0" w:color="auto"/>
            <w:left w:val="none" w:sz="0" w:space="0" w:color="auto"/>
            <w:bottom w:val="none" w:sz="0" w:space="0" w:color="auto"/>
            <w:right w:val="none" w:sz="0" w:space="0" w:color="auto"/>
          </w:divBdr>
        </w:div>
      </w:divsChild>
    </w:div>
    <w:div w:id="210508200">
      <w:bodyDiv w:val="1"/>
      <w:marLeft w:val="0"/>
      <w:marRight w:val="0"/>
      <w:marTop w:val="0"/>
      <w:marBottom w:val="0"/>
      <w:divBdr>
        <w:top w:val="none" w:sz="0" w:space="0" w:color="auto"/>
        <w:left w:val="none" w:sz="0" w:space="0" w:color="auto"/>
        <w:bottom w:val="none" w:sz="0" w:space="0" w:color="auto"/>
        <w:right w:val="none" w:sz="0" w:space="0" w:color="auto"/>
      </w:divBdr>
    </w:div>
    <w:div w:id="215505308">
      <w:bodyDiv w:val="1"/>
      <w:marLeft w:val="0"/>
      <w:marRight w:val="0"/>
      <w:marTop w:val="0"/>
      <w:marBottom w:val="0"/>
      <w:divBdr>
        <w:top w:val="none" w:sz="0" w:space="0" w:color="auto"/>
        <w:left w:val="none" w:sz="0" w:space="0" w:color="auto"/>
        <w:bottom w:val="none" w:sz="0" w:space="0" w:color="auto"/>
        <w:right w:val="none" w:sz="0" w:space="0" w:color="auto"/>
      </w:divBdr>
      <w:divsChild>
        <w:div w:id="1881938959">
          <w:marLeft w:val="547"/>
          <w:marRight w:val="0"/>
          <w:marTop w:val="200"/>
          <w:marBottom w:val="0"/>
          <w:divBdr>
            <w:top w:val="none" w:sz="0" w:space="0" w:color="auto"/>
            <w:left w:val="none" w:sz="0" w:space="0" w:color="auto"/>
            <w:bottom w:val="none" w:sz="0" w:space="0" w:color="auto"/>
            <w:right w:val="none" w:sz="0" w:space="0" w:color="auto"/>
          </w:divBdr>
        </w:div>
        <w:div w:id="319234600">
          <w:marLeft w:val="547"/>
          <w:marRight w:val="0"/>
          <w:marTop w:val="200"/>
          <w:marBottom w:val="0"/>
          <w:divBdr>
            <w:top w:val="none" w:sz="0" w:space="0" w:color="auto"/>
            <w:left w:val="none" w:sz="0" w:space="0" w:color="auto"/>
            <w:bottom w:val="none" w:sz="0" w:space="0" w:color="auto"/>
            <w:right w:val="none" w:sz="0" w:space="0" w:color="auto"/>
          </w:divBdr>
        </w:div>
        <w:div w:id="723480991">
          <w:marLeft w:val="547"/>
          <w:marRight w:val="0"/>
          <w:marTop w:val="200"/>
          <w:marBottom w:val="0"/>
          <w:divBdr>
            <w:top w:val="none" w:sz="0" w:space="0" w:color="auto"/>
            <w:left w:val="none" w:sz="0" w:space="0" w:color="auto"/>
            <w:bottom w:val="none" w:sz="0" w:space="0" w:color="auto"/>
            <w:right w:val="none" w:sz="0" w:space="0" w:color="auto"/>
          </w:divBdr>
        </w:div>
      </w:divsChild>
    </w:div>
    <w:div w:id="231813105">
      <w:bodyDiv w:val="1"/>
      <w:marLeft w:val="0"/>
      <w:marRight w:val="0"/>
      <w:marTop w:val="0"/>
      <w:marBottom w:val="0"/>
      <w:divBdr>
        <w:top w:val="none" w:sz="0" w:space="0" w:color="auto"/>
        <w:left w:val="none" w:sz="0" w:space="0" w:color="auto"/>
        <w:bottom w:val="none" w:sz="0" w:space="0" w:color="auto"/>
        <w:right w:val="none" w:sz="0" w:space="0" w:color="auto"/>
      </w:divBdr>
    </w:div>
    <w:div w:id="246959684">
      <w:bodyDiv w:val="1"/>
      <w:marLeft w:val="0"/>
      <w:marRight w:val="0"/>
      <w:marTop w:val="0"/>
      <w:marBottom w:val="0"/>
      <w:divBdr>
        <w:top w:val="none" w:sz="0" w:space="0" w:color="auto"/>
        <w:left w:val="none" w:sz="0" w:space="0" w:color="auto"/>
        <w:bottom w:val="none" w:sz="0" w:space="0" w:color="auto"/>
        <w:right w:val="none" w:sz="0" w:space="0" w:color="auto"/>
      </w:divBdr>
      <w:divsChild>
        <w:div w:id="937255935">
          <w:marLeft w:val="446"/>
          <w:marRight w:val="0"/>
          <w:marTop w:val="0"/>
          <w:marBottom w:val="0"/>
          <w:divBdr>
            <w:top w:val="none" w:sz="0" w:space="0" w:color="auto"/>
            <w:left w:val="none" w:sz="0" w:space="0" w:color="auto"/>
            <w:bottom w:val="none" w:sz="0" w:space="0" w:color="auto"/>
            <w:right w:val="none" w:sz="0" w:space="0" w:color="auto"/>
          </w:divBdr>
        </w:div>
        <w:div w:id="353120385">
          <w:marLeft w:val="446"/>
          <w:marRight w:val="0"/>
          <w:marTop w:val="0"/>
          <w:marBottom w:val="0"/>
          <w:divBdr>
            <w:top w:val="none" w:sz="0" w:space="0" w:color="auto"/>
            <w:left w:val="none" w:sz="0" w:space="0" w:color="auto"/>
            <w:bottom w:val="none" w:sz="0" w:space="0" w:color="auto"/>
            <w:right w:val="none" w:sz="0" w:space="0" w:color="auto"/>
          </w:divBdr>
        </w:div>
        <w:div w:id="1427919323">
          <w:marLeft w:val="446"/>
          <w:marRight w:val="0"/>
          <w:marTop w:val="0"/>
          <w:marBottom w:val="0"/>
          <w:divBdr>
            <w:top w:val="none" w:sz="0" w:space="0" w:color="auto"/>
            <w:left w:val="none" w:sz="0" w:space="0" w:color="auto"/>
            <w:bottom w:val="none" w:sz="0" w:space="0" w:color="auto"/>
            <w:right w:val="none" w:sz="0" w:space="0" w:color="auto"/>
          </w:divBdr>
        </w:div>
        <w:div w:id="517735376">
          <w:marLeft w:val="446"/>
          <w:marRight w:val="0"/>
          <w:marTop w:val="0"/>
          <w:marBottom w:val="0"/>
          <w:divBdr>
            <w:top w:val="none" w:sz="0" w:space="0" w:color="auto"/>
            <w:left w:val="none" w:sz="0" w:space="0" w:color="auto"/>
            <w:bottom w:val="none" w:sz="0" w:space="0" w:color="auto"/>
            <w:right w:val="none" w:sz="0" w:space="0" w:color="auto"/>
          </w:divBdr>
        </w:div>
        <w:div w:id="1475488419">
          <w:marLeft w:val="446"/>
          <w:marRight w:val="0"/>
          <w:marTop w:val="0"/>
          <w:marBottom w:val="0"/>
          <w:divBdr>
            <w:top w:val="none" w:sz="0" w:space="0" w:color="auto"/>
            <w:left w:val="none" w:sz="0" w:space="0" w:color="auto"/>
            <w:bottom w:val="none" w:sz="0" w:space="0" w:color="auto"/>
            <w:right w:val="none" w:sz="0" w:space="0" w:color="auto"/>
          </w:divBdr>
        </w:div>
        <w:div w:id="323359456">
          <w:marLeft w:val="446"/>
          <w:marRight w:val="0"/>
          <w:marTop w:val="0"/>
          <w:marBottom w:val="0"/>
          <w:divBdr>
            <w:top w:val="none" w:sz="0" w:space="0" w:color="auto"/>
            <w:left w:val="none" w:sz="0" w:space="0" w:color="auto"/>
            <w:bottom w:val="none" w:sz="0" w:space="0" w:color="auto"/>
            <w:right w:val="none" w:sz="0" w:space="0" w:color="auto"/>
          </w:divBdr>
        </w:div>
        <w:div w:id="791552410">
          <w:marLeft w:val="446"/>
          <w:marRight w:val="0"/>
          <w:marTop w:val="0"/>
          <w:marBottom w:val="0"/>
          <w:divBdr>
            <w:top w:val="none" w:sz="0" w:space="0" w:color="auto"/>
            <w:left w:val="none" w:sz="0" w:space="0" w:color="auto"/>
            <w:bottom w:val="none" w:sz="0" w:space="0" w:color="auto"/>
            <w:right w:val="none" w:sz="0" w:space="0" w:color="auto"/>
          </w:divBdr>
        </w:div>
        <w:div w:id="1275598350">
          <w:marLeft w:val="446"/>
          <w:marRight w:val="0"/>
          <w:marTop w:val="0"/>
          <w:marBottom w:val="0"/>
          <w:divBdr>
            <w:top w:val="none" w:sz="0" w:space="0" w:color="auto"/>
            <w:left w:val="none" w:sz="0" w:space="0" w:color="auto"/>
            <w:bottom w:val="none" w:sz="0" w:space="0" w:color="auto"/>
            <w:right w:val="none" w:sz="0" w:space="0" w:color="auto"/>
          </w:divBdr>
        </w:div>
        <w:div w:id="1367829185">
          <w:marLeft w:val="446"/>
          <w:marRight w:val="0"/>
          <w:marTop w:val="0"/>
          <w:marBottom w:val="0"/>
          <w:divBdr>
            <w:top w:val="none" w:sz="0" w:space="0" w:color="auto"/>
            <w:left w:val="none" w:sz="0" w:space="0" w:color="auto"/>
            <w:bottom w:val="none" w:sz="0" w:space="0" w:color="auto"/>
            <w:right w:val="none" w:sz="0" w:space="0" w:color="auto"/>
          </w:divBdr>
        </w:div>
        <w:div w:id="86853717">
          <w:marLeft w:val="446"/>
          <w:marRight w:val="0"/>
          <w:marTop w:val="0"/>
          <w:marBottom w:val="0"/>
          <w:divBdr>
            <w:top w:val="none" w:sz="0" w:space="0" w:color="auto"/>
            <w:left w:val="none" w:sz="0" w:space="0" w:color="auto"/>
            <w:bottom w:val="none" w:sz="0" w:space="0" w:color="auto"/>
            <w:right w:val="none" w:sz="0" w:space="0" w:color="auto"/>
          </w:divBdr>
        </w:div>
      </w:divsChild>
    </w:div>
    <w:div w:id="257492042">
      <w:bodyDiv w:val="1"/>
      <w:marLeft w:val="0"/>
      <w:marRight w:val="0"/>
      <w:marTop w:val="0"/>
      <w:marBottom w:val="0"/>
      <w:divBdr>
        <w:top w:val="none" w:sz="0" w:space="0" w:color="auto"/>
        <w:left w:val="none" w:sz="0" w:space="0" w:color="auto"/>
        <w:bottom w:val="none" w:sz="0" w:space="0" w:color="auto"/>
        <w:right w:val="none" w:sz="0" w:space="0" w:color="auto"/>
      </w:divBdr>
    </w:div>
    <w:div w:id="310908757">
      <w:bodyDiv w:val="1"/>
      <w:marLeft w:val="0"/>
      <w:marRight w:val="0"/>
      <w:marTop w:val="0"/>
      <w:marBottom w:val="0"/>
      <w:divBdr>
        <w:top w:val="none" w:sz="0" w:space="0" w:color="auto"/>
        <w:left w:val="none" w:sz="0" w:space="0" w:color="auto"/>
        <w:bottom w:val="none" w:sz="0" w:space="0" w:color="auto"/>
        <w:right w:val="none" w:sz="0" w:space="0" w:color="auto"/>
      </w:divBdr>
    </w:div>
    <w:div w:id="316106096">
      <w:bodyDiv w:val="1"/>
      <w:marLeft w:val="0"/>
      <w:marRight w:val="0"/>
      <w:marTop w:val="0"/>
      <w:marBottom w:val="0"/>
      <w:divBdr>
        <w:top w:val="none" w:sz="0" w:space="0" w:color="auto"/>
        <w:left w:val="none" w:sz="0" w:space="0" w:color="auto"/>
        <w:bottom w:val="none" w:sz="0" w:space="0" w:color="auto"/>
        <w:right w:val="none" w:sz="0" w:space="0" w:color="auto"/>
      </w:divBdr>
    </w:div>
    <w:div w:id="377779494">
      <w:bodyDiv w:val="1"/>
      <w:marLeft w:val="0"/>
      <w:marRight w:val="0"/>
      <w:marTop w:val="0"/>
      <w:marBottom w:val="0"/>
      <w:divBdr>
        <w:top w:val="none" w:sz="0" w:space="0" w:color="auto"/>
        <w:left w:val="none" w:sz="0" w:space="0" w:color="auto"/>
        <w:bottom w:val="none" w:sz="0" w:space="0" w:color="auto"/>
        <w:right w:val="none" w:sz="0" w:space="0" w:color="auto"/>
      </w:divBdr>
    </w:div>
    <w:div w:id="422798575">
      <w:bodyDiv w:val="1"/>
      <w:marLeft w:val="0"/>
      <w:marRight w:val="0"/>
      <w:marTop w:val="0"/>
      <w:marBottom w:val="0"/>
      <w:divBdr>
        <w:top w:val="none" w:sz="0" w:space="0" w:color="auto"/>
        <w:left w:val="none" w:sz="0" w:space="0" w:color="auto"/>
        <w:bottom w:val="none" w:sz="0" w:space="0" w:color="auto"/>
        <w:right w:val="none" w:sz="0" w:space="0" w:color="auto"/>
      </w:divBdr>
    </w:div>
    <w:div w:id="425156980">
      <w:bodyDiv w:val="1"/>
      <w:marLeft w:val="0"/>
      <w:marRight w:val="0"/>
      <w:marTop w:val="0"/>
      <w:marBottom w:val="0"/>
      <w:divBdr>
        <w:top w:val="none" w:sz="0" w:space="0" w:color="auto"/>
        <w:left w:val="none" w:sz="0" w:space="0" w:color="auto"/>
        <w:bottom w:val="none" w:sz="0" w:space="0" w:color="auto"/>
        <w:right w:val="none" w:sz="0" w:space="0" w:color="auto"/>
      </w:divBdr>
    </w:div>
    <w:div w:id="425731929">
      <w:bodyDiv w:val="1"/>
      <w:marLeft w:val="0"/>
      <w:marRight w:val="0"/>
      <w:marTop w:val="0"/>
      <w:marBottom w:val="0"/>
      <w:divBdr>
        <w:top w:val="none" w:sz="0" w:space="0" w:color="auto"/>
        <w:left w:val="none" w:sz="0" w:space="0" w:color="auto"/>
        <w:bottom w:val="none" w:sz="0" w:space="0" w:color="auto"/>
        <w:right w:val="none" w:sz="0" w:space="0" w:color="auto"/>
      </w:divBdr>
    </w:div>
    <w:div w:id="458845587">
      <w:bodyDiv w:val="1"/>
      <w:marLeft w:val="0"/>
      <w:marRight w:val="0"/>
      <w:marTop w:val="0"/>
      <w:marBottom w:val="0"/>
      <w:divBdr>
        <w:top w:val="none" w:sz="0" w:space="0" w:color="auto"/>
        <w:left w:val="none" w:sz="0" w:space="0" w:color="auto"/>
        <w:bottom w:val="none" w:sz="0" w:space="0" w:color="auto"/>
        <w:right w:val="none" w:sz="0" w:space="0" w:color="auto"/>
      </w:divBdr>
    </w:div>
    <w:div w:id="532815804">
      <w:bodyDiv w:val="1"/>
      <w:marLeft w:val="0"/>
      <w:marRight w:val="0"/>
      <w:marTop w:val="0"/>
      <w:marBottom w:val="0"/>
      <w:divBdr>
        <w:top w:val="none" w:sz="0" w:space="0" w:color="auto"/>
        <w:left w:val="none" w:sz="0" w:space="0" w:color="auto"/>
        <w:bottom w:val="none" w:sz="0" w:space="0" w:color="auto"/>
        <w:right w:val="none" w:sz="0" w:space="0" w:color="auto"/>
      </w:divBdr>
      <w:divsChild>
        <w:div w:id="727192107">
          <w:marLeft w:val="547"/>
          <w:marRight w:val="0"/>
          <w:marTop w:val="200"/>
          <w:marBottom w:val="0"/>
          <w:divBdr>
            <w:top w:val="none" w:sz="0" w:space="0" w:color="auto"/>
            <w:left w:val="none" w:sz="0" w:space="0" w:color="auto"/>
            <w:bottom w:val="none" w:sz="0" w:space="0" w:color="auto"/>
            <w:right w:val="none" w:sz="0" w:space="0" w:color="auto"/>
          </w:divBdr>
        </w:div>
        <w:div w:id="433786955">
          <w:marLeft w:val="547"/>
          <w:marRight w:val="0"/>
          <w:marTop w:val="200"/>
          <w:marBottom w:val="0"/>
          <w:divBdr>
            <w:top w:val="none" w:sz="0" w:space="0" w:color="auto"/>
            <w:left w:val="none" w:sz="0" w:space="0" w:color="auto"/>
            <w:bottom w:val="none" w:sz="0" w:space="0" w:color="auto"/>
            <w:right w:val="none" w:sz="0" w:space="0" w:color="auto"/>
          </w:divBdr>
        </w:div>
      </w:divsChild>
    </w:div>
    <w:div w:id="536890320">
      <w:bodyDiv w:val="1"/>
      <w:marLeft w:val="0"/>
      <w:marRight w:val="0"/>
      <w:marTop w:val="0"/>
      <w:marBottom w:val="0"/>
      <w:divBdr>
        <w:top w:val="none" w:sz="0" w:space="0" w:color="auto"/>
        <w:left w:val="none" w:sz="0" w:space="0" w:color="auto"/>
        <w:bottom w:val="none" w:sz="0" w:space="0" w:color="auto"/>
        <w:right w:val="none" w:sz="0" w:space="0" w:color="auto"/>
      </w:divBdr>
    </w:div>
    <w:div w:id="544100997">
      <w:bodyDiv w:val="1"/>
      <w:marLeft w:val="0"/>
      <w:marRight w:val="0"/>
      <w:marTop w:val="0"/>
      <w:marBottom w:val="0"/>
      <w:divBdr>
        <w:top w:val="none" w:sz="0" w:space="0" w:color="auto"/>
        <w:left w:val="none" w:sz="0" w:space="0" w:color="auto"/>
        <w:bottom w:val="none" w:sz="0" w:space="0" w:color="auto"/>
        <w:right w:val="none" w:sz="0" w:space="0" w:color="auto"/>
      </w:divBdr>
    </w:div>
    <w:div w:id="549653392">
      <w:bodyDiv w:val="1"/>
      <w:marLeft w:val="0"/>
      <w:marRight w:val="0"/>
      <w:marTop w:val="0"/>
      <w:marBottom w:val="0"/>
      <w:divBdr>
        <w:top w:val="none" w:sz="0" w:space="0" w:color="auto"/>
        <w:left w:val="none" w:sz="0" w:space="0" w:color="auto"/>
        <w:bottom w:val="none" w:sz="0" w:space="0" w:color="auto"/>
        <w:right w:val="none" w:sz="0" w:space="0" w:color="auto"/>
      </w:divBdr>
    </w:div>
    <w:div w:id="582493172">
      <w:bodyDiv w:val="1"/>
      <w:marLeft w:val="0"/>
      <w:marRight w:val="0"/>
      <w:marTop w:val="0"/>
      <w:marBottom w:val="0"/>
      <w:divBdr>
        <w:top w:val="none" w:sz="0" w:space="0" w:color="auto"/>
        <w:left w:val="none" w:sz="0" w:space="0" w:color="auto"/>
        <w:bottom w:val="none" w:sz="0" w:space="0" w:color="auto"/>
        <w:right w:val="none" w:sz="0" w:space="0" w:color="auto"/>
      </w:divBdr>
      <w:divsChild>
        <w:div w:id="1962027631">
          <w:marLeft w:val="720"/>
          <w:marRight w:val="0"/>
          <w:marTop w:val="200"/>
          <w:marBottom w:val="0"/>
          <w:divBdr>
            <w:top w:val="none" w:sz="0" w:space="0" w:color="auto"/>
            <w:left w:val="none" w:sz="0" w:space="0" w:color="auto"/>
            <w:bottom w:val="none" w:sz="0" w:space="0" w:color="auto"/>
            <w:right w:val="none" w:sz="0" w:space="0" w:color="auto"/>
          </w:divBdr>
        </w:div>
        <w:div w:id="1154764303">
          <w:marLeft w:val="720"/>
          <w:marRight w:val="0"/>
          <w:marTop w:val="200"/>
          <w:marBottom w:val="0"/>
          <w:divBdr>
            <w:top w:val="none" w:sz="0" w:space="0" w:color="auto"/>
            <w:left w:val="none" w:sz="0" w:space="0" w:color="auto"/>
            <w:bottom w:val="none" w:sz="0" w:space="0" w:color="auto"/>
            <w:right w:val="none" w:sz="0" w:space="0" w:color="auto"/>
          </w:divBdr>
        </w:div>
      </w:divsChild>
    </w:div>
    <w:div w:id="602763572">
      <w:bodyDiv w:val="1"/>
      <w:marLeft w:val="0"/>
      <w:marRight w:val="0"/>
      <w:marTop w:val="0"/>
      <w:marBottom w:val="0"/>
      <w:divBdr>
        <w:top w:val="none" w:sz="0" w:space="0" w:color="auto"/>
        <w:left w:val="none" w:sz="0" w:space="0" w:color="auto"/>
        <w:bottom w:val="none" w:sz="0" w:space="0" w:color="auto"/>
        <w:right w:val="none" w:sz="0" w:space="0" w:color="auto"/>
      </w:divBdr>
    </w:div>
    <w:div w:id="623855647">
      <w:bodyDiv w:val="1"/>
      <w:marLeft w:val="0"/>
      <w:marRight w:val="0"/>
      <w:marTop w:val="0"/>
      <w:marBottom w:val="0"/>
      <w:divBdr>
        <w:top w:val="none" w:sz="0" w:space="0" w:color="auto"/>
        <w:left w:val="none" w:sz="0" w:space="0" w:color="auto"/>
        <w:bottom w:val="none" w:sz="0" w:space="0" w:color="auto"/>
        <w:right w:val="none" w:sz="0" w:space="0" w:color="auto"/>
      </w:divBdr>
    </w:div>
    <w:div w:id="672729198">
      <w:bodyDiv w:val="1"/>
      <w:marLeft w:val="0"/>
      <w:marRight w:val="0"/>
      <w:marTop w:val="0"/>
      <w:marBottom w:val="0"/>
      <w:divBdr>
        <w:top w:val="none" w:sz="0" w:space="0" w:color="auto"/>
        <w:left w:val="none" w:sz="0" w:space="0" w:color="auto"/>
        <w:bottom w:val="none" w:sz="0" w:space="0" w:color="auto"/>
        <w:right w:val="none" w:sz="0" w:space="0" w:color="auto"/>
      </w:divBdr>
    </w:div>
    <w:div w:id="725568176">
      <w:bodyDiv w:val="1"/>
      <w:marLeft w:val="0"/>
      <w:marRight w:val="0"/>
      <w:marTop w:val="0"/>
      <w:marBottom w:val="0"/>
      <w:divBdr>
        <w:top w:val="none" w:sz="0" w:space="0" w:color="auto"/>
        <w:left w:val="none" w:sz="0" w:space="0" w:color="auto"/>
        <w:bottom w:val="none" w:sz="0" w:space="0" w:color="auto"/>
        <w:right w:val="none" w:sz="0" w:space="0" w:color="auto"/>
      </w:divBdr>
    </w:div>
    <w:div w:id="816799239">
      <w:bodyDiv w:val="1"/>
      <w:marLeft w:val="0"/>
      <w:marRight w:val="0"/>
      <w:marTop w:val="0"/>
      <w:marBottom w:val="0"/>
      <w:divBdr>
        <w:top w:val="none" w:sz="0" w:space="0" w:color="auto"/>
        <w:left w:val="none" w:sz="0" w:space="0" w:color="auto"/>
        <w:bottom w:val="none" w:sz="0" w:space="0" w:color="auto"/>
        <w:right w:val="none" w:sz="0" w:space="0" w:color="auto"/>
      </w:divBdr>
    </w:div>
    <w:div w:id="857618336">
      <w:bodyDiv w:val="1"/>
      <w:marLeft w:val="0"/>
      <w:marRight w:val="0"/>
      <w:marTop w:val="0"/>
      <w:marBottom w:val="0"/>
      <w:divBdr>
        <w:top w:val="none" w:sz="0" w:space="0" w:color="auto"/>
        <w:left w:val="none" w:sz="0" w:space="0" w:color="auto"/>
        <w:bottom w:val="none" w:sz="0" w:space="0" w:color="auto"/>
        <w:right w:val="none" w:sz="0" w:space="0" w:color="auto"/>
      </w:divBdr>
    </w:div>
    <w:div w:id="860244450">
      <w:bodyDiv w:val="1"/>
      <w:marLeft w:val="0"/>
      <w:marRight w:val="0"/>
      <w:marTop w:val="0"/>
      <w:marBottom w:val="0"/>
      <w:divBdr>
        <w:top w:val="none" w:sz="0" w:space="0" w:color="auto"/>
        <w:left w:val="none" w:sz="0" w:space="0" w:color="auto"/>
        <w:bottom w:val="none" w:sz="0" w:space="0" w:color="auto"/>
        <w:right w:val="none" w:sz="0" w:space="0" w:color="auto"/>
      </w:divBdr>
      <w:divsChild>
        <w:div w:id="780730864">
          <w:marLeft w:val="1987"/>
          <w:marRight w:val="0"/>
          <w:marTop w:val="0"/>
          <w:marBottom w:val="0"/>
          <w:divBdr>
            <w:top w:val="none" w:sz="0" w:space="0" w:color="auto"/>
            <w:left w:val="none" w:sz="0" w:space="0" w:color="auto"/>
            <w:bottom w:val="none" w:sz="0" w:space="0" w:color="auto"/>
            <w:right w:val="none" w:sz="0" w:space="0" w:color="auto"/>
          </w:divBdr>
        </w:div>
        <w:div w:id="730269327">
          <w:marLeft w:val="1987"/>
          <w:marRight w:val="0"/>
          <w:marTop w:val="0"/>
          <w:marBottom w:val="0"/>
          <w:divBdr>
            <w:top w:val="none" w:sz="0" w:space="0" w:color="auto"/>
            <w:left w:val="none" w:sz="0" w:space="0" w:color="auto"/>
            <w:bottom w:val="none" w:sz="0" w:space="0" w:color="auto"/>
            <w:right w:val="none" w:sz="0" w:space="0" w:color="auto"/>
          </w:divBdr>
        </w:div>
      </w:divsChild>
    </w:div>
    <w:div w:id="860439390">
      <w:bodyDiv w:val="1"/>
      <w:marLeft w:val="0"/>
      <w:marRight w:val="0"/>
      <w:marTop w:val="0"/>
      <w:marBottom w:val="0"/>
      <w:divBdr>
        <w:top w:val="none" w:sz="0" w:space="0" w:color="auto"/>
        <w:left w:val="none" w:sz="0" w:space="0" w:color="auto"/>
        <w:bottom w:val="none" w:sz="0" w:space="0" w:color="auto"/>
        <w:right w:val="none" w:sz="0" w:space="0" w:color="auto"/>
      </w:divBdr>
    </w:div>
    <w:div w:id="872351793">
      <w:bodyDiv w:val="1"/>
      <w:marLeft w:val="0"/>
      <w:marRight w:val="0"/>
      <w:marTop w:val="0"/>
      <w:marBottom w:val="0"/>
      <w:divBdr>
        <w:top w:val="none" w:sz="0" w:space="0" w:color="auto"/>
        <w:left w:val="none" w:sz="0" w:space="0" w:color="auto"/>
        <w:bottom w:val="none" w:sz="0" w:space="0" w:color="auto"/>
        <w:right w:val="none" w:sz="0" w:space="0" w:color="auto"/>
      </w:divBdr>
    </w:div>
    <w:div w:id="965501014">
      <w:bodyDiv w:val="1"/>
      <w:marLeft w:val="0"/>
      <w:marRight w:val="0"/>
      <w:marTop w:val="0"/>
      <w:marBottom w:val="0"/>
      <w:divBdr>
        <w:top w:val="none" w:sz="0" w:space="0" w:color="auto"/>
        <w:left w:val="none" w:sz="0" w:space="0" w:color="auto"/>
        <w:bottom w:val="none" w:sz="0" w:space="0" w:color="auto"/>
        <w:right w:val="none" w:sz="0" w:space="0" w:color="auto"/>
      </w:divBdr>
    </w:div>
    <w:div w:id="977953817">
      <w:bodyDiv w:val="1"/>
      <w:marLeft w:val="0"/>
      <w:marRight w:val="0"/>
      <w:marTop w:val="0"/>
      <w:marBottom w:val="0"/>
      <w:divBdr>
        <w:top w:val="none" w:sz="0" w:space="0" w:color="auto"/>
        <w:left w:val="none" w:sz="0" w:space="0" w:color="auto"/>
        <w:bottom w:val="none" w:sz="0" w:space="0" w:color="auto"/>
        <w:right w:val="none" w:sz="0" w:space="0" w:color="auto"/>
      </w:divBdr>
    </w:div>
    <w:div w:id="997684075">
      <w:bodyDiv w:val="1"/>
      <w:marLeft w:val="0"/>
      <w:marRight w:val="0"/>
      <w:marTop w:val="0"/>
      <w:marBottom w:val="0"/>
      <w:divBdr>
        <w:top w:val="none" w:sz="0" w:space="0" w:color="auto"/>
        <w:left w:val="none" w:sz="0" w:space="0" w:color="auto"/>
        <w:bottom w:val="none" w:sz="0" w:space="0" w:color="auto"/>
        <w:right w:val="none" w:sz="0" w:space="0" w:color="auto"/>
      </w:divBdr>
      <w:divsChild>
        <w:div w:id="1077094580">
          <w:marLeft w:val="446"/>
          <w:marRight w:val="0"/>
          <w:marTop w:val="200"/>
          <w:marBottom w:val="0"/>
          <w:divBdr>
            <w:top w:val="none" w:sz="0" w:space="0" w:color="auto"/>
            <w:left w:val="none" w:sz="0" w:space="0" w:color="auto"/>
            <w:bottom w:val="none" w:sz="0" w:space="0" w:color="auto"/>
            <w:right w:val="none" w:sz="0" w:space="0" w:color="auto"/>
          </w:divBdr>
        </w:div>
        <w:div w:id="971324455">
          <w:marLeft w:val="446"/>
          <w:marRight w:val="0"/>
          <w:marTop w:val="200"/>
          <w:marBottom w:val="0"/>
          <w:divBdr>
            <w:top w:val="none" w:sz="0" w:space="0" w:color="auto"/>
            <w:left w:val="none" w:sz="0" w:space="0" w:color="auto"/>
            <w:bottom w:val="none" w:sz="0" w:space="0" w:color="auto"/>
            <w:right w:val="none" w:sz="0" w:space="0" w:color="auto"/>
          </w:divBdr>
        </w:div>
      </w:divsChild>
    </w:div>
    <w:div w:id="1050691300">
      <w:bodyDiv w:val="1"/>
      <w:marLeft w:val="0"/>
      <w:marRight w:val="0"/>
      <w:marTop w:val="0"/>
      <w:marBottom w:val="0"/>
      <w:divBdr>
        <w:top w:val="none" w:sz="0" w:space="0" w:color="auto"/>
        <w:left w:val="none" w:sz="0" w:space="0" w:color="auto"/>
        <w:bottom w:val="none" w:sz="0" w:space="0" w:color="auto"/>
        <w:right w:val="none" w:sz="0" w:space="0" w:color="auto"/>
      </w:divBdr>
    </w:div>
    <w:div w:id="1155491009">
      <w:bodyDiv w:val="1"/>
      <w:marLeft w:val="0"/>
      <w:marRight w:val="0"/>
      <w:marTop w:val="0"/>
      <w:marBottom w:val="0"/>
      <w:divBdr>
        <w:top w:val="none" w:sz="0" w:space="0" w:color="auto"/>
        <w:left w:val="none" w:sz="0" w:space="0" w:color="auto"/>
        <w:bottom w:val="none" w:sz="0" w:space="0" w:color="auto"/>
        <w:right w:val="none" w:sz="0" w:space="0" w:color="auto"/>
      </w:divBdr>
    </w:div>
    <w:div w:id="1172379140">
      <w:bodyDiv w:val="1"/>
      <w:marLeft w:val="0"/>
      <w:marRight w:val="0"/>
      <w:marTop w:val="0"/>
      <w:marBottom w:val="0"/>
      <w:divBdr>
        <w:top w:val="none" w:sz="0" w:space="0" w:color="auto"/>
        <w:left w:val="none" w:sz="0" w:space="0" w:color="auto"/>
        <w:bottom w:val="none" w:sz="0" w:space="0" w:color="auto"/>
        <w:right w:val="none" w:sz="0" w:space="0" w:color="auto"/>
      </w:divBdr>
    </w:div>
    <w:div w:id="1188789537">
      <w:bodyDiv w:val="1"/>
      <w:marLeft w:val="0"/>
      <w:marRight w:val="0"/>
      <w:marTop w:val="0"/>
      <w:marBottom w:val="0"/>
      <w:divBdr>
        <w:top w:val="none" w:sz="0" w:space="0" w:color="auto"/>
        <w:left w:val="none" w:sz="0" w:space="0" w:color="auto"/>
        <w:bottom w:val="none" w:sz="0" w:space="0" w:color="auto"/>
        <w:right w:val="none" w:sz="0" w:space="0" w:color="auto"/>
      </w:divBdr>
      <w:divsChild>
        <w:div w:id="1076898964">
          <w:marLeft w:val="0"/>
          <w:marRight w:val="0"/>
          <w:marTop w:val="0"/>
          <w:marBottom w:val="0"/>
          <w:divBdr>
            <w:top w:val="none" w:sz="0" w:space="0" w:color="auto"/>
            <w:left w:val="none" w:sz="0" w:space="0" w:color="auto"/>
            <w:bottom w:val="none" w:sz="0" w:space="0" w:color="auto"/>
            <w:right w:val="none" w:sz="0" w:space="0" w:color="auto"/>
          </w:divBdr>
        </w:div>
        <w:div w:id="1095050134">
          <w:marLeft w:val="0"/>
          <w:marRight w:val="0"/>
          <w:marTop w:val="0"/>
          <w:marBottom w:val="0"/>
          <w:divBdr>
            <w:top w:val="none" w:sz="0" w:space="0" w:color="auto"/>
            <w:left w:val="none" w:sz="0" w:space="0" w:color="auto"/>
            <w:bottom w:val="none" w:sz="0" w:space="0" w:color="auto"/>
            <w:right w:val="none" w:sz="0" w:space="0" w:color="auto"/>
          </w:divBdr>
        </w:div>
        <w:div w:id="975720695">
          <w:marLeft w:val="0"/>
          <w:marRight w:val="0"/>
          <w:marTop w:val="0"/>
          <w:marBottom w:val="0"/>
          <w:divBdr>
            <w:top w:val="none" w:sz="0" w:space="0" w:color="auto"/>
            <w:left w:val="none" w:sz="0" w:space="0" w:color="auto"/>
            <w:bottom w:val="none" w:sz="0" w:space="0" w:color="auto"/>
            <w:right w:val="none" w:sz="0" w:space="0" w:color="auto"/>
          </w:divBdr>
        </w:div>
        <w:div w:id="1148983376">
          <w:marLeft w:val="0"/>
          <w:marRight w:val="0"/>
          <w:marTop w:val="0"/>
          <w:marBottom w:val="0"/>
          <w:divBdr>
            <w:top w:val="none" w:sz="0" w:space="0" w:color="auto"/>
            <w:left w:val="none" w:sz="0" w:space="0" w:color="auto"/>
            <w:bottom w:val="none" w:sz="0" w:space="0" w:color="auto"/>
            <w:right w:val="none" w:sz="0" w:space="0" w:color="auto"/>
          </w:divBdr>
        </w:div>
      </w:divsChild>
    </w:div>
    <w:div w:id="1199129028">
      <w:bodyDiv w:val="1"/>
      <w:marLeft w:val="0"/>
      <w:marRight w:val="0"/>
      <w:marTop w:val="0"/>
      <w:marBottom w:val="0"/>
      <w:divBdr>
        <w:top w:val="none" w:sz="0" w:space="0" w:color="auto"/>
        <w:left w:val="none" w:sz="0" w:space="0" w:color="auto"/>
        <w:bottom w:val="none" w:sz="0" w:space="0" w:color="auto"/>
        <w:right w:val="none" w:sz="0" w:space="0" w:color="auto"/>
      </w:divBdr>
    </w:div>
    <w:div w:id="1219051010">
      <w:bodyDiv w:val="1"/>
      <w:marLeft w:val="0"/>
      <w:marRight w:val="0"/>
      <w:marTop w:val="0"/>
      <w:marBottom w:val="0"/>
      <w:divBdr>
        <w:top w:val="none" w:sz="0" w:space="0" w:color="auto"/>
        <w:left w:val="none" w:sz="0" w:space="0" w:color="auto"/>
        <w:bottom w:val="none" w:sz="0" w:space="0" w:color="auto"/>
        <w:right w:val="none" w:sz="0" w:space="0" w:color="auto"/>
      </w:divBdr>
    </w:div>
    <w:div w:id="1254699755">
      <w:bodyDiv w:val="1"/>
      <w:marLeft w:val="0"/>
      <w:marRight w:val="0"/>
      <w:marTop w:val="0"/>
      <w:marBottom w:val="0"/>
      <w:divBdr>
        <w:top w:val="none" w:sz="0" w:space="0" w:color="auto"/>
        <w:left w:val="none" w:sz="0" w:space="0" w:color="auto"/>
        <w:bottom w:val="none" w:sz="0" w:space="0" w:color="auto"/>
        <w:right w:val="none" w:sz="0" w:space="0" w:color="auto"/>
      </w:divBdr>
      <w:divsChild>
        <w:div w:id="957101376">
          <w:marLeft w:val="0"/>
          <w:marRight w:val="0"/>
          <w:marTop w:val="0"/>
          <w:marBottom w:val="0"/>
          <w:divBdr>
            <w:top w:val="none" w:sz="0" w:space="0" w:color="auto"/>
            <w:left w:val="none" w:sz="0" w:space="0" w:color="auto"/>
            <w:bottom w:val="none" w:sz="0" w:space="0" w:color="auto"/>
            <w:right w:val="none" w:sz="0" w:space="0" w:color="auto"/>
          </w:divBdr>
        </w:div>
        <w:div w:id="22247089">
          <w:marLeft w:val="0"/>
          <w:marRight w:val="0"/>
          <w:marTop w:val="0"/>
          <w:marBottom w:val="0"/>
          <w:divBdr>
            <w:top w:val="none" w:sz="0" w:space="0" w:color="auto"/>
            <w:left w:val="none" w:sz="0" w:space="0" w:color="auto"/>
            <w:bottom w:val="none" w:sz="0" w:space="0" w:color="auto"/>
            <w:right w:val="none" w:sz="0" w:space="0" w:color="auto"/>
          </w:divBdr>
        </w:div>
        <w:div w:id="158271940">
          <w:marLeft w:val="0"/>
          <w:marRight w:val="0"/>
          <w:marTop w:val="0"/>
          <w:marBottom w:val="0"/>
          <w:divBdr>
            <w:top w:val="none" w:sz="0" w:space="0" w:color="auto"/>
            <w:left w:val="none" w:sz="0" w:space="0" w:color="auto"/>
            <w:bottom w:val="none" w:sz="0" w:space="0" w:color="auto"/>
            <w:right w:val="none" w:sz="0" w:space="0" w:color="auto"/>
          </w:divBdr>
        </w:div>
        <w:div w:id="1001011991">
          <w:marLeft w:val="0"/>
          <w:marRight w:val="0"/>
          <w:marTop w:val="0"/>
          <w:marBottom w:val="0"/>
          <w:divBdr>
            <w:top w:val="none" w:sz="0" w:space="0" w:color="auto"/>
            <w:left w:val="none" w:sz="0" w:space="0" w:color="auto"/>
            <w:bottom w:val="none" w:sz="0" w:space="0" w:color="auto"/>
            <w:right w:val="none" w:sz="0" w:space="0" w:color="auto"/>
          </w:divBdr>
        </w:div>
        <w:div w:id="62224412">
          <w:marLeft w:val="0"/>
          <w:marRight w:val="0"/>
          <w:marTop w:val="0"/>
          <w:marBottom w:val="0"/>
          <w:divBdr>
            <w:top w:val="none" w:sz="0" w:space="0" w:color="auto"/>
            <w:left w:val="none" w:sz="0" w:space="0" w:color="auto"/>
            <w:bottom w:val="none" w:sz="0" w:space="0" w:color="auto"/>
            <w:right w:val="none" w:sz="0" w:space="0" w:color="auto"/>
          </w:divBdr>
        </w:div>
        <w:div w:id="2103137248">
          <w:marLeft w:val="0"/>
          <w:marRight w:val="0"/>
          <w:marTop w:val="0"/>
          <w:marBottom w:val="0"/>
          <w:divBdr>
            <w:top w:val="none" w:sz="0" w:space="0" w:color="auto"/>
            <w:left w:val="none" w:sz="0" w:space="0" w:color="auto"/>
            <w:bottom w:val="none" w:sz="0" w:space="0" w:color="auto"/>
            <w:right w:val="none" w:sz="0" w:space="0" w:color="auto"/>
          </w:divBdr>
        </w:div>
      </w:divsChild>
    </w:div>
    <w:div w:id="1267425186">
      <w:bodyDiv w:val="1"/>
      <w:marLeft w:val="0"/>
      <w:marRight w:val="0"/>
      <w:marTop w:val="0"/>
      <w:marBottom w:val="0"/>
      <w:divBdr>
        <w:top w:val="none" w:sz="0" w:space="0" w:color="auto"/>
        <w:left w:val="none" w:sz="0" w:space="0" w:color="auto"/>
        <w:bottom w:val="none" w:sz="0" w:space="0" w:color="auto"/>
        <w:right w:val="none" w:sz="0" w:space="0" w:color="auto"/>
      </w:divBdr>
    </w:div>
    <w:div w:id="1301501960">
      <w:bodyDiv w:val="1"/>
      <w:marLeft w:val="0"/>
      <w:marRight w:val="0"/>
      <w:marTop w:val="0"/>
      <w:marBottom w:val="0"/>
      <w:divBdr>
        <w:top w:val="none" w:sz="0" w:space="0" w:color="auto"/>
        <w:left w:val="none" w:sz="0" w:space="0" w:color="auto"/>
        <w:bottom w:val="none" w:sz="0" w:space="0" w:color="auto"/>
        <w:right w:val="none" w:sz="0" w:space="0" w:color="auto"/>
      </w:divBdr>
      <w:divsChild>
        <w:div w:id="1945571491">
          <w:marLeft w:val="446"/>
          <w:marRight w:val="0"/>
          <w:marTop w:val="200"/>
          <w:marBottom w:val="0"/>
          <w:divBdr>
            <w:top w:val="none" w:sz="0" w:space="0" w:color="auto"/>
            <w:left w:val="none" w:sz="0" w:space="0" w:color="auto"/>
            <w:bottom w:val="none" w:sz="0" w:space="0" w:color="auto"/>
            <w:right w:val="none" w:sz="0" w:space="0" w:color="auto"/>
          </w:divBdr>
        </w:div>
        <w:div w:id="1345519720">
          <w:marLeft w:val="446"/>
          <w:marRight w:val="0"/>
          <w:marTop w:val="200"/>
          <w:marBottom w:val="0"/>
          <w:divBdr>
            <w:top w:val="none" w:sz="0" w:space="0" w:color="auto"/>
            <w:left w:val="none" w:sz="0" w:space="0" w:color="auto"/>
            <w:bottom w:val="none" w:sz="0" w:space="0" w:color="auto"/>
            <w:right w:val="none" w:sz="0" w:space="0" w:color="auto"/>
          </w:divBdr>
        </w:div>
        <w:div w:id="164364974">
          <w:marLeft w:val="446"/>
          <w:marRight w:val="0"/>
          <w:marTop w:val="200"/>
          <w:marBottom w:val="0"/>
          <w:divBdr>
            <w:top w:val="none" w:sz="0" w:space="0" w:color="auto"/>
            <w:left w:val="none" w:sz="0" w:space="0" w:color="auto"/>
            <w:bottom w:val="none" w:sz="0" w:space="0" w:color="auto"/>
            <w:right w:val="none" w:sz="0" w:space="0" w:color="auto"/>
          </w:divBdr>
        </w:div>
      </w:divsChild>
    </w:div>
    <w:div w:id="1316838520">
      <w:bodyDiv w:val="1"/>
      <w:marLeft w:val="0"/>
      <w:marRight w:val="0"/>
      <w:marTop w:val="0"/>
      <w:marBottom w:val="0"/>
      <w:divBdr>
        <w:top w:val="none" w:sz="0" w:space="0" w:color="auto"/>
        <w:left w:val="none" w:sz="0" w:space="0" w:color="auto"/>
        <w:bottom w:val="none" w:sz="0" w:space="0" w:color="auto"/>
        <w:right w:val="none" w:sz="0" w:space="0" w:color="auto"/>
      </w:divBdr>
      <w:divsChild>
        <w:div w:id="1165243401">
          <w:marLeft w:val="547"/>
          <w:marRight w:val="0"/>
          <w:marTop w:val="200"/>
          <w:marBottom w:val="0"/>
          <w:divBdr>
            <w:top w:val="none" w:sz="0" w:space="0" w:color="auto"/>
            <w:left w:val="none" w:sz="0" w:space="0" w:color="auto"/>
            <w:bottom w:val="none" w:sz="0" w:space="0" w:color="auto"/>
            <w:right w:val="none" w:sz="0" w:space="0" w:color="auto"/>
          </w:divBdr>
        </w:div>
        <w:div w:id="1255700804">
          <w:marLeft w:val="547"/>
          <w:marRight w:val="0"/>
          <w:marTop w:val="200"/>
          <w:marBottom w:val="0"/>
          <w:divBdr>
            <w:top w:val="none" w:sz="0" w:space="0" w:color="auto"/>
            <w:left w:val="none" w:sz="0" w:space="0" w:color="auto"/>
            <w:bottom w:val="none" w:sz="0" w:space="0" w:color="auto"/>
            <w:right w:val="none" w:sz="0" w:space="0" w:color="auto"/>
          </w:divBdr>
        </w:div>
        <w:div w:id="1428961985">
          <w:marLeft w:val="547"/>
          <w:marRight w:val="0"/>
          <w:marTop w:val="200"/>
          <w:marBottom w:val="0"/>
          <w:divBdr>
            <w:top w:val="none" w:sz="0" w:space="0" w:color="auto"/>
            <w:left w:val="none" w:sz="0" w:space="0" w:color="auto"/>
            <w:bottom w:val="none" w:sz="0" w:space="0" w:color="auto"/>
            <w:right w:val="none" w:sz="0" w:space="0" w:color="auto"/>
          </w:divBdr>
        </w:div>
        <w:div w:id="1075321126">
          <w:marLeft w:val="547"/>
          <w:marRight w:val="0"/>
          <w:marTop w:val="200"/>
          <w:marBottom w:val="0"/>
          <w:divBdr>
            <w:top w:val="none" w:sz="0" w:space="0" w:color="auto"/>
            <w:left w:val="none" w:sz="0" w:space="0" w:color="auto"/>
            <w:bottom w:val="none" w:sz="0" w:space="0" w:color="auto"/>
            <w:right w:val="none" w:sz="0" w:space="0" w:color="auto"/>
          </w:divBdr>
        </w:div>
        <w:div w:id="890574368">
          <w:marLeft w:val="547"/>
          <w:marRight w:val="0"/>
          <w:marTop w:val="200"/>
          <w:marBottom w:val="0"/>
          <w:divBdr>
            <w:top w:val="none" w:sz="0" w:space="0" w:color="auto"/>
            <w:left w:val="none" w:sz="0" w:space="0" w:color="auto"/>
            <w:bottom w:val="none" w:sz="0" w:space="0" w:color="auto"/>
            <w:right w:val="none" w:sz="0" w:space="0" w:color="auto"/>
          </w:divBdr>
        </w:div>
      </w:divsChild>
    </w:div>
    <w:div w:id="1329360586">
      <w:bodyDiv w:val="1"/>
      <w:marLeft w:val="0"/>
      <w:marRight w:val="0"/>
      <w:marTop w:val="0"/>
      <w:marBottom w:val="0"/>
      <w:divBdr>
        <w:top w:val="none" w:sz="0" w:space="0" w:color="auto"/>
        <w:left w:val="none" w:sz="0" w:space="0" w:color="auto"/>
        <w:bottom w:val="none" w:sz="0" w:space="0" w:color="auto"/>
        <w:right w:val="none" w:sz="0" w:space="0" w:color="auto"/>
      </w:divBdr>
    </w:div>
    <w:div w:id="1383870523">
      <w:bodyDiv w:val="1"/>
      <w:marLeft w:val="0"/>
      <w:marRight w:val="0"/>
      <w:marTop w:val="0"/>
      <w:marBottom w:val="0"/>
      <w:divBdr>
        <w:top w:val="none" w:sz="0" w:space="0" w:color="auto"/>
        <w:left w:val="none" w:sz="0" w:space="0" w:color="auto"/>
        <w:bottom w:val="none" w:sz="0" w:space="0" w:color="auto"/>
        <w:right w:val="none" w:sz="0" w:space="0" w:color="auto"/>
      </w:divBdr>
    </w:div>
    <w:div w:id="1476142505">
      <w:bodyDiv w:val="1"/>
      <w:marLeft w:val="0"/>
      <w:marRight w:val="0"/>
      <w:marTop w:val="0"/>
      <w:marBottom w:val="0"/>
      <w:divBdr>
        <w:top w:val="none" w:sz="0" w:space="0" w:color="auto"/>
        <w:left w:val="none" w:sz="0" w:space="0" w:color="auto"/>
        <w:bottom w:val="none" w:sz="0" w:space="0" w:color="auto"/>
        <w:right w:val="none" w:sz="0" w:space="0" w:color="auto"/>
      </w:divBdr>
    </w:div>
    <w:div w:id="1528104225">
      <w:bodyDiv w:val="1"/>
      <w:marLeft w:val="0"/>
      <w:marRight w:val="0"/>
      <w:marTop w:val="0"/>
      <w:marBottom w:val="0"/>
      <w:divBdr>
        <w:top w:val="none" w:sz="0" w:space="0" w:color="auto"/>
        <w:left w:val="none" w:sz="0" w:space="0" w:color="auto"/>
        <w:bottom w:val="none" w:sz="0" w:space="0" w:color="auto"/>
        <w:right w:val="none" w:sz="0" w:space="0" w:color="auto"/>
      </w:divBdr>
    </w:div>
    <w:div w:id="1551922341">
      <w:bodyDiv w:val="1"/>
      <w:marLeft w:val="0"/>
      <w:marRight w:val="0"/>
      <w:marTop w:val="0"/>
      <w:marBottom w:val="0"/>
      <w:divBdr>
        <w:top w:val="none" w:sz="0" w:space="0" w:color="auto"/>
        <w:left w:val="none" w:sz="0" w:space="0" w:color="auto"/>
        <w:bottom w:val="none" w:sz="0" w:space="0" w:color="auto"/>
        <w:right w:val="none" w:sz="0" w:space="0" w:color="auto"/>
      </w:divBdr>
    </w:div>
    <w:div w:id="1587376156">
      <w:bodyDiv w:val="1"/>
      <w:marLeft w:val="0"/>
      <w:marRight w:val="0"/>
      <w:marTop w:val="0"/>
      <w:marBottom w:val="0"/>
      <w:divBdr>
        <w:top w:val="none" w:sz="0" w:space="0" w:color="auto"/>
        <w:left w:val="none" w:sz="0" w:space="0" w:color="auto"/>
        <w:bottom w:val="none" w:sz="0" w:space="0" w:color="auto"/>
        <w:right w:val="none" w:sz="0" w:space="0" w:color="auto"/>
      </w:divBdr>
    </w:div>
    <w:div w:id="1613131053">
      <w:bodyDiv w:val="1"/>
      <w:marLeft w:val="0"/>
      <w:marRight w:val="0"/>
      <w:marTop w:val="0"/>
      <w:marBottom w:val="0"/>
      <w:divBdr>
        <w:top w:val="none" w:sz="0" w:space="0" w:color="auto"/>
        <w:left w:val="none" w:sz="0" w:space="0" w:color="auto"/>
        <w:bottom w:val="none" w:sz="0" w:space="0" w:color="auto"/>
        <w:right w:val="none" w:sz="0" w:space="0" w:color="auto"/>
      </w:divBdr>
      <w:divsChild>
        <w:div w:id="1978607295">
          <w:marLeft w:val="446"/>
          <w:marRight w:val="0"/>
          <w:marTop w:val="0"/>
          <w:marBottom w:val="0"/>
          <w:divBdr>
            <w:top w:val="none" w:sz="0" w:space="0" w:color="auto"/>
            <w:left w:val="none" w:sz="0" w:space="0" w:color="auto"/>
            <w:bottom w:val="none" w:sz="0" w:space="0" w:color="auto"/>
            <w:right w:val="none" w:sz="0" w:space="0" w:color="auto"/>
          </w:divBdr>
        </w:div>
        <w:div w:id="569271990">
          <w:marLeft w:val="446"/>
          <w:marRight w:val="0"/>
          <w:marTop w:val="0"/>
          <w:marBottom w:val="0"/>
          <w:divBdr>
            <w:top w:val="none" w:sz="0" w:space="0" w:color="auto"/>
            <w:left w:val="none" w:sz="0" w:space="0" w:color="auto"/>
            <w:bottom w:val="none" w:sz="0" w:space="0" w:color="auto"/>
            <w:right w:val="none" w:sz="0" w:space="0" w:color="auto"/>
          </w:divBdr>
        </w:div>
        <w:div w:id="288244536">
          <w:marLeft w:val="446"/>
          <w:marRight w:val="0"/>
          <w:marTop w:val="0"/>
          <w:marBottom w:val="0"/>
          <w:divBdr>
            <w:top w:val="none" w:sz="0" w:space="0" w:color="auto"/>
            <w:left w:val="none" w:sz="0" w:space="0" w:color="auto"/>
            <w:bottom w:val="none" w:sz="0" w:space="0" w:color="auto"/>
            <w:right w:val="none" w:sz="0" w:space="0" w:color="auto"/>
          </w:divBdr>
        </w:div>
      </w:divsChild>
    </w:div>
    <w:div w:id="1670282633">
      <w:bodyDiv w:val="1"/>
      <w:marLeft w:val="0"/>
      <w:marRight w:val="0"/>
      <w:marTop w:val="0"/>
      <w:marBottom w:val="0"/>
      <w:divBdr>
        <w:top w:val="none" w:sz="0" w:space="0" w:color="auto"/>
        <w:left w:val="none" w:sz="0" w:space="0" w:color="auto"/>
        <w:bottom w:val="none" w:sz="0" w:space="0" w:color="auto"/>
        <w:right w:val="none" w:sz="0" w:space="0" w:color="auto"/>
      </w:divBdr>
    </w:div>
    <w:div w:id="1690371252">
      <w:bodyDiv w:val="1"/>
      <w:marLeft w:val="0"/>
      <w:marRight w:val="0"/>
      <w:marTop w:val="0"/>
      <w:marBottom w:val="0"/>
      <w:divBdr>
        <w:top w:val="none" w:sz="0" w:space="0" w:color="auto"/>
        <w:left w:val="none" w:sz="0" w:space="0" w:color="auto"/>
        <w:bottom w:val="none" w:sz="0" w:space="0" w:color="auto"/>
        <w:right w:val="none" w:sz="0" w:space="0" w:color="auto"/>
      </w:divBdr>
      <w:divsChild>
        <w:div w:id="1217858715">
          <w:marLeft w:val="547"/>
          <w:marRight w:val="0"/>
          <w:marTop w:val="200"/>
          <w:marBottom w:val="0"/>
          <w:divBdr>
            <w:top w:val="none" w:sz="0" w:space="0" w:color="auto"/>
            <w:left w:val="none" w:sz="0" w:space="0" w:color="auto"/>
            <w:bottom w:val="none" w:sz="0" w:space="0" w:color="auto"/>
            <w:right w:val="none" w:sz="0" w:space="0" w:color="auto"/>
          </w:divBdr>
        </w:div>
        <w:div w:id="2058698251">
          <w:marLeft w:val="547"/>
          <w:marRight w:val="0"/>
          <w:marTop w:val="200"/>
          <w:marBottom w:val="0"/>
          <w:divBdr>
            <w:top w:val="none" w:sz="0" w:space="0" w:color="auto"/>
            <w:left w:val="none" w:sz="0" w:space="0" w:color="auto"/>
            <w:bottom w:val="none" w:sz="0" w:space="0" w:color="auto"/>
            <w:right w:val="none" w:sz="0" w:space="0" w:color="auto"/>
          </w:divBdr>
        </w:div>
        <w:div w:id="1189300191">
          <w:marLeft w:val="547"/>
          <w:marRight w:val="0"/>
          <w:marTop w:val="200"/>
          <w:marBottom w:val="0"/>
          <w:divBdr>
            <w:top w:val="none" w:sz="0" w:space="0" w:color="auto"/>
            <w:left w:val="none" w:sz="0" w:space="0" w:color="auto"/>
            <w:bottom w:val="none" w:sz="0" w:space="0" w:color="auto"/>
            <w:right w:val="none" w:sz="0" w:space="0" w:color="auto"/>
          </w:divBdr>
        </w:div>
      </w:divsChild>
    </w:div>
    <w:div w:id="1808429949">
      <w:bodyDiv w:val="1"/>
      <w:marLeft w:val="0"/>
      <w:marRight w:val="0"/>
      <w:marTop w:val="0"/>
      <w:marBottom w:val="0"/>
      <w:divBdr>
        <w:top w:val="none" w:sz="0" w:space="0" w:color="auto"/>
        <w:left w:val="none" w:sz="0" w:space="0" w:color="auto"/>
        <w:bottom w:val="none" w:sz="0" w:space="0" w:color="auto"/>
        <w:right w:val="none" w:sz="0" w:space="0" w:color="auto"/>
      </w:divBdr>
    </w:div>
    <w:div w:id="1867138433">
      <w:bodyDiv w:val="1"/>
      <w:marLeft w:val="0"/>
      <w:marRight w:val="0"/>
      <w:marTop w:val="0"/>
      <w:marBottom w:val="0"/>
      <w:divBdr>
        <w:top w:val="none" w:sz="0" w:space="0" w:color="auto"/>
        <w:left w:val="none" w:sz="0" w:space="0" w:color="auto"/>
        <w:bottom w:val="none" w:sz="0" w:space="0" w:color="auto"/>
        <w:right w:val="none" w:sz="0" w:space="0" w:color="auto"/>
      </w:divBdr>
    </w:div>
    <w:div w:id="1908802270">
      <w:bodyDiv w:val="1"/>
      <w:marLeft w:val="0"/>
      <w:marRight w:val="0"/>
      <w:marTop w:val="0"/>
      <w:marBottom w:val="0"/>
      <w:divBdr>
        <w:top w:val="none" w:sz="0" w:space="0" w:color="auto"/>
        <w:left w:val="none" w:sz="0" w:space="0" w:color="auto"/>
        <w:bottom w:val="none" w:sz="0" w:space="0" w:color="auto"/>
        <w:right w:val="none" w:sz="0" w:space="0" w:color="auto"/>
      </w:divBdr>
    </w:div>
    <w:div w:id="1919749393">
      <w:bodyDiv w:val="1"/>
      <w:marLeft w:val="0"/>
      <w:marRight w:val="0"/>
      <w:marTop w:val="0"/>
      <w:marBottom w:val="0"/>
      <w:divBdr>
        <w:top w:val="none" w:sz="0" w:space="0" w:color="auto"/>
        <w:left w:val="none" w:sz="0" w:space="0" w:color="auto"/>
        <w:bottom w:val="none" w:sz="0" w:space="0" w:color="auto"/>
        <w:right w:val="none" w:sz="0" w:space="0" w:color="auto"/>
      </w:divBdr>
    </w:div>
    <w:div w:id="1970935489">
      <w:bodyDiv w:val="1"/>
      <w:marLeft w:val="0"/>
      <w:marRight w:val="0"/>
      <w:marTop w:val="0"/>
      <w:marBottom w:val="0"/>
      <w:divBdr>
        <w:top w:val="none" w:sz="0" w:space="0" w:color="auto"/>
        <w:left w:val="none" w:sz="0" w:space="0" w:color="auto"/>
        <w:bottom w:val="none" w:sz="0" w:space="0" w:color="auto"/>
        <w:right w:val="none" w:sz="0" w:space="0" w:color="auto"/>
      </w:divBdr>
      <w:divsChild>
        <w:div w:id="150604653">
          <w:marLeft w:val="547"/>
          <w:marRight w:val="0"/>
          <w:marTop w:val="200"/>
          <w:marBottom w:val="0"/>
          <w:divBdr>
            <w:top w:val="none" w:sz="0" w:space="0" w:color="auto"/>
            <w:left w:val="none" w:sz="0" w:space="0" w:color="auto"/>
            <w:bottom w:val="none" w:sz="0" w:space="0" w:color="auto"/>
            <w:right w:val="none" w:sz="0" w:space="0" w:color="auto"/>
          </w:divBdr>
        </w:div>
        <w:div w:id="147207625">
          <w:marLeft w:val="547"/>
          <w:marRight w:val="0"/>
          <w:marTop w:val="200"/>
          <w:marBottom w:val="0"/>
          <w:divBdr>
            <w:top w:val="none" w:sz="0" w:space="0" w:color="auto"/>
            <w:left w:val="none" w:sz="0" w:space="0" w:color="auto"/>
            <w:bottom w:val="none" w:sz="0" w:space="0" w:color="auto"/>
            <w:right w:val="none" w:sz="0" w:space="0" w:color="auto"/>
          </w:divBdr>
        </w:div>
      </w:divsChild>
    </w:div>
    <w:div w:id="2009861215">
      <w:bodyDiv w:val="1"/>
      <w:marLeft w:val="0"/>
      <w:marRight w:val="0"/>
      <w:marTop w:val="0"/>
      <w:marBottom w:val="0"/>
      <w:divBdr>
        <w:top w:val="none" w:sz="0" w:space="0" w:color="auto"/>
        <w:left w:val="none" w:sz="0" w:space="0" w:color="auto"/>
        <w:bottom w:val="none" w:sz="0" w:space="0" w:color="auto"/>
        <w:right w:val="none" w:sz="0" w:space="0" w:color="auto"/>
      </w:divBdr>
    </w:div>
    <w:div w:id="2083483503">
      <w:bodyDiv w:val="1"/>
      <w:marLeft w:val="0"/>
      <w:marRight w:val="0"/>
      <w:marTop w:val="0"/>
      <w:marBottom w:val="0"/>
      <w:divBdr>
        <w:top w:val="none" w:sz="0" w:space="0" w:color="auto"/>
        <w:left w:val="none" w:sz="0" w:space="0" w:color="auto"/>
        <w:bottom w:val="none" w:sz="0" w:space="0" w:color="auto"/>
        <w:right w:val="none" w:sz="0" w:space="0" w:color="auto"/>
      </w:divBdr>
    </w:div>
    <w:div w:id="2100367244">
      <w:bodyDiv w:val="1"/>
      <w:marLeft w:val="0"/>
      <w:marRight w:val="0"/>
      <w:marTop w:val="0"/>
      <w:marBottom w:val="0"/>
      <w:divBdr>
        <w:top w:val="none" w:sz="0" w:space="0" w:color="auto"/>
        <w:left w:val="none" w:sz="0" w:space="0" w:color="auto"/>
        <w:bottom w:val="none" w:sz="0" w:space="0" w:color="auto"/>
        <w:right w:val="none" w:sz="0" w:space="0" w:color="auto"/>
      </w:divBdr>
    </w:div>
    <w:div w:id="21362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vestmentassociation.org/publicregister.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c.org.uk/getattachment/e3b27fda-18c5-4a02-903f-f9267a209684/PEG_Template-re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722B6E-3C83-4D8B-BAA5-3D045C6B5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687295-1B3F-4EA4-AF61-C334C047C45B}">
  <ds:schemaRefs>
    <ds:schemaRef ds:uri="http://schemas.microsoft.com/office/2006/documentManagement/types"/>
    <ds:schemaRef ds:uri="http://schemas.microsoft.com/office/infopath/2007/PartnerControls"/>
    <ds:schemaRef ds:uri="http://purl.org/dc/terms/"/>
    <ds:schemaRef ds:uri="c839ac5d-a8d8-4c0b-bff0-15d0217b8558"/>
    <ds:schemaRef ds:uri="http://purl.org/dc/dcmitype/"/>
    <ds:schemaRef ds:uri="http://schemas.microsoft.com/office/2006/metadata/properties"/>
    <ds:schemaRef ds:uri="http://schemas.openxmlformats.org/package/2006/metadata/core-properties"/>
    <ds:schemaRef ds:uri="http://www.w3.org/XML/1998/namespace"/>
    <ds:schemaRef ds:uri="d7593786-a1cc-4346-bf19-2acfb37ece19"/>
    <ds:schemaRef ds:uri="afb2d85d-35d9-45b8-bfaa-3edd9cbc3488"/>
    <ds:schemaRef ds:uri="http://purl.org/dc/elements/1.1/"/>
  </ds:schemaRefs>
</ds:datastoreItem>
</file>

<file path=customXml/itemProps3.xml><?xml version="1.0" encoding="utf-8"?>
<ds:datastoreItem xmlns:ds="http://schemas.openxmlformats.org/officeDocument/2006/customXml" ds:itemID="{ADAB7F67-3F25-44F4-ACF9-170DBA70FD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3705</Words>
  <Characters>21125</Characters>
  <Application>Microsoft Office Word</Application>
  <DocSecurity>0</DocSecurity>
  <Lines>176</Lines>
  <Paragraphs>49</Paragraphs>
  <ScaleCrop>false</ScaleCrop>
  <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Morley</dc:creator>
  <cp:keywords/>
  <dc:description/>
  <cp:lastModifiedBy>Abigail Flack</cp:lastModifiedBy>
  <cp:revision>104</cp:revision>
  <dcterms:created xsi:type="dcterms:W3CDTF">2023-01-25T15:48:00Z</dcterms:created>
  <dcterms:modified xsi:type="dcterms:W3CDTF">2024-11-03T19:56:00Z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22531900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