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51B3636" w:rsidR="00033D60" w:rsidRDefault="00151DB8">
      <w:pPr>
        <w:rPr>
          <w:rFonts w:ascii="Arial" w:hAnsi="Arial" w:cs="Arial"/>
          <w:b/>
          <w:bCs/>
          <w:sz w:val="28"/>
          <w:szCs w:val="28"/>
        </w:rPr>
      </w:pPr>
      <w:r w:rsidRPr="00151DB8">
        <w:rPr>
          <w:rFonts w:ascii="Arial" w:hAnsi="Arial" w:cs="Arial"/>
          <w:b/>
          <w:bCs/>
          <w:sz w:val="28"/>
          <w:szCs w:val="28"/>
        </w:rPr>
        <w:t>Placings</w:t>
      </w:r>
    </w:p>
    <w:p w14:paraId="01AED85E" w14:textId="77777777" w:rsidR="00545CDC" w:rsidRDefault="00545CDC" w:rsidP="00545CDC">
      <w:pPr>
        <w:rPr>
          <w:rFonts w:ascii="Arial" w:hAnsi="Arial" w:cs="Arial"/>
          <w:lang w:val="en-GB"/>
        </w:rPr>
      </w:pPr>
      <w:r w:rsidRPr="00545CDC">
        <w:rPr>
          <w:rFonts w:ascii="Arial" w:hAnsi="Arial" w:cs="Arial"/>
          <w:lang w:val="en-GB"/>
        </w:rPr>
        <w:t>This element explains the rules and regulations relating to placings.</w:t>
      </w:r>
    </w:p>
    <w:p w14:paraId="331D84D0" w14:textId="23B7F53E" w:rsidR="00452898" w:rsidRPr="00452898" w:rsidRDefault="00452898" w:rsidP="00452898">
      <w:pPr>
        <w:rPr>
          <w:rFonts w:ascii="Arial" w:hAnsi="Arial" w:cs="Arial"/>
          <w:lang w:val="en-GB"/>
        </w:rPr>
      </w:pPr>
      <w:r w:rsidRPr="00A21F61">
        <w:rPr>
          <w:rFonts w:ascii="Arial" w:hAnsi="Arial" w:cs="Arial"/>
          <w:highlight w:val="yellow"/>
        </w:rPr>
        <w:t>A placing is an offer of new shares to institutional investors (</w:t>
      </w:r>
      <w:r w:rsidR="00DB7F5B" w:rsidRPr="00A21F61">
        <w:rPr>
          <w:rFonts w:ascii="Arial" w:hAnsi="Arial" w:cs="Arial"/>
          <w:highlight w:val="yellow"/>
        </w:rPr>
        <w:t>‘</w:t>
      </w:r>
      <w:proofErr w:type="spellStart"/>
      <w:r w:rsidRPr="00A21F61">
        <w:rPr>
          <w:rFonts w:ascii="Arial" w:hAnsi="Arial" w:cs="Arial"/>
          <w:highlight w:val="yellow"/>
        </w:rPr>
        <w:t>placees</w:t>
      </w:r>
      <w:proofErr w:type="spellEnd"/>
      <w:r w:rsidR="00DB7F5B" w:rsidRPr="00A21F61">
        <w:rPr>
          <w:rFonts w:ascii="Arial" w:hAnsi="Arial" w:cs="Arial"/>
          <w:highlight w:val="yellow"/>
        </w:rPr>
        <w:t>’</w:t>
      </w:r>
      <w:r w:rsidRPr="00A21F61">
        <w:rPr>
          <w:rFonts w:ascii="Arial" w:hAnsi="Arial" w:cs="Arial"/>
          <w:highlight w:val="yellow"/>
        </w:rPr>
        <w:t>) who are often clients or contacts of the listed company’s financial adviser.</w:t>
      </w:r>
    </w:p>
    <w:p w14:paraId="0E7CF549" w14:textId="77777777" w:rsidR="00452898" w:rsidRPr="00452898" w:rsidRDefault="00452898" w:rsidP="00452898">
      <w:pPr>
        <w:rPr>
          <w:rFonts w:ascii="Arial" w:hAnsi="Arial" w:cs="Arial"/>
          <w:lang w:val="en-GB"/>
        </w:rPr>
      </w:pPr>
      <w:r w:rsidRPr="00452898">
        <w:rPr>
          <w:rFonts w:ascii="Arial" w:hAnsi="Arial" w:cs="Arial"/>
        </w:rPr>
        <w:t xml:space="preserve">A placing can be used both in a </w:t>
      </w:r>
      <w:r w:rsidRPr="00A21F61">
        <w:rPr>
          <w:rFonts w:ascii="Arial" w:hAnsi="Arial" w:cs="Arial"/>
          <w:highlight w:val="yellow"/>
        </w:rPr>
        <w:t>primary and a secondary issue of shares.</w:t>
      </w:r>
      <w:r w:rsidRPr="00452898">
        <w:rPr>
          <w:rFonts w:ascii="Arial" w:hAnsi="Arial" w:cs="Arial"/>
        </w:rPr>
        <w:t xml:space="preserve"> </w:t>
      </w:r>
    </w:p>
    <w:p w14:paraId="6ADA9D33" w14:textId="77777777" w:rsidR="00452898" w:rsidRDefault="00452898" w:rsidP="00452898">
      <w:pPr>
        <w:rPr>
          <w:rFonts w:ascii="Arial" w:hAnsi="Arial" w:cs="Arial"/>
        </w:rPr>
      </w:pPr>
      <w:r w:rsidRPr="00452898">
        <w:rPr>
          <w:rFonts w:ascii="Arial" w:hAnsi="Arial" w:cs="Arial"/>
        </w:rPr>
        <w:t xml:space="preserve">This method may not be popular with a listed company’s existing shareholders because, as it is a non-pre-emptive offer made to selected institutional investors, it has the effect of </w:t>
      </w:r>
      <w:r w:rsidRPr="000C71F2">
        <w:rPr>
          <w:rFonts w:ascii="Arial" w:hAnsi="Arial" w:cs="Arial"/>
          <w:b/>
          <w:bCs/>
          <w:highlight w:val="yellow"/>
        </w:rPr>
        <w:t>diluting</w:t>
      </w:r>
      <w:r w:rsidRPr="000C71F2">
        <w:rPr>
          <w:rFonts w:ascii="Arial" w:hAnsi="Arial" w:cs="Arial"/>
          <w:highlight w:val="yellow"/>
        </w:rPr>
        <w:t xml:space="preserve"> (1) the value of their existing shareholdings and also (2) their control of the company</w:t>
      </w:r>
      <w:r w:rsidRPr="00452898">
        <w:rPr>
          <w:rFonts w:ascii="Arial" w:hAnsi="Arial" w:cs="Arial"/>
        </w:rPr>
        <w:t xml:space="preserve">.  </w:t>
      </w:r>
    </w:p>
    <w:p w14:paraId="0E4A87F9" w14:textId="77777777" w:rsidR="00EE054F" w:rsidRDefault="00EE054F" w:rsidP="00B31B13">
      <w:pPr>
        <w:rPr>
          <w:rFonts w:ascii="Arial" w:hAnsi="Arial" w:cs="Arial"/>
          <w:b/>
          <w:bCs/>
          <w:lang w:val="en-GB"/>
        </w:rPr>
      </w:pPr>
    </w:p>
    <w:p w14:paraId="0152189D" w14:textId="1D0CC767" w:rsidR="00B31B13" w:rsidRDefault="00B31B13" w:rsidP="00B31B13">
      <w:pPr>
        <w:rPr>
          <w:rFonts w:ascii="Arial" w:hAnsi="Arial" w:cs="Arial"/>
          <w:b/>
          <w:bCs/>
          <w:lang w:val="en-GB"/>
        </w:rPr>
      </w:pPr>
      <w:r w:rsidRPr="00B31B13">
        <w:rPr>
          <w:rFonts w:ascii="Arial" w:hAnsi="Arial" w:cs="Arial"/>
          <w:b/>
          <w:bCs/>
          <w:lang w:val="en-GB"/>
        </w:rPr>
        <w:t>PEG Statement of Principles</w:t>
      </w:r>
    </w:p>
    <w:p w14:paraId="3C4790DA" w14:textId="77777777" w:rsidR="0010418B" w:rsidRDefault="00706E74" w:rsidP="00706E74">
      <w:pPr>
        <w:rPr>
          <w:rFonts w:ascii="Arial" w:hAnsi="Arial" w:cs="Arial"/>
        </w:rPr>
      </w:pPr>
      <w:r w:rsidRPr="00706E74">
        <w:rPr>
          <w:rFonts w:ascii="Arial" w:hAnsi="Arial" w:cs="Arial"/>
        </w:rPr>
        <w:t xml:space="preserve">The </w:t>
      </w:r>
      <w:r w:rsidRPr="000C71F2">
        <w:rPr>
          <w:rFonts w:ascii="Arial" w:hAnsi="Arial" w:cs="Arial"/>
          <w:b/>
          <w:bCs/>
          <w:highlight w:val="yellow"/>
        </w:rPr>
        <w:t xml:space="preserve">PEG Statement of Principles </w:t>
      </w:r>
      <w:r w:rsidRPr="000C71F2">
        <w:rPr>
          <w:rFonts w:ascii="Arial" w:hAnsi="Arial" w:cs="Arial"/>
          <w:highlight w:val="yellow"/>
        </w:rPr>
        <w:t xml:space="preserve">recommends that institutional investors prevent listed companies from making large non-pre-emptive offers for cash by restricting the company’s ability to disapply pre-emption rights in relation to its shares under </w:t>
      </w:r>
      <w:r w:rsidRPr="000C71F2">
        <w:rPr>
          <w:rFonts w:ascii="Arial" w:hAnsi="Arial" w:cs="Arial"/>
          <w:b/>
          <w:bCs/>
          <w:highlight w:val="yellow"/>
        </w:rPr>
        <w:t>s.570 CA 2006</w:t>
      </w:r>
      <w:r w:rsidRPr="00706E74">
        <w:rPr>
          <w:rFonts w:ascii="Arial" w:hAnsi="Arial" w:cs="Arial"/>
        </w:rPr>
        <w:t>. </w:t>
      </w:r>
    </w:p>
    <w:p w14:paraId="66D7F1D7" w14:textId="0203A82A" w:rsidR="00706E74" w:rsidRPr="00706E74" w:rsidRDefault="00706E74" w:rsidP="00706E74">
      <w:pPr>
        <w:rPr>
          <w:rFonts w:ascii="Arial" w:hAnsi="Arial" w:cs="Arial"/>
          <w:lang w:val="en-GB"/>
        </w:rPr>
      </w:pPr>
      <w:r w:rsidRPr="00706E74">
        <w:rPr>
          <w:rFonts w:ascii="Arial" w:hAnsi="Arial" w:cs="Arial"/>
        </w:rPr>
        <w:t>The PEG Statement of Principles recommends that a listed company should only seek at its AGM disapplication no more than 10% of issued share capital for general purposes and a further 10% of issued share capital in respect of an acquisition or specified capital investment</w:t>
      </w:r>
      <w:r w:rsidRPr="004249D1">
        <w:rPr>
          <w:rFonts w:ascii="Arial" w:hAnsi="Arial" w:cs="Arial"/>
          <w:highlight w:val="yellow"/>
        </w:rPr>
        <w:t xml:space="preserve">.  For each </w:t>
      </w:r>
      <w:r w:rsidR="00EE5C8D" w:rsidRPr="004249D1">
        <w:rPr>
          <w:rFonts w:ascii="Arial" w:hAnsi="Arial" w:cs="Arial"/>
          <w:highlight w:val="yellow"/>
        </w:rPr>
        <w:t>10%</w:t>
      </w:r>
      <w:r w:rsidR="00290899" w:rsidRPr="004249D1">
        <w:rPr>
          <w:rFonts w:ascii="Arial" w:hAnsi="Arial" w:cs="Arial"/>
          <w:highlight w:val="yellow"/>
        </w:rPr>
        <w:t xml:space="preserve"> </w:t>
      </w:r>
      <w:r w:rsidRPr="004249D1">
        <w:rPr>
          <w:rFonts w:ascii="Arial" w:hAnsi="Arial" w:cs="Arial"/>
          <w:highlight w:val="yellow"/>
        </w:rPr>
        <w:t>tranche of authority, companies may seek an additional 2% disapplication to be used only to make a follow-on offer</w:t>
      </w:r>
      <w:r w:rsidR="00290899">
        <w:rPr>
          <w:rFonts w:ascii="Arial" w:hAnsi="Arial" w:cs="Arial"/>
        </w:rPr>
        <w:t xml:space="preserve"> (so </w:t>
      </w:r>
      <w:r w:rsidR="00874365">
        <w:rPr>
          <w:rFonts w:ascii="Arial" w:hAnsi="Arial" w:cs="Arial"/>
        </w:rPr>
        <w:t>a</w:t>
      </w:r>
      <w:r w:rsidR="00290899">
        <w:rPr>
          <w:rFonts w:ascii="Arial" w:hAnsi="Arial" w:cs="Arial"/>
        </w:rPr>
        <w:t xml:space="preserve"> </w:t>
      </w:r>
      <w:r w:rsidR="00290899" w:rsidRPr="004249D1">
        <w:rPr>
          <w:rFonts w:ascii="Arial" w:hAnsi="Arial" w:cs="Arial"/>
          <w:highlight w:val="yellow"/>
        </w:rPr>
        <w:t>maximum</w:t>
      </w:r>
      <w:r w:rsidR="00A44732" w:rsidRPr="004249D1">
        <w:rPr>
          <w:rFonts w:ascii="Arial" w:hAnsi="Arial" w:cs="Arial"/>
          <w:highlight w:val="yellow"/>
        </w:rPr>
        <w:t xml:space="preserve"> </w:t>
      </w:r>
      <w:r w:rsidR="00290899" w:rsidRPr="004249D1">
        <w:rPr>
          <w:rFonts w:ascii="Arial" w:hAnsi="Arial" w:cs="Arial"/>
          <w:highlight w:val="yellow"/>
        </w:rPr>
        <w:t>24%</w:t>
      </w:r>
      <w:r w:rsidR="00A44732" w:rsidRPr="004249D1">
        <w:rPr>
          <w:rFonts w:ascii="Arial" w:hAnsi="Arial" w:cs="Arial"/>
          <w:highlight w:val="yellow"/>
        </w:rPr>
        <w:t xml:space="preserve"> disapplication</w:t>
      </w:r>
      <w:r w:rsidR="00290899">
        <w:rPr>
          <w:rFonts w:ascii="Arial" w:hAnsi="Arial" w:cs="Arial"/>
        </w:rPr>
        <w:t>)</w:t>
      </w:r>
      <w:r w:rsidR="00A67B5D">
        <w:rPr>
          <w:rFonts w:ascii="Arial" w:hAnsi="Arial" w:cs="Arial"/>
        </w:rPr>
        <w:t>.</w:t>
      </w:r>
    </w:p>
    <w:p w14:paraId="0565C23D" w14:textId="0A647195" w:rsidR="00706E74" w:rsidRDefault="00706E74" w:rsidP="00706E74">
      <w:pPr>
        <w:rPr>
          <w:rFonts w:ascii="Arial" w:hAnsi="Arial" w:cs="Arial"/>
        </w:rPr>
      </w:pPr>
      <w:r w:rsidRPr="004249D1">
        <w:rPr>
          <w:rFonts w:ascii="Arial" w:hAnsi="Arial" w:cs="Arial"/>
          <w:highlight w:val="yellow"/>
        </w:rPr>
        <w:t>Most listed companies adhere to the PEG Statement of Principles</w:t>
      </w:r>
      <w:r w:rsidR="005A0AE8" w:rsidRPr="004249D1">
        <w:rPr>
          <w:rFonts w:ascii="Arial" w:hAnsi="Arial" w:cs="Arial"/>
          <w:highlight w:val="yellow"/>
        </w:rPr>
        <w:t xml:space="preserve"> at their AGM</w:t>
      </w:r>
      <w:r w:rsidRPr="004249D1">
        <w:rPr>
          <w:rFonts w:ascii="Arial" w:hAnsi="Arial" w:cs="Arial"/>
          <w:highlight w:val="yellow"/>
        </w:rPr>
        <w:t>.</w:t>
      </w:r>
    </w:p>
    <w:p w14:paraId="748F2508" w14:textId="77777777" w:rsidR="00A67B5D" w:rsidRPr="00706E74" w:rsidRDefault="00A67B5D" w:rsidP="00706E74">
      <w:pPr>
        <w:rPr>
          <w:rFonts w:ascii="Arial" w:hAnsi="Arial" w:cs="Arial"/>
          <w:lang w:val="en-GB"/>
        </w:rPr>
      </w:pPr>
    </w:p>
    <w:p w14:paraId="2F140B4E" w14:textId="01CC5215" w:rsidR="00812AA6" w:rsidRPr="00812AA6" w:rsidRDefault="00812AA6" w:rsidP="00812AA6">
      <w:pPr>
        <w:rPr>
          <w:rFonts w:ascii="Arial" w:hAnsi="Arial" w:cs="Arial"/>
          <w:lang w:val="en-GB"/>
        </w:rPr>
      </w:pPr>
      <w:r w:rsidRPr="004249D1">
        <w:rPr>
          <w:rFonts w:ascii="Arial" w:hAnsi="Arial" w:cs="Arial"/>
          <w:highlight w:val="yellow"/>
        </w:rPr>
        <w:t xml:space="preserve">As a result of these restrictions, listed companies can only raise </w:t>
      </w:r>
      <w:r w:rsidR="00456990" w:rsidRPr="004249D1">
        <w:rPr>
          <w:rFonts w:ascii="Arial" w:hAnsi="Arial" w:cs="Arial"/>
          <w:highlight w:val="yellow"/>
        </w:rPr>
        <w:t>‘</w:t>
      </w:r>
      <w:r w:rsidRPr="004249D1">
        <w:rPr>
          <w:rFonts w:ascii="Arial" w:hAnsi="Arial" w:cs="Arial"/>
          <w:highlight w:val="yellow"/>
        </w:rPr>
        <w:t>relatively small</w:t>
      </w:r>
      <w:r w:rsidR="00456990" w:rsidRPr="004249D1">
        <w:rPr>
          <w:rFonts w:ascii="Arial" w:hAnsi="Arial" w:cs="Arial"/>
          <w:highlight w:val="yellow"/>
        </w:rPr>
        <w:t>’</w:t>
      </w:r>
      <w:r w:rsidRPr="004249D1">
        <w:rPr>
          <w:rFonts w:ascii="Arial" w:hAnsi="Arial" w:cs="Arial"/>
          <w:highlight w:val="yellow"/>
        </w:rPr>
        <w:t xml:space="preserve"> amounts of</w:t>
      </w:r>
      <w:r w:rsidRPr="00812AA6">
        <w:rPr>
          <w:rFonts w:ascii="Arial" w:hAnsi="Arial" w:cs="Arial"/>
        </w:rPr>
        <w:t xml:space="preserve"> </w:t>
      </w:r>
      <w:r w:rsidRPr="004249D1">
        <w:rPr>
          <w:rFonts w:ascii="Arial" w:hAnsi="Arial" w:cs="Arial"/>
          <w:highlight w:val="yellow"/>
        </w:rPr>
        <w:t>equity finance each year by a placing of shares for cash without obtaining additional shareholder authority</w:t>
      </w:r>
      <w:r w:rsidRPr="00812AA6">
        <w:rPr>
          <w:rFonts w:ascii="Arial" w:hAnsi="Arial" w:cs="Arial"/>
        </w:rPr>
        <w:t xml:space="preserve">.  </w:t>
      </w:r>
      <w:r w:rsidRPr="004249D1">
        <w:rPr>
          <w:rFonts w:ascii="Arial" w:hAnsi="Arial" w:cs="Arial"/>
          <w:highlight w:val="yellow"/>
        </w:rPr>
        <w:t>Institutional shareholders are generally prepared to accept small placings as a cost-effective way of raising a relatively small amount of money.</w:t>
      </w:r>
      <w:r w:rsidRPr="00812AA6">
        <w:rPr>
          <w:rFonts w:ascii="Arial" w:hAnsi="Arial" w:cs="Arial"/>
        </w:rPr>
        <w:t xml:space="preserve">  </w:t>
      </w:r>
    </w:p>
    <w:p w14:paraId="4E9F4EE7" w14:textId="77777777" w:rsidR="00327B4D" w:rsidRDefault="00812AA6" w:rsidP="00812AA6">
      <w:pPr>
        <w:rPr>
          <w:rFonts w:ascii="Arial" w:hAnsi="Arial" w:cs="Arial"/>
        </w:rPr>
      </w:pPr>
      <w:r w:rsidRPr="004249D1">
        <w:rPr>
          <w:rFonts w:ascii="Arial" w:hAnsi="Arial" w:cs="Arial"/>
          <w:highlight w:val="yellow"/>
        </w:rPr>
        <w:t>If a company proposes a placing in excess of the levels prescribed by PEG</w:t>
      </w:r>
      <w:r w:rsidRPr="00812AA6">
        <w:rPr>
          <w:rFonts w:ascii="Arial" w:hAnsi="Arial" w:cs="Arial"/>
        </w:rPr>
        <w:t xml:space="preserve">, it would be well advised to </w:t>
      </w:r>
      <w:r w:rsidRPr="004249D1">
        <w:rPr>
          <w:rFonts w:ascii="Arial" w:hAnsi="Arial" w:cs="Arial"/>
          <w:highlight w:val="yellow"/>
        </w:rPr>
        <w:t>consult with its institutional shareholders and gain their support because it will need to seek shareholder support for the issue of the additional shares at a GM</w:t>
      </w:r>
      <w:r w:rsidRPr="00812AA6">
        <w:rPr>
          <w:rFonts w:ascii="Arial" w:hAnsi="Arial" w:cs="Arial"/>
        </w:rPr>
        <w:t xml:space="preserve">.  </w:t>
      </w:r>
    </w:p>
    <w:p w14:paraId="2F026CC7" w14:textId="1B1D5053" w:rsidR="00812AA6" w:rsidRDefault="00812AA6" w:rsidP="00812AA6">
      <w:pPr>
        <w:rPr>
          <w:rFonts w:ascii="Arial" w:hAnsi="Arial" w:cs="Arial"/>
        </w:rPr>
      </w:pPr>
      <w:r w:rsidRPr="004249D1">
        <w:rPr>
          <w:rFonts w:ascii="Arial" w:hAnsi="Arial" w:cs="Arial"/>
          <w:highlight w:val="yellow"/>
        </w:rPr>
        <w:t>PEG encourages institutional shareholders to be flexible regarding non-routine requests for disapplication if the non-pre-emptive issue proposed would be in the interests of the company and its owners.</w:t>
      </w:r>
      <w:r w:rsidRPr="00812AA6">
        <w:rPr>
          <w:rFonts w:ascii="Arial" w:hAnsi="Arial" w:cs="Arial"/>
        </w:rPr>
        <w:t xml:space="preserve">  </w:t>
      </w:r>
    </w:p>
    <w:p w14:paraId="102F837D" w14:textId="77777777" w:rsidR="00327B4D" w:rsidRPr="00812AA6" w:rsidRDefault="00327B4D" w:rsidP="00812AA6">
      <w:pPr>
        <w:rPr>
          <w:rFonts w:ascii="Arial" w:hAnsi="Arial" w:cs="Arial"/>
          <w:lang w:val="en-GB"/>
        </w:rPr>
      </w:pPr>
    </w:p>
    <w:p w14:paraId="73183554" w14:textId="77777777" w:rsidR="007B4B81" w:rsidRPr="00F938D7" w:rsidRDefault="007B4B81" w:rsidP="007B4B81">
      <w:pPr>
        <w:rPr>
          <w:rFonts w:ascii="Arial" w:hAnsi="Arial" w:cs="Arial"/>
        </w:rPr>
      </w:pPr>
      <w:r w:rsidRPr="00F938D7">
        <w:rPr>
          <w:rFonts w:ascii="Arial" w:hAnsi="Arial" w:cs="Arial"/>
          <w:b/>
          <w:bCs/>
        </w:rPr>
        <w:t xml:space="preserve">Regardless of other factors, a listed company should also </w:t>
      </w:r>
      <w:r w:rsidRPr="004249D1">
        <w:rPr>
          <w:rFonts w:ascii="Arial" w:hAnsi="Arial" w:cs="Arial"/>
          <w:b/>
          <w:bCs/>
          <w:highlight w:val="yellow"/>
        </w:rPr>
        <w:t>ensure that any placing it undertakes, when combined with any other placings it has undertaken in the previous 12 months, represents less than 20% of its issued share capital so that it is not required to produce a prospectus.</w:t>
      </w:r>
      <w:r w:rsidRPr="00F938D7">
        <w:rPr>
          <w:rFonts w:ascii="Arial" w:hAnsi="Arial" w:cs="Arial"/>
          <w:b/>
          <w:bCs/>
        </w:rPr>
        <w:t xml:space="preserve"> </w:t>
      </w:r>
      <w:r w:rsidRPr="00F938D7">
        <w:rPr>
          <w:rFonts w:ascii="Arial" w:hAnsi="Arial" w:cs="Arial"/>
        </w:rPr>
        <w:t xml:space="preserve"> </w:t>
      </w:r>
    </w:p>
    <w:p w14:paraId="02C2BD0C" w14:textId="5E106B00" w:rsidR="007B4B81" w:rsidRDefault="00D91C26" w:rsidP="007B4B81">
      <w:pPr>
        <w:rPr>
          <w:rFonts w:ascii="Arial" w:hAnsi="Arial" w:cs="Arial"/>
        </w:rPr>
      </w:pPr>
      <w:r w:rsidRPr="004249D1">
        <w:rPr>
          <w:rFonts w:ascii="Arial" w:hAnsi="Arial" w:cs="Arial"/>
          <w:highlight w:val="yellow"/>
        </w:rPr>
        <w:t>I</w:t>
      </w:r>
      <w:r w:rsidR="007B4B81" w:rsidRPr="004249D1">
        <w:rPr>
          <w:rFonts w:ascii="Arial" w:hAnsi="Arial" w:cs="Arial"/>
          <w:highlight w:val="yellow"/>
        </w:rPr>
        <w:t>f a listed company needs to raise larger amounts of equity finance, it will usually raise the funds it requires through a pre-emptive offer</w:t>
      </w:r>
      <w:r w:rsidR="007B4B81" w:rsidRPr="007B4B81">
        <w:rPr>
          <w:rFonts w:ascii="Arial" w:hAnsi="Arial" w:cs="Arial"/>
        </w:rPr>
        <w:t xml:space="preserve"> (or a </w:t>
      </w:r>
      <w:r w:rsidR="007B4B81" w:rsidRPr="004249D1">
        <w:rPr>
          <w:rFonts w:ascii="Arial" w:hAnsi="Arial" w:cs="Arial"/>
          <w:highlight w:val="yellow"/>
        </w:rPr>
        <w:t>combination of a pre-emptive offer and a placing</w:t>
      </w:r>
      <w:r w:rsidR="007B4B81" w:rsidRPr="007B4B81">
        <w:rPr>
          <w:rFonts w:ascii="Arial" w:hAnsi="Arial" w:cs="Arial"/>
        </w:rPr>
        <w:t xml:space="preserve">).  </w:t>
      </w:r>
    </w:p>
    <w:p w14:paraId="6E4D48BF" w14:textId="77777777" w:rsidR="00F938D7" w:rsidRDefault="00F938D7" w:rsidP="007B4B81">
      <w:pPr>
        <w:rPr>
          <w:rFonts w:ascii="Arial" w:hAnsi="Arial" w:cs="Arial"/>
        </w:rPr>
      </w:pPr>
    </w:p>
    <w:p w14:paraId="4C13C53A" w14:textId="77777777" w:rsidR="00F86713" w:rsidRDefault="00EE054F" w:rsidP="00F86713">
      <w:pPr>
        <w:rPr>
          <w:rFonts w:ascii="Arial" w:hAnsi="Arial" w:cs="Arial"/>
          <w:lang w:val="en-GB"/>
        </w:rPr>
      </w:pPr>
      <w:r w:rsidRPr="00EE054F">
        <w:rPr>
          <w:rFonts w:ascii="Arial" w:hAnsi="Arial" w:cs="Arial"/>
          <w:b/>
          <w:bCs/>
          <w:lang w:val="en-GB"/>
        </w:rPr>
        <w:t>Price of placed shares</w:t>
      </w:r>
    </w:p>
    <w:p w14:paraId="5BF408E8" w14:textId="41EA1426" w:rsidR="00F86713" w:rsidRPr="00F86713" w:rsidRDefault="00F86713" w:rsidP="00F86713">
      <w:pPr>
        <w:rPr>
          <w:rFonts w:ascii="Arial" w:hAnsi="Arial" w:cs="Arial"/>
          <w:lang w:val="en-GB"/>
        </w:rPr>
      </w:pPr>
      <w:r w:rsidRPr="00F86713">
        <w:rPr>
          <w:rFonts w:ascii="Arial" w:hAnsi="Arial" w:cs="Arial"/>
          <w:b/>
          <w:bCs/>
          <w:lang w:val="en-GB"/>
        </w:rPr>
        <w:t>Part 2B paragraph 6</w:t>
      </w:r>
      <w:r w:rsidRPr="00F86713">
        <w:rPr>
          <w:rFonts w:ascii="Arial" w:hAnsi="Arial" w:cs="Arial"/>
          <w:lang w:val="en-GB"/>
        </w:rPr>
        <w:t xml:space="preserve"> of the </w:t>
      </w:r>
      <w:r w:rsidRPr="00F86713">
        <w:rPr>
          <w:rFonts w:ascii="Arial" w:hAnsi="Arial" w:cs="Arial"/>
          <w:b/>
          <w:bCs/>
          <w:lang w:val="en-GB"/>
        </w:rPr>
        <w:t>PEG Statement of Principles</w:t>
      </w:r>
      <w:r w:rsidRPr="00F86713">
        <w:rPr>
          <w:rFonts w:ascii="Arial" w:hAnsi="Arial" w:cs="Arial"/>
          <w:lang w:val="en-GB"/>
        </w:rPr>
        <w:t xml:space="preserve"> recommends that, </w:t>
      </w:r>
      <w:r w:rsidRPr="004249D1">
        <w:rPr>
          <w:rFonts w:ascii="Arial" w:hAnsi="Arial" w:cs="Arial"/>
          <w:highlight w:val="yellow"/>
          <w:lang w:val="en-GB"/>
        </w:rPr>
        <w:t>if a listed company makes an issue of new shares on a non-pre-emptive basis, the discount at which those shares are offered should be limited to a maximum of 5%.</w:t>
      </w:r>
      <w:r w:rsidRPr="00F86713">
        <w:rPr>
          <w:rFonts w:ascii="Arial" w:hAnsi="Arial" w:cs="Arial"/>
          <w:lang w:val="en-GB"/>
        </w:rPr>
        <w:t xml:space="preserve">  </w:t>
      </w:r>
    </w:p>
    <w:p w14:paraId="3C06934F" w14:textId="6F8EE080" w:rsidR="00F86713" w:rsidRPr="00F86713" w:rsidRDefault="00F86713" w:rsidP="00F86713">
      <w:pPr>
        <w:rPr>
          <w:rFonts w:ascii="Arial" w:hAnsi="Arial" w:cs="Arial"/>
          <w:lang w:val="en-GB"/>
        </w:rPr>
      </w:pPr>
      <w:r w:rsidRPr="004249D1">
        <w:rPr>
          <w:rFonts w:ascii="Arial" w:hAnsi="Arial" w:cs="Arial"/>
          <w:highlight w:val="yellow"/>
          <w:lang w:val="en-GB"/>
        </w:rPr>
        <w:t xml:space="preserve">The price limit in the PEG Statement of Principles is more restrictive than the that contained in </w:t>
      </w:r>
      <w:r w:rsidR="002D4B56" w:rsidRPr="004249D1">
        <w:rPr>
          <w:rFonts w:ascii="Arial" w:hAnsi="Arial" w:cs="Arial"/>
          <w:b/>
          <w:bCs/>
          <w:highlight w:val="yellow"/>
          <w:lang w:val="en-GB"/>
        </w:rPr>
        <w:t>UK</w:t>
      </w:r>
      <w:r w:rsidRPr="004249D1">
        <w:rPr>
          <w:rFonts w:ascii="Arial" w:hAnsi="Arial" w:cs="Arial"/>
          <w:b/>
          <w:bCs/>
          <w:highlight w:val="yellow"/>
          <w:lang w:val="en-GB"/>
        </w:rPr>
        <w:t>LR 9.</w:t>
      </w:r>
      <w:r w:rsidR="00F25BB5" w:rsidRPr="004249D1">
        <w:rPr>
          <w:rFonts w:ascii="Arial" w:hAnsi="Arial" w:cs="Arial"/>
          <w:b/>
          <w:bCs/>
          <w:highlight w:val="yellow"/>
          <w:lang w:val="en-GB"/>
        </w:rPr>
        <w:t>4</w:t>
      </w:r>
      <w:r w:rsidRPr="004249D1">
        <w:rPr>
          <w:rFonts w:ascii="Arial" w:hAnsi="Arial" w:cs="Arial"/>
          <w:b/>
          <w:bCs/>
          <w:highlight w:val="yellow"/>
          <w:lang w:val="en-GB"/>
        </w:rPr>
        <w:t>.1</w:t>
      </w:r>
      <w:r w:rsidR="00F25BB5" w:rsidRPr="004249D1">
        <w:rPr>
          <w:rFonts w:ascii="Arial" w:hAnsi="Arial" w:cs="Arial"/>
          <w:b/>
          <w:bCs/>
          <w:highlight w:val="yellow"/>
          <w:lang w:val="en-GB"/>
        </w:rPr>
        <w:t>3</w:t>
      </w:r>
      <w:r w:rsidRPr="004249D1">
        <w:rPr>
          <w:rFonts w:ascii="Arial" w:hAnsi="Arial" w:cs="Arial"/>
          <w:highlight w:val="yellow"/>
          <w:lang w:val="en-GB"/>
        </w:rPr>
        <w:t>,</w:t>
      </w:r>
      <w:r w:rsidRPr="00F86713">
        <w:rPr>
          <w:rFonts w:ascii="Arial" w:hAnsi="Arial" w:cs="Arial"/>
          <w:lang w:val="en-GB"/>
        </w:rPr>
        <w:t xml:space="preserve"> which requires the discount to be </w:t>
      </w:r>
      <w:r w:rsidRPr="004249D1">
        <w:rPr>
          <w:rFonts w:ascii="Arial" w:hAnsi="Arial" w:cs="Arial"/>
          <w:highlight w:val="yellow"/>
          <w:lang w:val="en-GB"/>
        </w:rPr>
        <w:t>no more than 10% below the shares’ middle market price, as derived from the daily official list of the London Stock Exchange, at the time the placing is agreed.</w:t>
      </w:r>
      <w:r w:rsidRPr="00F86713">
        <w:rPr>
          <w:rFonts w:ascii="Arial" w:hAnsi="Arial" w:cs="Arial"/>
          <w:lang w:val="en-GB"/>
        </w:rPr>
        <w:t xml:space="preserve">  In any event, </w:t>
      </w:r>
      <w:r w:rsidRPr="004249D1">
        <w:rPr>
          <w:rFonts w:ascii="Arial" w:hAnsi="Arial" w:cs="Arial"/>
          <w:highlight w:val="yellow"/>
          <w:lang w:val="en-GB"/>
        </w:rPr>
        <w:t xml:space="preserve">the requirement in </w:t>
      </w:r>
      <w:r w:rsidR="001505AD" w:rsidRPr="004249D1">
        <w:rPr>
          <w:rFonts w:ascii="Arial" w:hAnsi="Arial" w:cs="Arial"/>
          <w:b/>
          <w:bCs/>
          <w:highlight w:val="yellow"/>
          <w:lang w:val="en-GB"/>
        </w:rPr>
        <w:t>UK</w:t>
      </w:r>
      <w:r w:rsidRPr="004249D1">
        <w:rPr>
          <w:rFonts w:ascii="Arial" w:hAnsi="Arial" w:cs="Arial"/>
          <w:b/>
          <w:bCs/>
          <w:highlight w:val="yellow"/>
          <w:lang w:val="en-GB"/>
        </w:rPr>
        <w:t>LR 9.</w:t>
      </w:r>
      <w:r w:rsidR="00EF3511" w:rsidRPr="004249D1">
        <w:rPr>
          <w:rFonts w:ascii="Arial" w:hAnsi="Arial" w:cs="Arial"/>
          <w:b/>
          <w:bCs/>
          <w:highlight w:val="yellow"/>
          <w:lang w:val="en-GB"/>
        </w:rPr>
        <w:t>4</w:t>
      </w:r>
      <w:r w:rsidRPr="004249D1">
        <w:rPr>
          <w:rFonts w:ascii="Arial" w:hAnsi="Arial" w:cs="Arial"/>
          <w:b/>
          <w:bCs/>
          <w:highlight w:val="yellow"/>
          <w:lang w:val="en-GB"/>
        </w:rPr>
        <w:t>.1</w:t>
      </w:r>
      <w:r w:rsidR="00EF3511" w:rsidRPr="004249D1">
        <w:rPr>
          <w:rFonts w:ascii="Arial" w:hAnsi="Arial" w:cs="Arial"/>
          <w:b/>
          <w:bCs/>
          <w:highlight w:val="yellow"/>
          <w:lang w:val="en-GB"/>
        </w:rPr>
        <w:t>3</w:t>
      </w:r>
      <w:r w:rsidRPr="004249D1">
        <w:rPr>
          <w:rFonts w:ascii="Arial" w:hAnsi="Arial" w:cs="Arial"/>
          <w:highlight w:val="yellow"/>
          <w:lang w:val="en-GB"/>
        </w:rPr>
        <w:t xml:space="preserve"> </w:t>
      </w:r>
      <w:r w:rsidRPr="004249D1">
        <w:rPr>
          <w:rFonts w:ascii="Arial" w:hAnsi="Arial" w:cs="Arial"/>
          <w:b/>
          <w:bCs/>
          <w:highlight w:val="yellow"/>
          <w:lang w:val="en-GB"/>
        </w:rPr>
        <w:t>will not apply</w:t>
      </w:r>
      <w:r w:rsidRPr="004249D1">
        <w:rPr>
          <w:rFonts w:ascii="Arial" w:hAnsi="Arial" w:cs="Arial"/>
          <w:highlight w:val="yellow"/>
          <w:lang w:val="en-GB"/>
        </w:rPr>
        <w:t xml:space="preserve"> where there is a pre-existing disapplication of pre-emption rights</w:t>
      </w:r>
      <w:r w:rsidRPr="00F86713">
        <w:rPr>
          <w:rFonts w:ascii="Arial" w:hAnsi="Arial" w:cs="Arial"/>
          <w:lang w:val="en-GB"/>
        </w:rPr>
        <w:t xml:space="preserve"> (see </w:t>
      </w:r>
      <w:r w:rsidR="006A1FC8" w:rsidRPr="00DB7F5B">
        <w:rPr>
          <w:rFonts w:ascii="Arial" w:hAnsi="Arial" w:cs="Arial"/>
          <w:b/>
          <w:bCs/>
          <w:lang w:val="en-GB"/>
        </w:rPr>
        <w:t>UK</w:t>
      </w:r>
      <w:r w:rsidRPr="006A1FC8">
        <w:rPr>
          <w:rFonts w:ascii="Arial" w:hAnsi="Arial" w:cs="Arial"/>
          <w:b/>
          <w:bCs/>
          <w:lang w:val="en-GB"/>
        </w:rPr>
        <w:t>LR</w:t>
      </w:r>
      <w:r w:rsidRPr="00F86713">
        <w:rPr>
          <w:rFonts w:ascii="Arial" w:hAnsi="Arial" w:cs="Arial"/>
          <w:b/>
          <w:bCs/>
          <w:lang w:val="en-GB"/>
        </w:rPr>
        <w:t xml:space="preserve"> 9.</w:t>
      </w:r>
      <w:r w:rsidR="006A1FC8">
        <w:rPr>
          <w:rFonts w:ascii="Arial" w:hAnsi="Arial" w:cs="Arial"/>
          <w:b/>
          <w:bCs/>
          <w:lang w:val="en-GB"/>
        </w:rPr>
        <w:t>4</w:t>
      </w:r>
      <w:r w:rsidRPr="00F86713">
        <w:rPr>
          <w:rFonts w:ascii="Arial" w:hAnsi="Arial" w:cs="Arial"/>
          <w:b/>
          <w:bCs/>
          <w:lang w:val="en-GB"/>
        </w:rPr>
        <w:t>.1</w:t>
      </w:r>
      <w:r w:rsidR="00BC6141">
        <w:rPr>
          <w:rFonts w:ascii="Arial" w:hAnsi="Arial" w:cs="Arial"/>
          <w:b/>
          <w:bCs/>
          <w:lang w:val="en-GB"/>
        </w:rPr>
        <w:t>3</w:t>
      </w:r>
      <w:r w:rsidRPr="00F86713">
        <w:rPr>
          <w:rFonts w:ascii="Arial" w:hAnsi="Arial" w:cs="Arial"/>
          <w:b/>
          <w:bCs/>
          <w:lang w:val="en-GB"/>
        </w:rPr>
        <w:t>(</w:t>
      </w:r>
      <w:r w:rsidR="00397223">
        <w:rPr>
          <w:rFonts w:ascii="Arial" w:hAnsi="Arial" w:cs="Arial"/>
          <w:b/>
          <w:bCs/>
          <w:lang w:val="en-GB"/>
        </w:rPr>
        <w:t>4</w:t>
      </w:r>
      <w:r w:rsidRPr="00F86713">
        <w:rPr>
          <w:rFonts w:ascii="Arial" w:hAnsi="Arial" w:cs="Arial"/>
          <w:b/>
          <w:bCs/>
          <w:lang w:val="en-GB"/>
        </w:rPr>
        <w:t>)(b</w:t>
      </w:r>
      <w:r w:rsidRPr="00F86713">
        <w:rPr>
          <w:rFonts w:ascii="Arial" w:hAnsi="Arial" w:cs="Arial"/>
          <w:lang w:val="en-GB"/>
        </w:rPr>
        <w:t>)).   </w:t>
      </w:r>
    </w:p>
    <w:p w14:paraId="634E0E2C" w14:textId="69D3F0C6" w:rsidR="00F86713" w:rsidRPr="00F86713" w:rsidRDefault="00F86713" w:rsidP="00F86713">
      <w:pPr>
        <w:rPr>
          <w:rFonts w:ascii="Arial" w:hAnsi="Arial" w:cs="Arial"/>
          <w:lang w:val="en-GB"/>
        </w:rPr>
      </w:pPr>
      <w:r w:rsidRPr="00F86713">
        <w:rPr>
          <w:rFonts w:ascii="Arial" w:hAnsi="Arial" w:cs="Arial"/>
          <w:lang w:val="en-GB"/>
        </w:rPr>
        <w:t xml:space="preserve">Again, </w:t>
      </w:r>
      <w:r w:rsidRPr="004249D1">
        <w:rPr>
          <w:rFonts w:ascii="Arial" w:hAnsi="Arial" w:cs="Arial"/>
          <w:highlight w:val="yellow"/>
          <w:lang w:val="en-GB"/>
        </w:rPr>
        <w:t xml:space="preserve">while this 5% limit is generally adhered to fairly strictly, the fact that it is a guideline rather than a statutory limit means that it has an inherent flexibility where circumstances require and placings are </w:t>
      </w:r>
      <w:r w:rsidR="00BA6837" w:rsidRPr="004249D1">
        <w:rPr>
          <w:rFonts w:ascii="Arial" w:hAnsi="Arial" w:cs="Arial"/>
          <w:highlight w:val="yellow"/>
          <w:lang w:val="en-GB"/>
        </w:rPr>
        <w:t xml:space="preserve">very </w:t>
      </w:r>
      <w:r w:rsidRPr="004249D1">
        <w:rPr>
          <w:rFonts w:ascii="Arial" w:hAnsi="Arial" w:cs="Arial"/>
          <w:highlight w:val="yellow"/>
          <w:lang w:val="en-GB"/>
        </w:rPr>
        <w:t>occasionally undertaken at a discount greater than 5%.</w:t>
      </w:r>
      <w:r w:rsidRPr="00F86713">
        <w:rPr>
          <w:rFonts w:ascii="Arial" w:hAnsi="Arial" w:cs="Arial"/>
          <w:lang w:val="en-GB"/>
        </w:rPr>
        <w:t xml:space="preserve">  </w:t>
      </w:r>
    </w:p>
    <w:p w14:paraId="5C2A469B" w14:textId="77777777" w:rsidR="000521F2" w:rsidRPr="000521F2" w:rsidRDefault="000521F2" w:rsidP="000521F2">
      <w:pPr>
        <w:rPr>
          <w:rFonts w:ascii="Arial" w:hAnsi="Arial" w:cs="Arial"/>
          <w:lang w:val="en-GB"/>
        </w:rPr>
      </w:pPr>
      <w:r w:rsidRPr="000521F2">
        <w:rPr>
          <w:rFonts w:ascii="Arial" w:hAnsi="Arial" w:cs="Arial"/>
          <w:b/>
          <w:bCs/>
          <w:lang w:val="en-GB"/>
        </w:rPr>
        <w:t xml:space="preserve">Placing: </w:t>
      </w:r>
      <w:r w:rsidRPr="004249D1">
        <w:rPr>
          <w:rFonts w:ascii="Arial" w:hAnsi="Arial" w:cs="Arial"/>
          <w:b/>
          <w:bCs/>
          <w:highlight w:val="yellow"/>
          <w:lang w:val="en-GB"/>
        </w:rPr>
        <w:t>Is there a requirement for a prospectus</w:t>
      </w:r>
      <w:r w:rsidRPr="000521F2">
        <w:rPr>
          <w:rFonts w:ascii="Arial" w:hAnsi="Arial" w:cs="Arial"/>
          <w:b/>
          <w:bCs/>
          <w:lang w:val="en-GB"/>
        </w:rPr>
        <w:t>?</w:t>
      </w:r>
    </w:p>
    <w:p w14:paraId="47AD4F22" w14:textId="77777777" w:rsidR="005544EE" w:rsidRPr="005544EE" w:rsidRDefault="005544EE" w:rsidP="005544EE">
      <w:pPr>
        <w:rPr>
          <w:rFonts w:ascii="Arial" w:hAnsi="Arial" w:cs="Arial"/>
          <w:lang w:val="en-GB"/>
        </w:rPr>
      </w:pPr>
      <w:r w:rsidRPr="005544EE">
        <w:rPr>
          <w:rFonts w:ascii="Arial" w:hAnsi="Arial" w:cs="Arial"/>
          <w:lang w:val="en-GB"/>
        </w:rPr>
        <w:t xml:space="preserve">As a reminder, there are </w:t>
      </w:r>
      <w:r w:rsidRPr="004249D1">
        <w:rPr>
          <w:rFonts w:ascii="Arial" w:hAnsi="Arial" w:cs="Arial"/>
          <w:b/>
          <w:bCs/>
          <w:highlight w:val="yellow"/>
          <w:lang w:val="en-GB"/>
        </w:rPr>
        <w:t xml:space="preserve">two basic tests </w:t>
      </w:r>
      <w:r w:rsidRPr="004249D1">
        <w:rPr>
          <w:rFonts w:ascii="Arial" w:hAnsi="Arial" w:cs="Arial"/>
          <w:highlight w:val="yellow"/>
          <w:lang w:val="en-GB"/>
        </w:rPr>
        <w:t>to apply when working out whether a prospectus is needed for a placing</w:t>
      </w:r>
      <w:r w:rsidRPr="005544EE">
        <w:rPr>
          <w:rFonts w:ascii="Arial" w:hAnsi="Arial" w:cs="Arial"/>
          <w:lang w:val="en-GB"/>
        </w:rPr>
        <w:t xml:space="preserve"> (see both </w:t>
      </w:r>
      <w:r w:rsidRPr="005544EE">
        <w:rPr>
          <w:rFonts w:ascii="Arial" w:hAnsi="Arial" w:cs="Arial"/>
          <w:b/>
          <w:bCs/>
          <w:lang w:val="en-GB"/>
        </w:rPr>
        <w:t>PRR 1.2.1UK/Arts. 3(1)</w:t>
      </w:r>
      <w:r w:rsidRPr="005544EE">
        <w:rPr>
          <w:rFonts w:ascii="Arial" w:hAnsi="Arial" w:cs="Arial"/>
          <w:lang w:val="en-GB"/>
        </w:rPr>
        <w:t xml:space="preserve"> and </w:t>
      </w:r>
      <w:r w:rsidRPr="005544EE">
        <w:rPr>
          <w:rFonts w:ascii="Arial" w:hAnsi="Arial" w:cs="Arial"/>
          <w:b/>
          <w:bCs/>
          <w:lang w:val="en-GB"/>
        </w:rPr>
        <w:t xml:space="preserve">(3) UK Prospectus Regulation </w:t>
      </w:r>
      <w:r w:rsidRPr="005544EE">
        <w:rPr>
          <w:rFonts w:ascii="Arial" w:hAnsi="Arial" w:cs="Arial"/>
          <w:lang w:val="en-GB"/>
        </w:rPr>
        <w:t>and, also, the version of the tests contained in</w:t>
      </w:r>
      <w:r w:rsidRPr="005544EE">
        <w:rPr>
          <w:rFonts w:ascii="Arial" w:hAnsi="Arial" w:cs="Arial"/>
          <w:b/>
          <w:bCs/>
          <w:lang w:val="en-GB"/>
        </w:rPr>
        <w:t xml:space="preserve"> s. 85 FSMA</w:t>
      </w:r>
      <w:r w:rsidRPr="005544EE">
        <w:rPr>
          <w:rFonts w:ascii="Arial" w:hAnsi="Arial" w:cs="Arial"/>
          <w:lang w:val="en-GB"/>
        </w:rPr>
        <w:t>).</w:t>
      </w:r>
    </w:p>
    <w:p w14:paraId="5EC198C0" w14:textId="7A00FDCC" w:rsidR="005544EE" w:rsidRPr="005544EE" w:rsidRDefault="005544EE" w:rsidP="005544EE">
      <w:pPr>
        <w:rPr>
          <w:rFonts w:ascii="Arial" w:hAnsi="Arial" w:cs="Arial"/>
          <w:lang w:val="en-GB"/>
        </w:rPr>
      </w:pPr>
      <w:r w:rsidRPr="004249D1">
        <w:rPr>
          <w:rFonts w:ascii="Arial" w:hAnsi="Arial" w:cs="Arial"/>
          <w:highlight w:val="yellow"/>
          <w:lang w:val="en-GB"/>
        </w:rPr>
        <w:t>These two tests will be explained and explored on the following pages</w:t>
      </w:r>
      <w:r w:rsidRPr="005544EE">
        <w:rPr>
          <w:rFonts w:ascii="Arial" w:hAnsi="Arial" w:cs="Arial"/>
          <w:lang w:val="en-GB"/>
        </w:rPr>
        <w:t>.</w:t>
      </w:r>
    </w:p>
    <w:p w14:paraId="20F5560F" w14:textId="77777777" w:rsidR="002F6C91" w:rsidRDefault="002F6C91" w:rsidP="00CC7548">
      <w:pPr>
        <w:rPr>
          <w:rFonts w:ascii="Arial" w:hAnsi="Arial" w:cs="Arial"/>
          <w:b/>
          <w:bCs/>
          <w:lang w:val="en-GB"/>
        </w:rPr>
      </w:pPr>
    </w:p>
    <w:p w14:paraId="2C02BFCE" w14:textId="4235B1DD" w:rsidR="00CC7548" w:rsidRPr="00CC7548" w:rsidRDefault="00CC7548" w:rsidP="00CC7548">
      <w:pPr>
        <w:rPr>
          <w:rFonts w:ascii="Arial" w:hAnsi="Arial" w:cs="Arial"/>
          <w:lang w:val="en-GB"/>
        </w:rPr>
      </w:pPr>
      <w:r w:rsidRPr="00CC7548">
        <w:rPr>
          <w:rFonts w:ascii="Arial" w:hAnsi="Arial" w:cs="Arial"/>
          <w:b/>
          <w:bCs/>
          <w:lang w:val="en-GB"/>
        </w:rPr>
        <w:t xml:space="preserve">Placing: </w:t>
      </w:r>
      <w:r w:rsidRPr="004249D1">
        <w:rPr>
          <w:rFonts w:ascii="Arial" w:hAnsi="Arial" w:cs="Arial"/>
          <w:b/>
          <w:bCs/>
          <w:highlight w:val="yellow"/>
          <w:lang w:val="en-GB"/>
        </w:rPr>
        <w:t>Is a prospectus needed? Test 1</w:t>
      </w:r>
    </w:p>
    <w:p w14:paraId="6E966293" w14:textId="6A7069E3" w:rsidR="00115853" w:rsidRPr="004249D1" w:rsidRDefault="00115853" w:rsidP="00115853">
      <w:pPr>
        <w:rPr>
          <w:rFonts w:ascii="Arial" w:hAnsi="Arial" w:cs="Arial"/>
          <w:highlight w:val="yellow"/>
          <w:lang w:val="en-GB"/>
        </w:rPr>
      </w:pPr>
      <w:r w:rsidRPr="004249D1">
        <w:rPr>
          <w:rFonts w:ascii="Arial" w:hAnsi="Arial" w:cs="Arial"/>
          <w:highlight w:val="yellow"/>
          <w:lang w:val="en-GB"/>
        </w:rPr>
        <w:t>An approved prospectus must be published in advance of an offer of shares to the public in the</w:t>
      </w:r>
      <w:r w:rsidRPr="00115853">
        <w:rPr>
          <w:rFonts w:ascii="Arial" w:hAnsi="Arial" w:cs="Arial"/>
          <w:lang w:val="en-GB"/>
        </w:rPr>
        <w:t xml:space="preserve"> </w:t>
      </w:r>
      <w:r w:rsidRPr="004249D1">
        <w:rPr>
          <w:rFonts w:ascii="Arial" w:hAnsi="Arial" w:cs="Arial"/>
          <w:highlight w:val="yellow"/>
          <w:lang w:val="en-GB"/>
        </w:rPr>
        <w:t>UK.</w:t>
      </w:r>
      <w:r w:rsidRPr="00115853">
        <w:rPr>
          <w:rFonts w:ascii="Arial" w:hAnsi="Arial" w:cs="Arial"/>
          <w:lang w:val="en-GB"/>
        </w:rPr>
        <w:t xml:space="preserve"> An </w:t>
      </w:r>
      <w:r w:rsidRPr="004249D1">
        <w:rPr>
          <w:rFonts w:ascii="Arial" w:hAnsi="Arial" w:cs="Arial"/>
          <w:highlight w:val="yellow"/>
          <w:lang w:val="en-GB"/>
        </w:rPr>
        <w:t>offer of transferable securities to the public</w:t>
      </w:r>
      <w:r w:rsidR="00BA65BB" w:rsidRPr="004249D1">
        <w:rPr>
          <w:rFonts w:ascii="Arial" w:hAnsi="Arial" w:cs="Arial"/>
          <w:highlight w:val="yellow"/>
          <w:lang w:val="en-GB"/>
        </w:rPr>
        <w:t>’</w:t>
      </w:r>
      <w:r w:rsidRPr="004249D1">
        <w:rPr>
          <w:rFonts w:ascii="Arial" w:hAnsi="Arial" w:cs="Arial"/>
          <w:highlight w:val="yellow"/>
          <w:lang w:val="en-GB"/>
        </w:rPr>
        <w:t xml:space="preserve"> for the purposes of Test 1 is a very broad definition that includes any communication which presents sufficient information on:</w:t>
      </w:r>
    </w:p>
    <w:p w14:paraId="1A5082D0" w14:textId="77777777" w:rsidR="00115853" w:rsidRPr="004249D1" w:rsidRDefault="00115853" w:rsidP="00115853">
      <w:pPr>
        <w:rPr>
          <w:rFonts w:ascii="Arial" w:hAnsi="Arial" w:cs="Arial"/>
          <w:highlight w:val="yellow"/>
          <w:lang w:val="en-GB"/>
        </w:rPr>
      </w:pPr>
      <w:r w:rsidRPr="004249D1">
        <w:rPr>
          <w:rFonts w:ascii="Arial" w:hAnsi="Arial" w:cs="Arial"/>
          <w:highlight w:val="yellow"/>
          <w:lang w:val="en-GB"/>
        </w:rPr>
        <w:t xml:space="preserve">(a) </w:t>
      </w:r>
      <w:r w:rsidRPr="004249D1">
        <w:rPr>
          <w:rFonts w:ascii="Arial" w:hAnsi="Arial" w:cs="Arial"/>
          <w:highlight w:val="yellow"/>
          <w:lang w:val="en-GB"/>
        </w:rPr>
        <w:tab/>
        <w:t xml:space="preserve">the transferable securities to be offered; and </w:t>
      </w:r>
    </w:p>
    <w:p w14:paraId="1DB71E23" w14:textId="77777777" w:rsidR="00115853" w:rsidRPr="00115853" w:rsidRDefault="00115853" w:rsidP="00115853">
      <w:pPr>
        <w:rPr>
          <w:rFonts w:ascii="Arial" w:hAnsi="Arial" w:cs="Arial"/>
          <w:lang w:val="en-GB"/>
        </w:rPr>
      </w:pPr>
      <w:r w:rsidRPr="004249D1">
        <w:rPr>
          <w:rFonts w:ascii="Arial" w:hAnsi="Arial" w:cs="Arial"/>
          <w:highlight w:val="yellow"/>
          <w:lang w:val="en-GB"/>
        </w:rPr>
        <w:t xml:space="preserve">(b) </w:t>
      </w:r>
      <w:r w:rsidRPr="004249D1">
        <w:rPr>
          <w:rFonts w:ascii="Arial" w:hAnsi="Arial" w:cs="Arial"/>
          <w:highlight w:val="yellow"/>
          <w:lang w:val="en-GB"/>
        </w:rPr>
        <w:tab/>
        <w:t>the terms on which they are offered</w:t>
      </w:r>
      <w:r w:rsidRPr="00115853">
        <w:rPr>
          <w:rFonts w:ascii="Arial" w:hAnsi="Arial" w:cs="Arial"/>
          <w:lang w:val="en-GB"/>
        </w:rPr>
        <w:t xml:space="preserve"> </w:t>
      </w:r>
    </w:p>
    <w:p w14:paraId="150BDD83" w14:textId="77777777" w:rsidR="00115853" w:rsidRPr="00607A4E" w:rsidRDefault="00115853" w:rsidP="00115853">
      <w:pPr>
        <w:rPr>
          <w:rFonts w:ascii="Arial" w:hAnsi="Arial" w:cs="Arial"/>
          <w:highlight w:val="yellow"/>
          <w:lang w:val="en-GB"/>
        </w:rPr>
      </w:pPr>
      <w:r w:rsidRPr="00607A4E">
        <w:rPr>
          <w:rFonts w:ascii="Arial" w:hAnsi="Arial" w:cs="Arial"/>
          <w:highlight w:val="yellow"/>
          <w:lang w:val="en-GB"/>
        </w:rPr>
        <w:t>to enable an investor to decide to buy or subscribe for the securities in question.</w:t>
      </w:r>
    </w:p>
    <w:p w14:paraId="5FFEB7A9" w14:textId="43B039A4" w:rsidR="00B31B13" w:rsidRDefault="00115853" w:rsidP="00115853">
      <w:pPr>
        <w:rPr>
          <w:rFonts w:ascii="Arial" w:hAnsi="Arial" w:cs="Arial"/>
          <w:lang w:val="en-GB"/>
        </w:rPr>
      </w:pPr>
      <w:r w:rsidRPr="00607A4E">
        <w:rPr>
          <w:rFonts w:ascii="Arial" w:hAnsi="Arial" w:cs="Arial"/>
          <w:highlight w:val="yellow"/>
          <w:lang w:val="en-GB"/>
        </w:rPr>
        <w:t xml:space="preserve">A placing will therefore constitute an </w:t>
      </w:r>
      <w:r w:rsidR="00BA65BB" w:rsidRPr="00607A4E">
        <w:rPr>
          <w:rFonts w:ascii="Arial" w:hAnsi="Arial" w:cs="Arial"/>
          <w:highlight w:val="yellow"/>
          <w:lang w:val="en-GB"/>
        </w:rPr>
        <w:t>‘</w:t>
      </w:r>
      <w:r w:rsidRPr="00607A4E">
        <w:rPr>
          <w:rFonts w:ascii="Arial" w:hAnsi="Arial" w:cs="Arial"/>
          <w:highlight w:val="yellow"/>
          <w:lang w:val="en-GB"/>
        </w:rPr>
        <w:t>offer of transferable securities to the public</w:t>
      </w:r>
      <w:r w:rsidR="00BA65BB" w:rsidRPr="00607A4E">
        <w:rPr>
          <w:rFonts w:ascii="Arial" w:hAnsi="Arial" w:cs="Arial"/>
          <w:highlight w:val="yellow"/>
          <w:lang w:val="en-GB"/>
        </w:rPr>
        <w:t>’</w:t>
      </w:r>
      <w:r w:rsidRPr="00607A4E">
        <w:rPr>
          <w:rFonts w:ascii="Arial" w:hAnsi="Arial" w:cs="Arial"/>
          <w:highlight w:val="yellow"/>
          <w:lang w:val="en-GB"/>
        </w:rPr>
        <w:t xml:space="preserve"> under </w:t>
      </w:r>
      <w:r w:rsidRPr="00607A4E">
        <w:rPr>
          <w:rFonts w:ascii="Arial" w:hAnsi="Arial" w:cs="Arial"/>
          <w:b/>
          <w:bCs/>
          <w:highlight w:val="yellow"/>
          <w:lang w:val="en-GB"/>
        </w:rPr>
        <w:t xml:space="preserve">PRR 1.2.1/Art. 3(1) UK Prospectus Regulation </w:t>
      </w:r>
      <w:r w:rsidRPr="00607A4E">
        <w:rPr>
          <w:rFonts w:ascii="Arial" w:hAnsi="Arial" w:cs="Arial"/>
          <w:highlight w:val="yellow"/>
          <w:lang w:val="en-GB"/>
        </w:rPr>
        <w:t>and</w:t>
      </w:r>
      <w:r w:rsidRPr="00607A4E">
        <w:rPr>
          <w:rFonts w:ascii="Arial" w:hAnsi="Arial" w:cs="Arial"/>
          <w:b/>
          <w:bCs/>
          <w:highlight w:val="yellow"/>
          <w:lang w:val="en-GB"/>
        </w:rPr>
        <w:t xml:space="preserve"> s. 85(1) FSMA</w:t>
      </w:r>
      <w:r w:rsidRPr="00607A4E">
        <w:rPr>
          <w:rFonts w:ascii="Arial" w:hAnsi="Arial" w:cs="Arial"/>
          <w:highlight w:val="yellow"/>
          <w:lang w:val="en-GB"/>
        </w:rPr>
        <w:t>.</w:t>
      </w:r>
      <w:r w:rsidRPr="00115853">
        <w:rPr>
          <w:rFonts w:ascii="Arial" w:hAnsi="Arial" w:cs="Arial"/>
          <w:lang w:val="en-GB"/>
        </w:rPr>
        <w:t xml:space="preserve"> However</w:t>
      </w:r>
      <w:r w:rsidRPr="00607A4E">
        <w:rPr>
          <w:rFonts w:ascii="Arial" w:hAnsi="Arial" w:cs="Arial"/>
          <w:highlight w:val="yellow"/>
          <w:lang w:val="en-GB"/>
        </w:rPr>
        <w:t xml:space="preserve">, as the </w:t>
      </w:r>
      <w:proofErr w:type="spellStart"/>
      <w:r w:rsidRPr="00607A4E">
        <w:rPr>
          <w:rFonts w:ascii="Arial" w:hAnsi="Arial" w:cs="Arial"/>
          <w:highlight w:val="yellow"/>
          <w:lang w:val="en-GB"/>
        </w:rPr>
        <w:t>placees</w:t>
      </w:r>
      <w:proofErr w:type="spellEnd"/>
      <w:r w:rsidRPr="00607A4E">
        <w:rPr>
          <w:rFonts w:ascii="Arial" w:hAnsi="Arial" w:cs="Arial"/>
          <w:highlight w:val="yellow"/>
          <w:lang w:val="en-GB"/>
        </w:rPr>
        <w:t xml:space="preserve"> will normally constitute “qualified investors”, or there will be fewer than 150 non-qualified investors,</w:t>
      </w:r>
      <w:r w:rsidRPr="00115853">
        <w:rPr>
          <w:rFonts w:ascii="Arial" w:hAnsi="Arial" w:cs="Arial"/>
          <w:lang w:val="en-GB"/>
        </w:rPr>
        <w:t xml:space="preserve"> a </w:t>
      </w:r>
      <w:r w:rsidRPr="00607A4E">
        <w:rPr>
          <w:rFonts w:ascii="Arial" w:hAnsi="Arial" w:cs="Arial"/>
          <w:highlight w:val="yellow"/>
          <w:lang w:val="en-GB"/>
        </w:rPr>
        <w:t xml:space="preserve">placing will also usually fall within the definition of an exempt offer contained in in </w:t>
      </w:r>
      <w:r w:rsidRPr="00607A4E">
        <w:rPr>
          <w:rFonts w:ascii="Arial" w:hAnsi="Arial" w:cs="Arial"/>
          <w:b/>
          <w:bCs/>
          <w:highlight w:val="yellow"/>
          <w:lang w:val="en-GB"/>
        </w:rPr>
        <w:t>PRR 1.2.3/Art. 1(4)(a) UK Prospectus Regulation</w:t>
      </w:r>
      <w:r w:rsidRPr="00115853">
        <w:rPr>
          <w:rFonts w:ascii="Arial" w:hAnsi="Arial" w:cs="Arial"/>
          <w:lang w:val="en-GB"/>
        </w:rPr>
        <w:t xml:space="preserve"> (as referred to in </w:t>
      </w:r>
      <w:r w:rsidRPr="00115853">
        <w:rPr>
          <w:rFonts w:ascii="Arial" w:hAnsi="Arial" w:cs="Arial"/>
          <w:b/>
          <w:bCs/>
          <w:lang w:val="en-GB"/>
        </w:rPr>
        <w:t>s. 86(</w:t>
      </w:r>
      <w:proofErr w:type="gramStart"/>
      <w:r w:rsidRPr="00115853">
        <w:rPr>
          <w:rFonts w:ascii="Arial" w:hAnsi="Arial" w:cs="Arial"/>
          <w:b/>
          <w:bCs/>
          <w:lang w:val="en-GB"/>
        </w:rPr>
        <w:t>1)(</w:t>
      </w:r>
      <w:proofErr w:type="gramEnd"/>
      <w:r w:rsidRPr="00115853">
        <w:rPr>
          <w:rFonts w:ascii="Arial" w:hAnsi="Arial" w:cs="Arial"/>
          <w:b/>
          <w:bCs/>
          <w:lang w:val="en-GB"/>
        </w:rPr>
        <w:t>aa) FSMA</w:t>
      </w:r>
      <w:r w:rsidRPr="00115853">
        <w:rPr>
          <w:rFonts w:ascii="Arial" w:hAnsi="Arial" w:cs="Arial"/>
          <w:lang w:val="en-GB"/>
        </w:rPr>
        <w:t xml:space="preserve">) and </w:t>
      </w:r>
      <w:r w:rsidRPr="00607A4E">
        <w:rPr>
          <w:rFonts w:ascii="Arial" w:hAnsi="Arial" w:cs="Arial"/>
          <w:highlight w:val="yellow"/>
          <w:lang w:val="en-GB"/>
        </w:rPr>
        <w:t>therefore fall within an exemption for Test 1.</w:t>
      </w:r>
    </w:p>
    <w:p w14:paraId="1EAC5C9E" w14:textId="77777777" w:rsidR="00313F4D" w:rsidRDefault="00313F4D" w:rsidP="00F91A1D">
      <w:pPr>
        <w:rPr>
          <w:rFonts w:ascii="Arial" w:hAnsi="Arial" w:cs="Arial"/>
          <w:lang w:val="en-GB"/>
        </w:rPr>
      </w:pPr>
    </w:p>
    <w:p w14:paraId="5B6ECACC" w14:textId="77777777" w:rsidR="00313F4D" w:rsidRDefault="00313F4D" w:rsidP="00F91A1D">
      <w:pPr>
        <w:rPr>
          <w:rFonts w:ascii="Arial" w:hAnsi="Arial" w:cs="Arial"/>
          <w:lang w:val="en-GB"/>
        </w:rPr>
      </w:pPr>
    </w:p>
    <w:p w14:paraId="732D57F0" w14:textId="5569EB25" w:rsidR="00F91A1D" w:rsidRPr="00F91A1D" w:rsidRDefault="00F91A1D" w:rsidP="00F91A1D">
      <w:pPr>
        <w:rPr>
          <w:rFonts w:ascii="Arial" w:hAnsi="Arial" w:cs="Arial"/>
          <w:lang w:val="en-GB"/>
        </w:rPr>
      </w:pPr>
      <w:r w:rsidRPr="00607A4E">
        <w:rPr>
          <w:rFonts w:ascii="Arial" w:hAnsi="Arial" w:cs="Arial"/>
          <w:b/>
          <w:bCs/>
          <w:highlight w:val="yellow"/>
          <w:lang w:val="en-GB"/>
        </w:rPr>
        <w:t>Placing: Is a prospectus needed? Test 2</w:t>
      </w:r>
    </w:p>
    <w:p w14:paraId="21BACCB6" w14:textId="77777777" w:rsidR="003D2FAA" w:rsidRPr="003D2FAA" w:rsidRDefault="003D2FAA" w:rsidP="003D2FAA">
      <w:pPr>
        <w:rPr>
          <w:rFonts w:ascii="Arial" w:hAnsi="Arial" w:cs="Arial"/>
          <w:lang w:val="en-GB"/>
        </w:rPr>
      </w:pPr>
      <w:r w:rsidRPr="00607A4E">
        <w:rPr>
          <w:rFonts w:ascii="Arial" w:hAnsi="Arial" w:cs="Arial"/>
          <w:highlight w:val="yellow"/>
          <w:lang w:val="en-GB"/>
        </w:rPr>
        <w:lastRenderedPageBreak/>
        <w:t>An approved prospectus must be published in advance of the admission of transferable securities to trading on a regulated market</w:t>
      </w:r>
      <w:r w:rsidRPr="003D2FAA">
        <w:rPr>
          <w:rFonts w:ascii="Arial" w:hAnsi="Arial" w:cs="Arial"/>
          <w:lang w:val="en-GB"/>
        </w:rPr>
        <w:t xml:space="preserve"> (in fact, it will be needed prior to making an application for admission on such a market).   </w:t>
      </w:r>
    </w:p>
    <w:p w14:paraId="164C2CE6" w14:textId="77777777" w:rsidR="003D2FAA" w:rsidRPr="003D2FAA" w:rsidRDefault="003D2FAA" w:rsidP="003D2FAA">
      <w:pPr>
        <w:rPr>
          <w:rFonts w:ascii="Arial" w:hAnsi="Arial" w:cs="Arial"/>
          <w:lang w:val="en-GB"/>
        </w:rPr>
      </w:pPr>
      <w:r w:rsidRPr="003D2FAA">
        <w:rPr>
          <w:rFonts w:ascii="Arial" w:hAnsi="Arial" w:cs="Arial"/>
          <w:lang w:val="en-GB"/>
        </w:rPr>
        <w:t xml:space="preserve">As the listed company will be applying for the new shares arising from the placing to be traded on the Main Market of the LSE, </w:t>
      </w:r>
      <w:r w:rsidRPr="00607A4E">
        <w:rPr>
          <w:rFonts w:ascii="Arial" w:hAnsi="Arial" w:cs="Arial"/>
          <w:highlight w:val="yellow"/>
          <w:lang w:val="en-GB"/>
        </w:rPr>
        <w:t>a prospectus will be required under</w:t>
      </w:r>
      <w:r w:rsidRPr="00607A4E">
        <w:rPr>
          <w:rFonts w:ascii="Arial" w:hAnsi="Arial" w:cs="Arial"/>
          <w:b/>
          <w:bCs/>
          <w:highlight w:val="yellow"/>
          <w:lang w:val="en-GB"/>
        </w:rPr>
        <w:t xml:space="preserve"> PRR 1.2.1/Art. 3(3) UK Prospectus Regulation </w:t>
      </w:r>
      <w:r w:rsidRPr="00607A4E">
        <w:rPr>
          <w:rFonts w:ascii="Arial" w:hAnsi="Arial" w:cs="Arial"/>
          <w:highlight w:val="yellow"/>
          <w:lang w:val="en-GB"/>
        </w:rPr>
        <w:t xml:space="preserve">and </w:t>
      </w:r>
      <w:r w:rsidRPr="00607A4E">
        <w:rPr>
          <w:rFonts w:ascii="Arial" w:hAnsi="Arial" w:cs="Arial"/>
          <w:b/>
          <w:bCs/>
          <w:highlight w:val="yellow"/>
          <w:lang w:val="en-GB"/>
        </w:rPr>
        <w:t>s. 85(2) FSMA</w:t>
      </w:r>
      <w:r w:rsidRPr="00607A4E">
        <w:rPr>
          <w:rFonts w:ascii="Arial" w:hAnsi="Arial" w:cs="Arial"/>
          <w:highlight w:val="yellow"/>
          <w:lang w:val="en-GB"/>
        </w:rPr>
        <w:t xml:space="preserve"> unless an exemption applies</w:t>
      </w:r>
      <w:r w:rsidRPr="003D2FAA">
        <w:rPr>
          <w:rFonts w:ascii="Arial" w:hAnsi="Arial" w:cs="Arial"/>
          <w:lang w:val="en-GB"/>
        </w:rPr>
        <w:t xml:space="preserve">. </w:t>
      </w:r>
    </w:p>
    <w:p w14:paraId="23F5E595" w14:textId="050D9358" w:rsidR="00CF45A3" w:rsidRPr="00CF45A3" w:rsidRDefault="00CF45A3" w:rsidP="00CF45A3">
      <w:pPr>
        <w:rPr>
          <w:rFonts w:ascii="Arial" w:hAnsi="Arial" w:cs="Arial"/>
          <w:lang w:val="en-GB"/>
        </w:rPr>
      </w:pPr>
      <w:r w:rsidRPr="00607A4E">
        <w:rPr>
          <w:rFonts w:ascii="Arial" w:hAnsi="Arial" w:cs="Arial"/>
          <w:highlight w:val="yellow"/>
          <w:lang w:val="en-GB"/>
        </w:rPr>
        <w:t xml:space="preserve">A listed company making a placing as a secondary issue will usually ensure that it falls within the exemption to Test 2 in </w:t>
      </w:r>
      <w:r w:rsidRPr="00607A4E">
        <w:rPr>
          <w:rFonts w:ascii="Arial" w:hAnsi="Arial" w:cs="Arial"/>
          <w:b/>
          <w:bCs/>
          <w:highlight w:val="yellow"/>
          <w:lang w:val="en-GB"/>
        </w:rPr>
        <w:t>PRR 1.2.4/Art. 1(5)(a) UK Prospectus Regulation</w:t>
      </w:r>
      <w:r w:rsidRPr="00607A4E">
        <w:rPr>
          <w:rFonts w:ascii="Arial" w:hAnsi="Arial" w:cs="Arial"/>
          <w:highlight w:val="yellow"/>
          <w:lang w:val="en-GB"/>
        </w:rPr>
        <w:t>. This provides</w:t>
      </w:r>
      <w:r w:rsidRPr="00CF45A3">
        <w:rPr>
          <w:rFonts w:ascii="Arial" w:hAnsi="Arial" w:cs="Arial"/>
          <w:lang w:val="en-GB"/>
        </w:rPr>
        <w:t xml:space="preserve"> that a </w:t>
      </w:r>
      <w:r w:rsidRPr="00607A4E">
        <w:rPr>
          <w:rFonts w:ascii="Arial" w:hAnsi="Arial" w:cs="Arial"/>
          <w:highlight w:val="yellow"/>
          <w:lang w:val="en-GB"/>
        </w:rPr>
        <w:t>prospectus will not be required if the shares being issued are fungible with shares already admitted to trading on the same regulated market</w:t>
      </w:r>
      <w:r w:rsidRPr="00CF45A3">
        <w:rPr>
          <w:rFonts w:ascii="Arial" w:hAnsi="Arial" w:cs="Arial"/>
          <w:lang w:val="en-GB"/>
        </w:rPr>
        <w:t xml:space="preserve"> (in other words, they are of the </w:t>
      </w:r>
      <w:r w:rsidRPr="00607A4E">
        <w:rPr>
          <w:rFonts w:ascii="Arial" w:hAnsi="Arial" w:cs="Arial"/>
          <w:highlight w:val="yellow"/>
          <w:lang w:val="en-GB"/>
        </w:rPr>
        <w:t xml:space="preserve">same class as shares that are already listed), provided that they represent </w:t>
      </w:r>
      <w:r w:rsidR="00BA65BB" w:rsidRPr="00607A4E">
        <w:rPr>
          <w:rFonts w:ascii="Arial" w:hAnsi="Arial" w:cs="Arial"/>
          <w:highlight w:val="yellow"/>
          <w:lang w:val="en-GB"/>
        </w:rPr>
        <w:t>‘</w:t>
      </w:r>
      <w:r w:rsidRPr="00607A4E">
        <w:rPr>
          <w:rFonts w:ascii="Arial" w:hAnsi="Arial" w:cs="Arial"/>
          <w:highlight w:val="yellow"/>
          <w:lang w:val="en-GB"/>
        </w:rPr>
        <w:t>over a period of 12 months, less than 20% of the number of securities already admitted to trading on the same regulated market</w:t>
      </w:r>
      <w:r w:rsidR="00BA65BB" w:rsidRPr="00607A4E">
        <w:rPr>
          <w:rFonts w:ascii="Arial" w:hAnsi="Arial" w:cs="Arial"/>
          <w:highlight w:val="yellow"/>
          <w:lang w:val="en-GB"/>
        </w:rPr>
        <w:t>’</w:t>
      </w:r>
      <w:r w:rsidRPr="00CF45A3">
        <w:rPr>
          <w:rFonts w:ascii="Arial" w:hAnsi="Arial" w:cs="Arial"/>
          <w:lang w:val="en-GB"/>
        </w:rPr>
        <w:t>.</w:t>
      </w:r>
    </w:p>
    <w:p w14:paraId="47E3C496" w14:textId="77777777" w:rsidR="00782783" w:rsidRDefault="00CF45A3" w:rsidP="007152E8">
      <w:pPr>
        <w:rPr>
          <w:rFonts w:ascii="Arial" w:hAnsi="Arial" w:cs="Arial"/>
          <w:lang w:val="en-GB"/>
        </w:rPr>
      </w:pPr>
      <w:r w:rsidRPr="00CF45A3">
        <w:rPr>
          <w:rFonts w:ascii="Arial" w:hAnsi="Arial" w:cs="Arial"/>
          <w:lang w:val="en-GB"/>
        </w:rPr>
        <w:t xml:space="preserve">In order </w:t>
      </w:r>
      <w:r w:rsidRPr="00607A4E">
        <w:rPr>
          <w:rFonts w:ascii="Arial" w:hAnsi="Arial" w:cs="Arial"/>
          <w:highlight w:val="yellow"/>
          <w:lang w:val="en-GB"/>
        </w:rPr>
        <w:t>to avoid the requirement for a prospectus, in most cases a listed company will restrict the size of any placing to less than 20% of the company’s issued share capital</w:t>
      </w:r>
      <w:r w:rsidRPr="00CF45A3">
        <w:rPr>
          <w:rFonts w:ascii="Arial" w:hAnsi="Arial" w:cs="Arial"/>
          <w:lang w:val="en-GB"/>
        </w:rPr>
        <w:t xml:space="preserve"> (taking into account any other shares already issued in the previous 12 months). </w:t>
      </w:r>
    </w:p>
    <w:p w14:paraId="0A54BD8A" w14:textId="77777777" w:rsidR="00782783" w:rsidRDefault="00782783" w:rsidP="007152E8">
      <w:pPr>
        <w:rPr>
          <w:rFonts w:ascii="Arial" w:hAnsi="Arial" w:cs="Arial"/>
          <w:lang w:val="en-GB"/>
        </w:rPr>
      </w:pPr>
    </w:p>
    <w:p w14:paraId="0F73087A" w14:textId="07F9844A" w:rsidR="007152E8" w:rsidRPr="007152E8" w:rsidRDefault="007152E8" w:rsidP="007152E8">
      <w:pPr>
        <w:rPr>
          <w:rFonts w:ascii="Arial" w:hAnsi="Arial" w:cs="Arial"/>
          <w:lang w:val="en-GB"/>
        </w:rPr>
      </w:pPr>
      <w:r w:rsidRPr="00607A4E">
        <w:rPr>
          <w:rFonts w:ascii="Arial" w:hAnsi="Arial" w:cs="Arial"/>
          <w:b/>
          <w:bCs/>
          <w:highlight w:val="yellow"/>
          <w:lang w:val="en-GB"/>
        </w:rPr>
        <w:t>Placing: Timetable</w:t>
      </w:r>
    </w:p>
    <w:p w14:paraId="70E498FB" w14:textId="77777777" w:rsidR="007152E8" w:rsidRPr="007152E8" w:rsidRDefault="007152E8" w:rsidP="007152E8">
      <w:pPr>
        <w:rPr>
          <w:rFonts w:ascii="Arial" w:hAnsi="Arial" w:cs="Arial"/>
          <w:lang w:val="en-GB"/>
        </w:rPr>
      </w:pPr>
      <w:r w:rsidRPr="007152E8">
        <w:rPr>
          <w:rFonts w:ascii="Arial" w:hAnsi="Arial" w:cs="Arial"/>
        </w:rPr>
        <w:t xml:space="preserve">Unlike rights issues and open offers, there is </w:t>
      </w:r>
      <w:r w:rsidRPr="00607A4E">
        <w:rPr>
          <w:rFonts w:ascii="Arial" w:hAnsi="Arial" w:cs="Arial"/>
          <w:b/>
          <w:bCs/>
          <w:highlight w:val="yellow"/>
        </w:rPr>
        <w:t xml:space="preserve">no minimum offer period </w:t>
      </w:r>
      <w:r w:rsidRPr="00607A4E">
        <w:rPr>
          <w:rFonts w:ascii="Arial" w:hAnsi="Arial" w:cs="Arial"/>
          <w:highlight w:val="yellow"/>
        </w:rPr>
        <w:t>for new shares being offered in a placing.</w:t>
      </w:r>
      <w:r w:rsidRPr="007152E8">
        <w:rPr>
          <w:rFonts w:ascii="Arial" w:hAnsi="Arial" w:cs="Arial"/>
        </w:rPr>
        <w:t xml:space="preserve"> </w:t>
      </w:r>
    </w:p>
    <w:p w14:paraId="0CCDBD56" w14:textId="77777777" w:rsidR="007152E8" w:rsidRPr="007152E8" w:rsidRDefault="007152E8" w:rsidP="007152E8">
      <w:pPr>
        <w:rPr>
          <w:rFonts w:ascii="Arial" w:hAnsi="Arial" w:cs="Arial"/>
          <w:lang w:val="en-GB"/>
        </w:rPr>
      </w:pPr>
      <w:r w:rsidRPr="00607A4E">
        <w:rPr>
          <w:rFonts w:ascii="Arial" w:hAnsi="Arial" w:cs="Arial"/>
          <w:highlight w:val="yellow"/>
        </w:rPr>
        <w:t xml:space="preserve">The timetable is, therefore, </w:t>
      </w:r>
      <w:r w:rsidRPr="00607A4E">
        <w:rPr>
          <w:rFonts w:ascii="Arial" w:hAnsi="Arial" w:cs="Arial"/>
          <w:b/>
          <w:bCs/>
          <w:highlight w:val="yellow"/>
        </w:rPr>
        <w:t>flexible</w:t>
      </w:r>
      <w:r w:rsidRPr="00607A4E">
        <w:rPr>
          <w:rFonts w:ascii="Arial" w:hAnsi="Arial" w:cs="Arial"/>
          <w:highlight w:val="yellow"/>
        </w:rPr>
        <w:t xml:space="preserve"> and will depend on the terms of the placing agreement and the demand for the new shares from institutional investors.</w:t>
      </w:r>
      <w:r w:rsidRPr="007152E8">
        <w:rPr>
          <w:rFonts w:ascii="Arial" w:hAnsi="Arial" w:cs="Arial"/>
        </w:rPr>
        <w:t xml:space="preserve">  </w:t>
      </w:r>
    </w:p>
    <w:p w14:paraId="4BE5524D" w14:textId="77777777" w:rsidR="007152E8" w:rsidRPr="007152E8" w:rsidRDefault="007152E8" w:rsidP="007152E8">
      <w:pPr>
        <w:rPr>
          <w:rFonts w:ascii="Arial" w:hAnsi="Arial" w:cs="Arial"/>
          <w:lang w:val="en-GB"/>
        </w:rPr>
      </w:pPr>
      <w:r w:rsidRPr="007152E8">
        <w:rPr>
          <w:rFonts w:ascii="Arial" w:hAnsi="Arial" w:cs="Arial"/>
        </w:rPr>
        <w:t xml:space="preserve">Given the above, it is </w:t>
      </w:r>
      <w:r w:rsidRPr="00607A4E">
        <w:rPr>
          <w:rFonts w:ascii="Arial" w:hAnsi="Arial" w:cs="Arial"/>
          <w:highlight w:val="yellow"/>
        </w:rPr>
        <w:t>possible for a placing to be launched and completed in a single day, with settlement and admission occurring a couple of days later.</w:t>
      </w:r>
    </w:p>
    <w:p w14:paraId="18856250" w14:textId="77777777" w:rsidR="00782783" w:rsidRDefault="00782783" w:rsidP="00F02658">
      <w:pPr>
        <w:rPr>
          <w:rFonts w:ascii="Arial" w:hAnsi="Arial" w:cs="Arial"/>
          <w:b/>
          <w:bCs/>
          <w:lang w:val="en-GB"/>
        </w:rPr>
      </w:pPr>
    </w:p>
    <w:p w14:paraId="6DB513A1" w14:textId="6FF80284" w:rsidR="00F02658" w:rsidRPr="00F02658" w:rsidRDefault="00F02658" w:rsidP="00F02658">
      <w:pPr>
        <w:rPr>
          <w:rFonts w:ascii="Arial" w:hAnsi="Arial" w:cs="Arial"/>
          <w:lang w:val="en-GB"/>
        </w:rPr>
      </w:pPr>
      <w:r w:rsidRPr="00607A4E">
        <w:rPr>
          <w:rFonts w:ascii="Arial" w:hAnsi="Arial" w:cs="Arial"/>
          <w:b/>
          <w:bCs/>
          <w:highlight w:val="yellow"/>
          <w:lang w:val="en-GB"/>
        </w:rPr>
        <w:t>Placing: best practice</w:t>
      </w:r>
    </w:p>
    <w:p w14:paraId="6FE31008" w14:textId="77777777" w:rsidR="00F02658" w:rsidRPr="00F02658" w:rsidRDefault="00F02658" w:rsidP="00F02658">
      <w:pPr>
        <w:rPr>
          <w:rFonts w:ascii="Arial" w:hAnsi="Arial" w:cs="Arial"/>
          <w:lang w:val="en-GB"/>
        </w:rPr>
      </w:pPr>
      <w:r w:rsidRPr="00607A4E">
        <w:rPr>
          <w:rFonts w:ascii="Arial" w:hAnsi="Arial" w:cs="Arial"/>
          <w:highlight w:val="yellow"/>
        </w:rPr>
        <w:t>Under Part 2B paragraph 1 of the PEG Statement of Principles, a company which issues equity</w:t>
      </w:r>
      <w:r w:rsidRPr="00F02658">
        <w:rPr>
          <w:rFonts w:ascii="Arial" w:hAnsi="Arial" w:cs="Arial"/>
        </w:rPr>
        <w:t xml:space="preserve"> </w:t>
      </w:r>
      <w:r w:rsidRPr="00607A4E">
        <w:rPr>
          <w:rFonts w:ascii="Arial" w:hAnsi="Arial" w:cs="Arial"/>
          <w:highlight w:val="yellow"/>
        </w:rPr>
        <w:t>securities non-pre-emptively for cash pursuant to a general disapplication of pre-emption rights (which will generally be the case in a placing) should undertake steps including:</w:t>
      </w:r>
    </w:p>
    <w:p w14:paraId="74EAFADD" w14:textId="77777777" w:rsidR="00F02658" w:rsidRPr="00F02658" w:rsidRDefault="00F02658" w:rsidP="00F02658">
      <w:pPr>
        <w:numPr>
          <w:ilvl w:val="0"/>
          <w:numId w:val="1"/>
        </w:numPr>
        <w:rPr>
          <w:rFonts w:ascii="Arial" w:hAnsi="Arial" w:cs="Arial"/>
          <w:lang w:val="en-GB"/>
        </w:rPr>
      </w:pPr>
      <w:r w:rsidRPr="00607A4E">
        <w:rPr>
          <w:rFonts w:ascii="Arial" w:hAnsi="Arial" w:cs="Arial"/>
          <w:highlight w:val="yellow"/>
        </w:rPr>
        <w:t>Consulting with its major shareholders prior to the announcement of the issue;</w:t>
      </w:r>
    </w:p>
    <w:p w14:paraId="75A6E924" w14:textId="77777777" w:rsidR="00F02658" w:rsidRPr="00607A4E" w:rsidRDefault="00F02658" w:rsidP="00F02658">
      <w:pPr>
        <w:numPr>
          <w:ilvl w:val="0"/>
          <w:numId w:val="1"/>
        </w:numPr>
        <w:rPr>
          <w:rFonts w:ascii="Arial" w:hAnsi="Arial" w:cs="Arial"/>
          <w:highlight w:val="yellow"/>
          <w:lang w:val="en-GB"/>
        </w:rPr>
      </w:pPr>
      <w:r w:rsidRPr="00F02658">
        <w:rPr>
          <w:rFonts w:ascii="Arial" w:hAnsi="Arial" w:cs="Arial"/>
        </w:rPr>
        <w:t xml:space="preserve">Providing an </w:t>
      </w:r>
      <w:r w:rsidRPr="00607A4E">
        <w:rPr>
          <w:rFonts w:ascii="Arial" w:hAnsi="Arial" w:cs="Arial"/>
          <w:highlight w:val="yellow"/>
        </w:rPr>
        <w:t>explanation for the background to and reasons for the offer and the proposed use of proceeds, including details of any acquisition or specified capital investment;</w:t>
      </w:r>
    </w:p>
    <w:p w14:paraId="1F4B09D5" w14:textId="77777777" w:rsidR="00F02658" w:rsidRPr="00F02658" w:rsidRDefault="00F02658" w:rsidP="00F02658">
      <w:pPr>
        <w:numPr>
          <w:ilvl w:val="0"/>
          <w:numId w:val="1"/>
        </w:numPr>
        <w:rPr>
          <w:rFonts w:ascii="Arial" w:hAnsi="Arial" w:cs="Arial"/>
          <w:lang w:val="en-GB"/>
        </w:rPr>
      </w:pPr>
      <w:r w:rsidRPr="00607A4E">
        <w:rPr>
          <w:rFonts w:ascii="Arial" w:hAnsi="Arial" w:cs="Arial"/>
          <w:highlight w:val="yellow"/>
        </w:rPr>
        <w:t>As far as practicable, making the issue on a soft pre-emptive basis</w:t>
      </w:r>
      <w:r w:rsidRPr="00F02658">
        <w:rPr>
          <w:rFonts w:ascii="Arial" w:hAnsi="Arial" w:cs="Arial"/>
        </w:rPr>
        <w:t xml:space="preserve"> (</w:t>
      </w:r>
      <w:proofErr w:type="gramStart"/>
      <w:r w:rsidRPr="00F02658">
        <w:rPr>
          <w:rFonts w:ascii="Arial" w:hAnsi="Arial" w:cs="Arial"/>
        </w:rPr>
        <w:t>i.e.</w:t>
      </w:r>
      <w:proofErr w:type="gramEnd"/>
      <w:r w:rsidRPr="00F02658">
        <w:rPr>
          <w:rFonts w:ascii="Arial" w:hAnsi="Arial" w:cs="Arial"/>
        </w:rPr>
        <w:t xml:space="preserve"> by offering shares first to existing shareholders);</w:t>
      </w:r>
    </w:p>
    <w:p w14:paraId="1CC4FEAE" w14:textId="77777777" w:rsidR="00F02658" w:rsidRPr="00F02658" w:rsidRDefault="00F02658" w:rsidP="00F02658">
      <w:pPr>
        <w:numPr>
          <w:ilvl w:val="0"/>
          <w:numId w:val="1"/>
        </w:numPr>
        <w:rPr>
          <w:rFonts w:ascii="Arial" w:hAnsi="Arial" w:cs="Arial"/>
          <w:lang w:val="en-GB"/>
        </w:rPr>
      </w:pPr>
      <w:r w:rsidRPr="00F02658">
        <w:rPr>
          <w:rFonts w:ascii="Arial" w:hAnsi="Arial" w:cs="Arial"/>
        </w:rPr>
        <w:t>I</w:t>
      </w:r>
      <w:r w:rsidRPr="00607A4E">
        <w:rPr>
          <w:rFonts w:ascii="Arial" w:hAnsi="Arial" w:cs="Arial"/>
          <w:highlight w:val="yellow"/>
        </w:rPr>
        <w:t>nvolving company management in the allocation of the shares; an</w:t>
      </w:r>
      <w:r w:rsidRPr="00F02658">
        <w:rPr>
          <w:rFonts w:ascii="Arial" w:hAnsi="Arial" w:cs="Arial"/>
        </w:rPr>
        <w:t>d</w:t>
      </w:r>
    </w:p>
    <w:p w14:paraId="49104363" w14:textId="5E209BA3" w:rsidR="00115853" w:rsidRPr="002A1749" w:rsidRDefault="00F02658" w:rsidP="00115853">
      <w:pPr>
        <w:numPr>
          <w:ilvl w:val="0"/>
          <w:numId w:val="1"/>
        </w:numPr>
        <w:rPr>
          <w:rFonts w:ascii="Arial" w:hAnsi="Arial" w:cs="Arial"/>
          <w:lang w:val="en-GB"/>
        </w:rPr>
      </w:pPr>
      <w:r w:rsidRPr="00607A4E">
        <w:rPr>
          <w:rFonts w:ascii="Arial" w:hAnsi="Arial" w:cs="Arial"/>
          <w:highlight w:val="yellow"/>
        </w:rPr>
        <w:t>After completion of the issue, making a post-transaction report within one week which includes details of the transaction, the use and quantum of the proceeds, share allocations</w:t>
      </w:r>
      <w:r w:rsidRPr="00F02658">
        <w:rPr>
          <w:rFonts w:ascii="Arial" w:hAnsi="Arial" w:cs="Arial"/>
        </w:rPr>
        <w:t xml:space="preserve"> (including to retail investors) </w:t>
      </w:r>
      <w:r w:rsidRPr="00607A4E">
        <w:rPr>
          <w:rFonts w:ascii="Arial" w:hAnsi="Arial" w:cs="Arial"/>
          <w:highlight w:val="yellow"/>
        </w:rPr>
        <w:t>and consultations with shareholders</w:t>
      </w:r>
      <w:r w:rsidRPr="00F02658">
        <w:rPr>
          <w:rFonts w:ascii="Arial" w:hAnsi="Arial" w:cs="Arial"/>
        </w:rPr>
        <w:t>.</w:t>
      </w:r>
    </w:p>
    <w:p w14:paraId="343F3ABD" w14:textId="77777777" w:rsidR="007D4241" w:rsidRDefault="007D4241" w:rsidP="002A1749">
      <w:pPr>
        <w:rPr>
          <w:rFonts w:ascii="Arial" w:hAnsi="Arial" w:cs="Arial"/>
          <w:b/>
          <w:bCs/>
          <w:lang w:val="en-GB"/>
        </w:rPr>
      </w:pPr>
    </w:p>
    <w:p w14:paraId="1ACD062B" w14:textId="6481E2BA" w:rsidR="00DD0814" w:rsidRPr="00D176DA" w:rsidRDefault="00D176DA" w:rsidP="00DD0814">
      <w:pPr>
        <w:rPr>
          <w:rFonts w:ascii="Arial" w:hAnsi="Arial" w:cs="Arial"/>
          <w:b/>
          <w:bCs/>
          <w:lang w:val="en-GB"/>
        </w:rPr>
      </w:pPr>
      <w:r w:rsidRPr="00D176DA">
        <w:rPr>
          <w:rFonts w:ascii="Arial" w:hAnsi="Arial" w:cs="Arial"/>
          <w:b/>
          <w:bCs/>
        </w:rPr>
        <w:t>Summary</w:t>
      </w:r>
    </w:p>
    <w:p w14:paraId="20BCD8DE" w14:textId="77777777" w:rsidR="004C72C5" w:rsidRPr="004C72C5" w:rsidRDefault="004C72C5" w:rsidP="004C72C5">
      <w:pPr>
        <w:numPr>
          <w:ilvl w:val="0"/>
          <w:numId w:val="2"/>
        </w:numPr>
        <w:rPr>
          <w:rFonts w:ascii="Arial" w:hAnsi="Arial" w:cs="Arial"/>
          <w:lang w:val="en-GB"/>
        </w:rPr>
      </w:pPr>
      <w:r w:rsidRPr="004C72C5">
        <w:rPr>
          <w:rFonts w:ascii="Arial" w:hAnsi="Arial" w:cs="Arial"/>
          <w:lang w:val="en-GB"/>
        </w:rPr>
        <w:t>A placing is an offer of new shares to selected institutional investors who are typically clients of the listed company’s financial adviser.</w:t>
      </w:r>
    </w:p>
    <w:p w14:paraId="07D88389" w14:textId="77777777" w:rsidR="004C72C5" w:rsidRPr="004C72C5" w:rsidRDefault="004C72C5" w:rsidP="004C72C5">
      <w:pPr>
        <w:numPr>
          <w:ilvl w:val="0"/>
          <w:numId w:val="2"/>
        </w:numPr>
        <w:rPr>
          <w:rFonts w:ascii="Arial" w:hAnsi="Arial" w:cs="Arial"/>
          <w:lang w:val="en-GB"/>
        </w:rPr>
      </w:pPr>
      <w:proofErr w:type="gramStart"/>
      <w:r w:rsidRPr="004C72C5">
        <w:rPr>
          <w:rFonts w:ascii="Arial" w:hAnsi="Arial" w:cs="Arial"/>
          <w:lang w:val="en-GB"/>
        </w:rPr>
        <w:t>A placing</w:t>
      </w:r>
      <w:r w:rsidRPr="004C72C5">
        <w:rPr>
          <w:rFonts w:ascii="Arial" w:hAnsi="Arial" w:cs="Arial"/>
        </w:rPr>
        <w:t>s</w:t>
      </w:r>
      <w:proofErr w:type="gramEnd"/>
      <w:r w:rsidRPr="004C72C5">
        <w:rPr>
          <w:rFonts w:ascii="Arial" w:hAnsi="Arial" w:cs="Arial"/>
        </w:rPr>
        <w:t xml:space="preserve"> may not be popular amongst a listed company’s existing shareholders because, as it is a </w:t>
      </w:r>
      <w:proofErr w:type="spellStart"/>
      <w:r w:rsidRPr="004C72C5">
        <w:rPr>
          <w:rFonts w:ascii="Arial" w:hAnsi="Arial" w:cs="Arial"/>
        </w:rPr>
        <w:t>non pre-emptive</w:t>
      </w:r>
      <w:proofErr w:type="spellEnd"/>
      <w:r w:rsidRPr="004C72C5">
        <w:rPr>
          <w:rFonts w:ascii="Arial" w:hAnsi="Arial" w:cs="Arial"/>
        </w:rPr>
        <w:t xml:space="preserve"> offer, it effectively dilutes their existing shareholdings and therefore their control of the company and their share of any dividend.</w:t>
      </w:r>
    </w:p>
    <w:p w14:paraId="183AE2CF" w14:textId="2ACA80E3" w:rsidR="004C72C5" w:rsidRPr="004C72C5" w:rsidRDefault="004C72C5" w:rsidP="004C72C5">
      <w:pPr>
        <w:numPr>
          <w:ilvl w:val="0"/>
          <w:numId w:val="2"/>
        </w:numPr>
        <w:rPr>
          <w:rFonts w:ascii="Arial" w:hAnsi="Arial" w:cs="Arial"/>
          <w:lang w:val="en-GB"/>
        </w:rPr>
      </w:pPr>
      <w:r w:rsidRPr="004C72C5">
        <w:rPr>
          <w:rFonts w:ascii="Arial" w:hAnsi="Arial" w:cs="Arial"/>
        </w:rPr>
        <w:t xml:space="preserve">Although the tests in both s.85(1) &amp; (2) are </w:t>
      </w:r>
      <w:r w:rsidR="00C17204">
        <w:rPr>
          <w:rFonts w:ascii="Arial" w:hAnsi="Arial" w:cs="Arial"/>
        </w:rPr>
        <w:t>relevant</w:t>
      </w:r>
      <w:r w:rsidRPr="004C72C5">
        <w:rPr>
          <w:rFonts w:ascii="Arial" w:hAnsi="Arial" w:cs="Arial"/>
        </w:rPr>
        <w:t>, usually no prospectus is required.</w:t>
      </w:r>
    </w:p>
    <w:p w14:paraId="261BCFFB" w14:textId="77777777" w:rsidR="004C72C5" w:rsidRPr="004C72C5" w:rsidRDefault="004C72C5" w:rsidP="004C72C5">
      <w:pPr>
        <w:numPr>
          <w:ilvl w:val="0"/>
          <w:numId w:val="2"/>
        </w:numPr>
        <w:rPr>
          <w:rFonts w:ascii="Arial" w:hAnsi="Arial" w:cs="Arial"/>
          <w:lang w:val="en-GB"/>
        </w:rPr>
      </w:pPr>
      <w:r w:rsidRPr="004C72C5">
        <w:rPr>
          <w:rFonts w:ascii="Arial" w:hAnsi="Arial" w:cs="Arial"/>
        </w:rPr>
        <w:t>There is no minimum offer period for an offer made by way of placing.  This makes a placing timetable flexible.  The timetable will depend on the terms of the placing agreement and the demand for the shares from institutional investors.</w:t>
      </w:r>
    </w:p>
    <w:p w14:paraId="738833BF" w14:textId="77777777" w:rsidR="002A1749" w:rsidRPr="00B31B13" w:rsidRDefault="002A1749" w:rsidP="002A1749">
      <w:pPr>
        <w:rPr>
          <w:rFonts w:ascii="Arial" w:hAnsi="Arial" w:cs="Arial"/>
          <w:b/>
          <w:bCs/>
          <w:lang w:val="en-GB"/>
        </w:rPr>
      </w:pPr>
    </w:p>
    <w:p w14:paraId="2E57EBCD" w14:textId="77777777" w:rsidR="00545CDC" w:rsidRPr="00545CDC" w:rsidRDefault="00545CDC" w:rsidP="00545CDC">
      <w:pPr>
        <w:rPr>
          <w:rFonts w:ascii="Arial" w:hAnsi="Arial" w:cs="Arial"/>
          <w:lang w:val="en-GB"/>
        </w:rPr>
      </w:pPr>
    </w:p>
    <w:p w14:paraId="4B58BC07" w14:textId="77777777" w:rsidR="00151DB8" w:rsidRPr="00151DB8" w:rsidRDefault="00151DB8">
      <w:pPr>
        <w:rPr>
          <w:rFonts w:ascii="Arial" w:hAnsi="Arial" w:cs="Arial"/>
        </w:rPr>
      </w:pPr>
    </w:p>
    <w:sectPr w:rsidR="00151DB8" w:rsidRPr="00151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6E4F"/>
    <w:multiLevelType w:val="hybridMultilevel"/>
    <w:tmpl w:val="1484683A"/>
    <w:lvl w:ilvl="0" w:tplc="0E82DA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3AA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A24E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224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6A64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0AE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D247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3AE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D40C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9BC7866"/>
    <w:multiLevelType w:val="hybridMultilevel"/>
    <w:tmpl w:val="616E1EE6"/>
    <w:lvl w:ilvl="0" w:tplc="A384A7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6C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3EF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D22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9C8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1A2A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98B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92EA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8EF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182819905">
    <w:abstractNumId w:val="1"/>
  </w:num>
  <w:num w:numId="2" w16cid:durableId="1477453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30AF4E"/>
    <w:rsid w:val="00033D60"/>
    <w:rsid w:val="000521F2"/>
    <w:rsid w:val="000C71F2"/>
    <w:rsid w:val="0010418B"/>
    <w:rsid w:val="00115853"/>
    <w:rsid w:val="001505AD"/>
    <w:rsid w:val="00151DB8"/>
    <w:rsid w:val="00290899"/>
    <w:rsid w:val="002A1749"/>
    <w:rsid w:val="002D42A0"/>
    <w:rsid w:val="002D4B56"/>
    <w:rsid w:val="002F6C91"/>
    <w:rsid w:val="00313F4D"/>
    <w:rsid w:val="00327B4D"/>
    <w:rsid w:val="00397223"/>
    <w:rsid w:val="003D2FAA"/>
    <w:rsid w:val="004249D1"/>
    <w:rsid w:val="00452898"/>
    <w:rsid w:val="00456990"/>
    <w:rsid w:val="004C72C5"/>
    <w:rsid w:val="004F5888"/>
    <w:rsid w:val="00510545"/>
    <w:rsid w:val="00545CDC"/>
    <w:rsid w:val="005544EE"/>
    <w:rsid w:val="00592AE9"/>
    <w:rsid w:val="005A0AE8"/>
    <w:rsid w:val="00607A4E"/>
    <w:rsid w:val="006753C5"/>
    <w:rsid w:val="006A1FC8"/>
    <w:rsid w:val="00706E74"/>
    <w:rsid w:val="007152E8"/>
    <w:rsid w:val="00782783"/>
    <w:rsid w:val="007B4B81"/>
    <w:rsid w:val="007D4241"/>
    <w:rsid w:val="00812AA6"/>
    <w:rsid w:val="00874365"/>
    <w:rsid w:val="008A290F"/>
    <w:rsid w:val="009F2757"/>
    <w:rsid w:val="00A21F61"/>
    <w:rsid w:val="00A44732"/>
    <w:rsid w:val="00A67B5D"/>
    <w:rsid w:val="00B1062D"/>
    <w:rsid w:val="00B31B13"/>
    <w:rsid w:val="00BA65BB"/>
    <w:rsid w:val="00BA6837"/>
    <w:rsid w:val="00BC6141"/>
    <w:rsid w:val="00C17204"/>
    <w:rsid w:val="00C44725"/>
    <w:rsid w:val="00CC7548"/>
    <w:rsid w:val="00CF45A3"/>
    <w:rsid w:val="00D176DA"/>
    <w:rsid w:val="00D91C26"/>
    <w:rsid w:val="00D95F80"/>
    <w:rsid w:val="00DB7F5B"/>
    <w:rsid w:val="00DD0814"/>
    <w:rsid w:val="00EE054F"/>
    <w:rsid w:val="00EE5C8D"/>
    <w:rsid w:val="00EF3511"/>
    <w:rsid w:val="00EF5BC1"/>
    <w:rsid w:val="00F02658"/>
    <w:rsid w:val="00F25BB5"/>
    <w:rsid w:val="00F86713"/>
    <w:rsid w:val="00F91A1D"/>
    <w:rsid w:val="00F938D7"/>
    <w:rsid w:val="00F94E07"/>
    <w:rsid w:val="2F30A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2CDB"/>
  <w15:chartTrackingRefBased/>
  <w15:docId w15:val="{8E337CD9-36AC-488C-8E50-05106F0E4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9F27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18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72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5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294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1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88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5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17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42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fb2d85d-35d9-45b8-bfaa-3edd9cbc3488">
      <Terms xmlns="http://schemas.microsoft.com/office/infopath/2007/PartnerControls"/>
    </lcf76f155ced4ddcb4097134ff3c332f>
    <TaxCatchAll xmlns="c839ac5d-a8d8-4c0b-bff0-15d0217b8558" xsi:nil="true"/>
    <SharedWithUsers xmlns="d7593786-a1cc-4346-bf19-2acfb37ece19">
      <UserInfo>
        <DisplayName/>
        <AccountId xsi:nil="true"/>
        <AccountType/>
      </UserInfo>
    </SharedWithUsers>
    <Location xmlns="afb2d85d-35d9-45b8-bfaa-3edd9cbc348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0261A759551047A613B23BAD80F753" ma:contentTypeVersion="27" ma:contentTypeDescription="Create a new document." ma:contentTypeScope="" ma:versionID="5ff49cbf6eefd5e5e362fc3f849bbe28">
  <xsd:schema xmlns:xsd="http://www.w3.org/2001/XMLSchema" xmlns:xs="http://www.w3.org/2001/XMLSchema" xmlns:p="http://schemas.microsoft.com/office/2006/metadata/properties" xmlns:ns2="afb2d85d-35d9-45b8-bfaa-3edd9cbc3488" xmlns:ns3="d7593786-a1cc-4346-bf19-2acfb37ece19" xmlns:ns4="c839ac5d-a8d8-4c0b-bff0-15d0217b8558" targetNamespace="http://schemas.microsoft.com/office/2006/metadata/properties" ma:root="true" ma:fieldsID="85c9ee7a98b34bad76992d11abc196ac" ns2:_="" ns3:_="" ns4:_="">
    <xsd:import namespace="afb2d85d-35d9-45b8-bfaa-3edd9cbc3488"/>
    <xsd:import namespace="d7593786-a1cc-4346-bf19-2acfb37ece19"/>
    <xsd:import namespace="c839ac5d-a8d8-4c0b-bff0-15d0217b85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Location" minOccurs="0"/>
                <xsd:element ref="ns2:bf396621-0565-4d98-9f36-20a47710d3ccCountryOrRegion" minOccurs="0"/>
                <xsd:element ref="ns2:bf396621-0565-4d98-9f36-20a47710d3ccState" minOccurs="0"/>
                <xsd:element ref="ns2:bf396621-0565-4d98-9f36-20a47710d3ccCity" minOccurs="0"/>
                <xsd:element ref="ns2:bf396621-0565-4d98-9f36-20a47710d3ccPostalCode" minOccurs="0"/>
                <xsd:element ref="ns2:bf396621-0565-4d98-9f36-20a47710d3ccStreet" minOccurs="0"/>
                <xsd:element ref="ns2:bf396621-0565-4d98-9f36-20a47710d3ccGeoLoc" minOccurs="0"/>
                <xsd:element ref="ns2:bf396621-0565-4d98-9f36-20a47710d3ccDispName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b2d85d-35d9-45b8-bfaa-3edd9cbc34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2764dbc-7309-45b3-8ffb-b5aa3fc55ab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Location" ma:index="24" nillable="true" ma:displayName="Location" ma:format="Dropdown" ma:internalName="Location">
      <xsd:simpleType>
        <xsd:restriction base="dms:Unknown"/>
      </xsd:simpleType>
    </xsd:element>
    <xsd:element name="bf396621-0565-4d98-9f36-20a47710d3ccCountryOrRegion" ma:index="25" nillable="true" ma:displayName="Location: Country/Region" ma:internalName="CountryOrRegion" ma:readOnly="true">
      <xsd:simpleType>
        <xsd:restriction base="dms:Text"/>
      </xsd:simpleType>
    </xsd:element>
    <xsd:element name="bf396621-0565-4d98-9f36-20a47710d3ccState" ma:index="26" nillable="true" ma:displayName="Location: State" ma:internalName="State" ma:readOnly="true">
      <xsd:simpleType>
        <xsd:restriction base="dms:Text"/>
      </xsd:simpleType>
    </xsd:element>
    <xsd:element name="bf396621-0565-4d98-9f36-20a47710d3ccCity" ma:index="27" nillable="true" ma:displayName="Location: City" ma:internalName="City" ma:readOnly="true">
      <xsd:simpleType>
        <xsd:restriction base="dms:Text"/>
      </xsd:simpleType>
    </xsd:element>
    <xsd:element name="bf396621-0565-4d98-9f36-20a47710d3ccPostalCode" ma:index="28" nillable="true" ma:displayName="Location: Postal Code" ma:internalName="PostalCode" ma:readOnly="true">
      <xsd:simpleType>
        <xsd:restriction base="dms:Text"/>
      </xsd:simpleType>
    </xsd:element>
    <xsd:element name="bf396621-0565-4d98-9f36-20a47710d3ccStreet" ma:index="29" nillable="true" ma:displayName="Location: Street" ma:internalName="Street" ma:readOnly="true">
      <xsd:simpleType>
        <xsd:restriction base="dms:Text"/>
      </xsd:simpleType>
    </xsd:element>
    <xsd:element name="bf396621-0565-4d98-9f36-20a47710d3ccGeoLoc" ma:index="30" nillable="true" ma:displayName="Location: Coordinates" ma:internalName="GeoLoc" ma:readOnly="true">
      <xsd:simpleType>
        <xsd:restriction base="dms:Unknown"/>
      </xsd:simpleType>
    </xsd:element>
    <xsd:element name="bf396621-0565-4d98-9f36-20a47710d3ccDispName" ma:index="31" nillable="true" ma:displayName="Location: Name" ma:internalName="DispName" ma:readOnly="true">
      <xsd:simpleType>
        <xsd:restriction base="dms:Text"/>
      </xsd:simpleType>
    </xsd:element>
    <xsd:element name="MediaServiceSearchProperties" ma:index="3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33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593786-a1cc-4346-bf19-2acfb37ece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9ac5d-a8d8-4c0b-bff0-15d0217b8558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b3cb42c7-5f6e-40d4-a90f-32dd9d0d3e0e}" ma:internalName="TaxCatchAll" ma:showField="CatchAllData" ma:web="c839ac5d-a8d8-4c0b-bff0-15d0217b85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0EBBEA-69B3-4291-AB63-004762C498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BDE8F5-F5B6-4479-8D2C-7850F84339D4}">
  <ds:schemaRefs>
    <ds:schemaRef ds:uri="http://schemas.microsoft.com/office/2006/metadata/properties"/>
    <ds:schemaRef ds:uri="http://schemas.microsoft.com/office/infopath/2007/PartnerControls"/>
    <ds:schemaRef ds:uri="afb2d85d-35d9-45b8-bfaa-3edd9cbc3488"/>
    <ds:schemaRef ds:uri="c839ac5d-a8d8-4c0b-bff0-15d0217b8558"/>
    <ds:schemaRef ds:uri="d7593786-a1cc-4346-bf19-2acfb37ece19"/>
  </ds:schemaRefs>
</ds:datastoreItem>
</file>

<file path=customXml/itemProps3.xml><?xml version="1.0" encoding="utf-8"?>
<ds:datastoreItem xmlns:ds="http://schemas.openxmlformats.org/officeDocument/2006/customXml" ds:itemID="{38B3A04F-D32A-48C3-A0EE-DFC3BC4FA9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b2d85d-35d9-45b8-bfaa-3edd9cbc3488"/>
    <ds:schemaRef ds:uri="d7593786-a1cc-4346-bf19-2acfb37ece19"/>
    <ds:schemaRef ds:uri="c839ac5d-a8d8-4c0b-bff0-15d0217b85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Acquah</dc:creator>
  <cp:keywords/>
  <dc:description/>
  <cp:lastModifiedBy>Giulia Ricci</cp:lastModifiedBy>
  <cp:revision>60</cp:revision>
  <dcterms:created xsi:type="dcterms:W3CDTF">2023-01-20T11:33:00Z</dcterms:created>
  <dcterms:modified xsi:type="dcterms:W3CDTF">2025-06-18T10:12:00Z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0x010100EC0261A759551047A613B23BAD80F753</vt:lpwstr>
  </property>
  <property fmtid="{D5CDD505-2E9C-101B-9397-08002B2CF9AE}" pid="3" name="MediaServiceImageTags">
    <vt:lpwstr/>
  </property>
  <property fmtid="{D5CDD505-2E9C-101B-9397-08002B2CF9AE}" pid="4" name="Order">
    <vt:r8>22494300</vt:r8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</Properties>
</file>