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A868F" w14:textId="77777777" w:rsidR="00E657F0" w:rsidRPr="00E657F0" w:rsidRDefault="00E657F0" w:rsidP="00E657F0">
      <w:pPr>
        <w:rPr>
          <w:rFonts w:ascii="Arial" w:hAnsi="Arial" w:cs="Arial"/>
          <w:sz w:val="28"/>
          <w:szCs w:val="28"/>
          <w:lang w:val="en-GB"/>
        </w:rPr>
      </w:pPr>
      <w:r w:rsidRPr="00E657F0">
        <w:rPr>
          <w:rFonts w:ascii="Arial" w:hAnsi="Arial" w:cs="Arial"/>
          <w:b/>
          <w:bCs/>
          <w:sz w:val="28"/>
          <w:szCs w:val="28"/>
          <w:lang w:val="en-GB"/>
        </w:rPr>
        <w:t>Open offers</w:t>
      </w:r>
    </w:p>
    <w:p w14:paraId="393DC991" w14:textId="77777777" w:rsidR="003809AF" w:rsidRPr="003809AF" w:rsidRDefault="003809AF" w:rsidP="003809AF">
      <w:pPr>
        <w:rPr>
          <w:rFonts w:ascii="Arial" w:hAnsi="Arial" w:cs="Arial"/>
          <w:lang w:val="en-GB"/>
        </w:rPr>
      </w:pPr>
      <w:r w:rsidRPr="003809AF">
        <w:rPr>
          <w:rFonts w:ascii="Arial" w:hAnsi="Arial" w:cs="Arial"/>
          <w:lang w:val="en-GB"/>
        </w:rPr>
        <w:t>This element explains the rules and regulations relating to open offers.</w:t>
      </w:r>
    </w:p>
    <w:p w14:paraId="45C2CCF3" w14:textId="77777777" w:rsidR="00C762F8" w:rsidRDefault="00C762F8" w:rsidP="003809AF">
      <w:pPr>
        <w:rPr>
          <w:rFonts w:ascii="Arial" w:hAnsi="Arial" w:cs="Arial"/>
          <w:b/>
          <w:bCs/>
          <w:lang w:val="en-GB"/>
        </w:rPr>
      </w:pPr>
    </w:p>
    <w:p w14:paraId="004C2AE7" w14:textId="52F96C76" w:rsidR="003809AF" w:rsidRPr="003809AF" w:rsidRDefault="003809AF" w:rsidP="003809AF">
      <w:pPr>
        <w:rPr>
          <w:rFonts w:ascii="Arial" w:hAnsi="Arial" w:cs="Arial"/>
          <w:lang w:val="en-GB"/>
        </w:rPr>
      </w:pPr>
      <w:r w:rsidRPr="003809AF">
        <w:rPr>
          <w:rFonts w:ascii="Arial" w:hAnsi="Arial" w:cs="Arial"/>
          <w:b/>
          <w:bCs/>
          <w:lang w:val="en-GB"/>
        </w:rPr>
        <w:t>What is an open offer?</w:t>
      </w:r>
    </w:p>
    <w:p w14:paraId="05169F29" w14:textId="281E3CBA" w:rsidR="003809AF" w:rsidRPr="003809AF" w:rsidRDefault="00111C0C" w:rsidP="003809AF">
      <w:pPr>
        <w:rPr>
          <w:rFonts w:ascii="Arial" w:hAnsi="Arial" w:cs="Arial"/>
          <w:lang w:val="en-GB"/>
        </w:rPr>
      </w:pPr>
      <w:r>
        <w:rPr>
          <w:rFonts w:ascii="Arial" w:hAnsi="Arial" w:cs="Arial"/>
          <w:lang w:val="en-GB"/>
        </w:rPr>
        <w:t xml:space="preserve">The FCA Handbook Glossary </w:t>
      </w:r>
      <w:r w:rsidR="003809AF" w:rsidRPr="003809AF">
        <w:rPr>
          <w:rFonts w:ascii="Arial" w:hAnsi="Arial" w:cs="Arial"/>
          <w:lang w:val="en-GB"/>
        </w:rPr>
        <w:t>contains relevant definitions:</w:t>
      </w:r>
    </w:p>
    <w:p w14:paraId="4FE4A70F" w14:textId="5C92D78B" w:rsidR="003809AF" w:rsidRPr="003809AF" w:rsidRDefault="003809AF" w:rsidP="003809AF">
      <w:pPr>
        <w:rPr>
          <w:rFonts w:ascii="Arial" w:hAnsi="Arial" w:cs="Arial"/>
          <w:lang w:val="en-GB"/>
        </w:rPr>
      </w:pPr>
      <w:r w:rsidRPr="00014F35">
        <w:rPr>
          <w:rFonts w:ascii="Arial" w:hAnsi="Arial" w:cs="Arial"/>
          <w:lang w:val="en-GB"/>
        </w:rPr>
        <w:t xml:space="preserve">An open offer is </w:t>
      </w:r>
      <w:r w:rsidR="00C762F8" w:rsidRPr="00014F35">
        <w:rPr>
          <w:rFonts w:ascii="Arial" w:hAnsi="Arial" w:cs="Arial"/>
          <w:lang w:val="en-GB"/>
        </w:rPr>
        <w:t>‘</w:t>
      </w:r>
      <w:r w:rsidRPr="00014F35">
        <w:rPr>
          <w:rFonts w:ascii="Arial" w:hAnsi="Arial" w:cs="Arial"/>
          <w:lang w:val="en-GB"/>
        </w:rPr>
        <w:t>an invitation to existing securities holders to subscribe or purchase securities in proportion to their holdings, which is not made by means of a renounceable letter (or other negotiable document).</w:t>
      </w:r>
      <w:r w:rsidR="00C762F8">
        <w:rPr>
          <w:rFonts w:ascii="Arial" w:hAnsi="Arial" w:cs="Arial"/>
          <w:i/>
          <w:iCs/>
          <w:lang w:val="en-GB"/>
        </w:rPr>
        <w:t>’</w:t>
      </w:r>
    </w:p>
    <w:p w14:paraId="166931E5" w14:textId="77777777" w:rsidR="00C762F8" w:rsidRDefault="00C762F8" w:rsidP="003809AF">
      <w:pPr>
        <w:rPr>
          <w:rFonts w:ascii="Arial" w:hAnsi="Arial" w:cs="Arial"/>
          <w:b/>
          <w:bCs/>
          <w:lang w:val="en-GB"/>
        </w:rPr>
      </w:pPr>
    </w:p>
    <w:p w14:paraId="105364AA" w14:textId="6B938BDB" w:rsidR="003809AF" w:rsidRPr="003809AF" w:rsidRDefault="003809AF" w:rsidP="003809AF">
      <w:pPr>
        <w:rPr>
          <w:rFonts w:ascii="Arial" w:hAnsi="Arial" w:cs="Arial"/>
          <w:lang w:val="en-GB"/>
        </w:rPr>
      </w:pPr>
      <w:r w:rsidRPr="003809AF">
        <w:rPr>
          <w:rFonts w:ascii="Arial" w:hAnsi="Arial" w:cs="Arial"/>
          <w:b/>
          <w:bCs/>
          <w:lang w:val="en-GB"/>
        </w:rPr>
        <w:t>How is an Open Offer different from a Rights Issue?</w:t>
      </w:r>
    </w:p>
    <w:p w14:paraId="0CD270FE" w14:textId="77777777" w:rsidR="00AE7439" w:rsidRPr="00AE7439" w:rsidRDefault="00AE7439" w:rsidP="00AE7439">
      <w:pPr>
        <w:rPr>
          <w:rFonts w:ascii="Arial" w:hAnsi="Arial" w:cs="Arial"/>
          <w:lang w:val="en-GB"/>
        </w:rPr>
      </w:pPr>
      <w:r w:rsidRPr="00AE7439">
        <w:rPr>
          <w:rFonts w:ascii="Arial" w:hAnsi="Arial" w:cs="Arial"/>
          <w:lang w:val="en-GB"/>
        </w:rPr>
        <w:t>There are a number of key differences between an open offer and a rights issue. These include:</w:t>
      </w:r>
    </w:p>
    <w:p w14:paraId="004576C0" w14:textId="77777777" w:rsidR="00AE7439" w:rsidRPr="00AE7439" w:rsidRDefault="00AE7439" w:rsidP="00AE7439">
      <w:pPr>
        <w:numPr>
          <w:ilvl w:val="0"/>
          <w:numId w:val="1"/>
        </w:numPr>
        <w:rPr>
          <w:rFonts w:ascii="Arial" w:hAnsi="Arial" w:cs="Arial"/>
          <w:lang w:val="en-GB"/>
        </w:rPr>
      </w:pPr>
      <w:r w:rsidRPr="00AE7439">
        <w:rPr>
          <w:rFonts w:ascii="Arial" w:hAnsi="Arial" w:cs="Arial"/>
          <w:lang w:val="en-GB"/>
        </w:rPr>
        <w:t>The method of the offer</w:t>
      </w:r>
    </w:p>
    <w:p w14:paraId="03E95941" w14:textId="77777777" w:rsidR="00AE7439" w:rsidRPr="00AE7439" w:rsidRDefault="00AE7439" w:rsidP="00AE7439">
      <w:pPr>
        <w:numPr>
          <w:ilvl w:val="0"/>
          <w:numId w:val="1"/>
        </w:numPr>
        <w:rPr>
          <w:rFonts w:ascii="Arial" w:hAnsi="Arial" w:cs="Arial"/>
          <w:lang w:val="en-GB"/>
        </w:rPr>
      </w:pPr>
      <w:r w:rsidRPr="00AE7439">
        <w:rPr>
          <w:rFonts w:ascii="Arial" w:hAnsi="Arial" w:cs="Arial"/>
          <w:lang w:val="en-GB"/>
        </w:rPr>
        <w:t>Underwriting arrangements</w:t>
      </w:r>
    </w:p>
    <w:p w14:paraId="2A11BA41" w14:textId="77777777" w:rsidR="00AE7439" w:rsidRPr="00AE7439" w:rsidRDefault="00AE7439" w:rsidP="00AE7439">
      <w:pPr>
        <w:numPr>
          <w:ilvl w:val="0"/>
          <w:numId w:val="1"/>
        </w:numPr>
        <w:rPr>
          <w:rFonts w:ascii="Arial" w:hAnsi="Arial" w:cs="Arial"/>
          <w:lang w:val="en-GB"/>
        </w:rPr>
      </w:pPr>
      <w:r w:rsidRPr="00AE7439">
        <w:rPr>
          <w:rFonts w:ascii="Arial" w:hAnsi="Arial" w:cs="Arial"/>
          <w:lang w:val="en-GB"/>
        </w:rPr>
        <w:t>The sale price of the shares</w:t>
      </w:r>
    </w:p>
    <w:p w14:paraId="052314D6" w14:textId="77777777" w:rsidR="00AE7439" w:rsidRPr="00AE7439" w:rsidRDefault="00AE7439" w:rsidP="00AE7439">
      <w:pPr>
        <w:numPr>
          <w:ilvl w:val="0"/>
          <w:numId w:val="1"/>
        </w:numPr>
        <w:rPr>
          <w:rFonts w:ascii="Arial" w:hAnsi="Arial" w:cs="Arial"/>
          <w:lang w:val="en-GB"/>
        </w:rPr>
      </w:pPr>
      <w:r w:rsidRPr="00AE7439">
        <w:rPr>
          <w:rFonts w:ascii="Arial" w:hAnsi="Arial" w:cs="Arial"/>
          <w:lang w:val="en-GB"/>
        </w:rPr>
        <w:t>The timetable</w:t>
      </w:r>
    </w:p>
    <w:p w14:paraId="1891CCF0" w14:textId="77777777" w:rsidR="00973D21" w:rsidRDefault="00973D21" w:rsidP="00AE7439">
      <w:pPr>
        <w:rPr>
          <w:rFonts w:ascii="Arial" w:hAnsi="Arial" w:cs="Arial"/>
          <w:lang w:val="en-GB"/>
        </w:rPr>
      </w:pPr>
    </w:p>
    <w:p w14:paraId="2DE31266" w14:textId="5F96002E" w:rsidR="00AE7439" w:rsidRPr="00AE7439" w:rsidRDefault="00AE7439" w:rsidP="00AE7439">
      <w:pPr>
        <w:rPr>
          <w:rFonts w:ascii="Arial" w:hAnsi="Arial" w:cs="Arial"/>
          <w:lang w:val="en-GB"/>
        </w:rPr>
      </w:pPr>
      <w:r w:rsidRPr="00AE7439">
        <w:rPr>
          <w:rFonts w:ascii="Arial" w:hAnsi="Arial" w:cs="Arial"/>
          <w:lang w:val="en-GB"/>
        </w:rPr>
        <w:t>These will each now be considered in turn.</w:t>
      </w:r>
    </w:p>
    <w:p w14:paraId="7FC23DC3" w14:textId="77777777" w:rsidR="00C762F8" w:rsidRDefault="00C762F8" w:rsidP="005178C2">
      <w:pPr>
        <w:rPr>
          <w:rFonts w:ascii="Arial" w:hAnsi="Arial" w:cs="Arial"/>
          <w:b/>
          <w:bCs/>
          <w:lang w:val="en-GB"/>
        </w:rPr>
      </w:pPr>
    </w:p>
    <w:p w14:paraId="60F1EAF4" w14:textId="28C3EF5B" w:rsidR="005178C2" w:rsidRPr="005178C2" w:rsidRDefault="005178C2" w:rsidP="005178C2">
      <w:pPr>
        <w:rPr>
          <w:rFonts w:ascii="Arial" w:hAnsi="Arial" w:cs="Arial"/>
          <w:lang w:val="en-GB"/>
        </w:rPr>
      </w:pPr>
      <w:r w:rsidRPr="005178C2">
        <w:rPr>
          <w:rFonts w:ascii="Arial" w:hAnsi="Arial" w:cs="Arial"/>
          <w:b/>
          <w:bCs/>
          <w:lang w:val="en-GB"/>
        </w:rPr>
        <w:t>Open offer –v- Rights Issue:</w:t>
      </w:r>
      <w:r>
        <w:rPr>
          <w:rFonts w:ascii="Arial" w:hAnsi="Arial" w:cs="Arial"/>
          <w:lang w:val="en-GB"/>
        </w:rPr>
        <w:t xml:space="preserve"> </w:t>
      </w:r>
      <w:r w:rsidRPr="005178C2">
        <w:rPr>
          <w:rFonts w:ascii="Arial" w:hAnsi="Arial" w:cs="Arial"/>
          <w:b/>
          <w:bCs/>
          <w:lang w:val="en-GB"/>
        </w:rPr>
        <w:t>The method of the offer</w:t>
      </w:r>
    </w:p>
    <w:p w14:paraId="1F072523" w14:textId="77777777" w:rsidR="00D824D8" w:rsidRDefault="00EB0A56" w:rsidP="00EB0A56">
      <w:pPr>
        <w:rPr>
          <w:rFonts w:ascii="Arial" w:hAnsi="Arial" w:cs="Arial"/>
          <w:lang w:val="en-GB"/>
        </w:rPr>
      </w:pPr>
      <w:r w:rsidRPr="00EB0A56">
        <w:rPr>
          <w:rFonts w:ascii="Arial" w:hAnsi="Arial" w:cs="Arial"/>
          <w:lang w:val="en-GB"/>
        </w:rPr>
        <w:t xml:space="preserve">The offer to buy further shares is made to shareholders by means of an application form.  The application form is non-renounceable and therefore cannot be traded (unlike a PAL in a rights issue).  </w:t>
      </w:r>
    </w:p>
    <w:p w14:paraId="723EFE4A" w14:textId="0F6D6AC4" w:rsidR="00250059" w:rsidRDefault="00EB0A56" w:rsidP="00EB0A56">
      <w:pPr>
        <w:rPr>
          <w:rFonts w:ascii="Arial" w:hAnsi="Arial" w:cs="Arial"/>
          <w:lang w:val="en-GB"/>
        </w:rPr>
      </w:pPr>
      <w:r w:rsidRPr="00EB0A56">
        <w:rPr>
          <w:rFonts w:ascii="Arial" w:hAnsi="Arial" w:cs="Arial"/>
          <w:lang w:val="en-GB"/>
        </w:rPr>
        <w:t xml:space="preserve">Shareholders have no ability to sell the unpaid rights in the market and so lose their opportunity to benefit from any value attached to the entitlement (i.e. value that arises because the offer price is less than the prevailing market price), and therefore shareholders who do nothing will not be </w:t>
      </w:r>
      <w:r w:rsidR="00C762F8">
        <w:rPr>
          <w:rFonts w:ascii="Arial" w:hAnsi="Arial" w:cs="Arial"/>
          <w:lang w:val="en-GB"/>
        </w:rPr>
        <w:t>‘</w:t>
      </w:r>
      <w:r w:rsidRPr="00EB0A56">
        <w:rPr>
          <w:rFonts w:ascii="Arial" w:hAnsi="Arial" w:cs="Arial"/>
          <w:lang w:val="en-GB"/>
        </w:rPr>
        <w:t>compensated</w:t>
      </w:r>
      <w:r w:rsidR="00C762F8">
        <w:rPr>
          <w:rFonts w:ascii="Arial" w:hAnsi="Arial" w:cs="Arial"/>
          <w:lang w:val="en-GB"/>
        </w:rPr>
        <w:t>’</w:t>
      </w:r>
      <w:r w:rsidRPr="00EB0A56">
        <w:rPr>
          <w:rFonts w:ascii="Arial" w:hAnsi="Arial" w:cs="Arial"/>
          <w:lang w:val="en-GB"/>
        </w:rPr>
        <w:t xml:space="preserve"> for the dilution of their holdings in the company.  </w:t>
      </w:r>
    </w:p>
    <w:p w14:paraId="223A2B63" w14:textId="16EF37DE" w:rsidR="00EB0A56" w:rsidRPr="00EB0A56" w:rsidRDefault="00EB0A56" w:rsidP="00EB0A56">
      <w:pPr>
        <w:rPr>
          <w:rFonts w:ascii="Arial" w:hAnsi="Arial" w:cs="Arial"/>
          <w:lang w:val="en-GB"/>
        </w:rPr>
      </w:pPr>
      <w:r w:rsidRPr="00EB0A56">
        <w:rPr>
          <w:rFonts w:ascii="Arial" w:hAnsi="Arial" w:cs="Arial"/>
          <w:lang w:val="en-GB"/>
        </w:rPr>
        <w:t>As with a rights issue, a prospectus is required for an open offer as it is an offer of transferable securities to the public which will be admitted to trading on a regulated market and the various exemptions are unlikely to apply.</w:t>
      </w:r>
    </w:p>
    <w:p w14:paraId="2BD722BF" w14:textId="77777777" w:rsidR="00C762F8" w:rsidRDefault="00C762F8" w:rsidP="00EB0A56">
      <w:pPr>
        <w:rPr>
          <w:rFonts w:ascii="Arial" w:hAnsi="Arial" w:cs="Arial"/>
          <w:b/>
          <w:bCs/>
          <w:lang w:val="en-GB"/>
        </w:rPr>
      </w:pPr>
    </w:p>
    <w:p w14:paraId="3F9E960A" w14:textId="610F87BC" w:rsidR="00EB0A56" w:rsidRPr="00EB0A56" w:rsidRDefault="00EB0A56" w:rsidP="00EB0A56">
      <w:pPr>
        <w:rPr>
          <w:rFonts w:ascii="Arial" w:hAnsi="Arial" w:cs="Arial"/>
          <w:lang w:val="en-GB"/>
        </w:rPr>
      </w:pPr>
      <w:r w:rsidRPr="00EB0A56">
        <w:rPr>
          <w:rFonts w:ascii="Arial" w:hAnsi="Arial" w:cs="Arial"/>
          <w:b/>
          <w:bCs/>
          <w:lang w:val="en-GB"/>
        </w:rPr>
        <w:t>Open offer –v- Rights Issue:</w:t>
      </w:r>
      <w:r>
        <w:rPr>
          <w:rFonts w:ascii="Arial" w:hAnsi="Arial" w:cs="Arial"/>
          <w:lang w:val="en-GB"/>
        </w:rPr>
        <w:t xml:space="preserve"> </w:t>
      </w:r>
      <w:r w:rsidRPr="00EB0A56">
        <w:rPr>
          <w:rFonts w:ascii="Arial" w:hAnsi="Arial" w:cs="Arial"/>
          <w:b/>
          <w:bCs/>
          <w:lang w:val="en-GB"/>
        </w:rPr>
        <w:t>Underwriting arrangements</w:t>
      </w:r>
    </w:p>
    <w:p w14:paraId="7F2184C7" w14:textId="0608C101" w:rsidR="0018335E" w:rsidRPr="0018335E" w:rsidRDefault="0018335E" w:rsidP="0018335E">
      <w:pPr>
        <w:rPr>
          <w:rFonts w:ascii="Arial" w:hAnsi="Arial" w:cs="Arial"/>
          <w:lang w:val="en-GB"/>
        </w:rPr>
      </w:pPr>
      <w:r w:rsidRPr="0018335E">
        <w:rPr>
          <w:rFonts w:ascii="Arial" w:hAnsi="Arial" w:cs="Arial"/>
          <w:lang w:val="en-GB"/>
        </w:rPr>
        <w:t xml:space="preserve">An open offer may be underwritten but the underwriter in an open offer will generally not provide any selling arrangements for </w:t>
      </w:r>
      <w:r w:rsidR="00C762F8">
        <w:rPr>
          <w:rFonts w:ascii="Arial" w:hAnsi="Arial" w:cs="Arial"/>
          <w:lang w:val="en-GB"/>
        </w:rPr>
        <w:t>‘</w:t>
      </w:r>
      <w:r w:rsidRPr="0018335E">
        <w:rPr>
          <w:rFonts w:ascii="Arial" w:hAnsi="Arial" w:cs="Arial"/>
          <w:lang w:val="en-GB"/>
        </w:rPr>
        <w:t>lazy</w:t>
      </w:r>
      <w:r w:rsidR="00C762F8">
        <w:rPr>
          <w:rFonts w:ascii="Arial" w:hAnsi="Arial" w:cs="Arial"/>
          <w:lang w:val="en-GB"/>
        </w:rPr>
        <w:t>’</w:t>
      </w:r>
      <w:r w:rsidRPr="0018335E">
        <w:rPr>
          <w:rFonts w:ascii="Arial" w:hAnsi="Arial" w:cs="Arial"/>
          <w:lang w:val="en-GB"/>
        </w:rPr>
        <w:t xml:space="preserve"> shareholders who do not take up their entitlement to shares. If a shareholder fails to take up their entitlement, they will not receive anything under an open </w:t>
      </w:r>
      <w:r w:rsidRPr="0018335E">
        <w:rPr>
          <w:rFonts w:ascii="Arial" w:hAnsi="Arial" w:cs="Arial"/>
          <w:lang w:val="en-GB"/>
        </w:rPr>
        <w:lastRenderedPageBreak/>
        <w:t xml:space="preserve">offer.  This contrasts with the position in a rights issue.  An open offer does not therefore give rise to a </w:t>
      </w:r>
      <w:r w:rsidR="00C762F8">
        <w:rPr>
          <w:rFonts w:ascii="Arial" w:hAnsi="Arial" w:cs="Arial"/>
          <w:lang w:val="en-GB"/>
        </w:rPr>
        <w:t>‘</w:t>
      </w:r>
      <w:r w:rsidRPr="0018335E">
        <w:rPr>
          <w:rFonts w:ascii="Arial" w:hAnsi="Arial" w:cs="Arial"/>
          <w:lang w:val="en-GB"/>
        </w:rPr>
        <w:t>rump</w:t>
      </w:r>
      <w:r w:rsidR="00C762F8">
        <w:rPr>
          <w:rFonts w:ascii="Arial" w:hAnsi="Arial" w:cs="Arial"/>
          <w:lang w:val="en-GB"/>
        </w:rPr>
        <w:t>’</w:t>
      </w:r>
      <w:r w:rsidRPr="0018335E">
        <w:rPr>
          <w:rFonts w:ascii="Arial" w:hAnsi="Arial" w:cs="Arial"/>
          <w:lang w:val="en-GB"/>
        </w:rPr>
        <w:t xml:space="preserve"> or a </w:t>
      </w:r>
      <w:r w:rsidR="00C762F8">
        <w:rPr>
          <w:rFonts w:ascii="Arial" w:hAnsi="Arial" w:cs="Arial"/>
          <w:lang w:val="en-GB"/>
        </w:rPr>
        <w:t>‘</w:t>
      </w:r>
      <w:r w:rsidRPr="0018335E">
        <w:rPr>
          <w:rFonts w:ascii="Arial" w:hAnsi="Arial" w:cs="Arial"/>
          <w:lang w:val="en-GB"/>
        </w:rPr>
        <w:t>stick</w:t>
      </w:r>
      <w:r w:rsidR="00C762F8">
        <w:rPr>
          <w:rFonts w:ascii="Arial" w:hAnsi="Arial" w:cs="Arial"/>
          <w:lang w:val="en-GB"/>
        </w:rPr>
        <w:t>’</w:t>
      </w:r>
      <w:r w:rsidRPr="0018335E">
        <w:rPr>
          <w:rFonts w:ascii="Arial" w:hAnsi="Arial" w:cs="Arial"/>
          <w:lang w:val="en-GB"/>
        </w:rPr>
        <w:t xml:space="preserve"> but, if underwritten, requires the underwriter to take up any shares which the existing shareholders do not accept.</w:t>
      </w:r>
    </w:p>
    <w:p w14:paraId="5FF52F70" w14:textId="44AC5C8D" w:rsidR="0018335E" w:rsidRPr="0018335E" w:rsidRDefault="0018335E" w:rsidP="0018335E">
      <w:pPr>
        <w:rPr>
          <w:rFonts w:ascii="Arial" w:hAnsi="Arial" w:cs="Arial"/>
          <w:lang w:val="en-GB"/>
        </w:rPr>
      </w:pPr>
      <w:r w:rsidRPr="0018335E">
        <w:rPr>
          <w:rFonts w:ascii="Arial" w:hAnsi="Arial" w:cs="Arial"/>
          <w:lang w:val="en-GB"/>
        </w:rPr>
        <w:t> </w:t>
      </w:r>
      <w:r w:rsidR="00776028">
        <w:rPr>
          <w:rFonts w:ascii="Arial" w:hAnsi="Arial" w:cs="Arial"/>
          <w:lang w:val="en-GB"/>
        </w:rPr>
        <w:t>A</w:t>
      </w:r>
      <w:r w:rsidRPr="0018335E">
        <w:rPr>
          <w:rFonts w:ascii="Arial" w:hAnsi="Arial" w:cs="Arial"/>
          <w:lang w:val="en-GB"/>
        </w:rPr>
        <w:t xml:space="preserve">n open offer </w:t>
      </w:r>
      <w:r w:rsidR="00776028">
        <w:rPr>
          <w:rFonts w:ascii="Arial" w:hAnsi="Arial" w:cs="Arial"/>
          <w:lang w:val="en-GB"/>
        </w:rPr>
        <w:t xml:space="preserve">can </w:t>
      </w:r>
      <w:r w:rsidRPr="0018335E">
        <w:rPr>
          <w:rFonts w:ascii="Arial" w:hAnsi="Arial" w:cs="Arial"/>
          <w:lang w:val="en-GB"/>
        </w:rPr>
        <w:t xml:space="preserve">be combined with a placing: this has the effect of reducing or eliminating the need for underwriting.  On announcement, the conditional </w:t>
      </w:r>
      <w:proofErr w:type="spellStart"/>
      <w:r w:rsidRPr="0018335E">
        <w:rPr>
          <w:rFonts w:ascii="Arial" w:hAnsi="Arial" w:cs="Arial"/>
          <w:lang w:val="en-GB"/>
        </w:rPr>
        <w:t>placees</w:t>
      </w:r>
      <w:proofErr w:type="spellEnd"/>
      <w:r w:rsidRPr="0018335E">
        <w:rPr>
          <w:rFonts w:ascii="Arial" w:hAnsi="Arial" w:cs="Arial"/>
          <w:lang w:val="en-GB"/>
        </w:rPr>
        <w:t xml:space="preserve"> (institutional investor who may or may not be existing shareholders) commit to purchase shares not taken up by existing shareholders in the open offer.</w:t>
      </w:r>
    </w:p>
    <w:p w14:paraId="764503AB" w14:textId="77777777" w:rsidR="00C762F8" w:rsidRDefault="00C762F8" w:rsidP="0018335E">
      <w:pPr>
        <w:rPr>
          <w:rFonts w:ascii="Arial" w:hAnsi="Arial" w:cs="Arial"/>
          <w:b/>
          <w:bCs/>
          <w:lang w:val="en-GB"/>
        </w:rPr>
      </w:pPr>
    </w:p>
    <w:p w14:paraId="2D39321B" w14:textId="5DF760AF" w:rsidR="0018335E" w:rsidRDefault="0018335E" w:rsidP="0018335E">
      <w:pPr>
        <w:rPr>
          <w:rFonts w:ascii="Arial" w:hAnsi="Arial" w:cs="Arial"/>
          <w:b/>
          <w:bCs/>
          <w:lang w:val="en-GB"/>
        </w:rPr>
      </w:pPr>
      <w:r w:rsidRPr="0018335E">
        <w:rPr>
          <w:rFonts w:ascii="Arial" w:hAnsi="Arial" w:cs="Arial"/>
          <w:b/>
          <w:bCs/>
          <w:lang w:val="en-GB"/>
        </w:rPr>
        <w:t>Open offer –v- Rights Issue:</w:t>
      </w:r>
      <w:r>
        <w:rPr>
          <w:rFonts w:ascii="Arial" w:hAnsi="Arial" w:cs="Arial"/>
          <w:lang w:val="en-GB"/>
        </w:rPr>
        <w:t xml:space="preserve"> </w:t>
      </w:r>
      <w:r w:rsidRPr="0018335E">
        <w:rPr>
          <w:rFonts w:ascii="Arial" w:hAnsi="Arial" w:cs="Arial"/>
          <w:b/>
          <w:bCs/>
          <w:lang w:val="en-GB"/>
        </w:rPr>
        <w:t>The sale price of the shares</w:t>
      </w:r>
    </w:p>
    <w:p w14:paraId="4162BED5" w14:textId="54D65323" w:rsidR="00FA07BE" w:rsidRPr="00FA07BE" w:rsidRDefault="00FA07BE" w:rsidP="00FA07BE">
      <w:pPr>
        <w:rPr>
          <w:rFonts w:ascii="Arial" w:hAnsi="Arial" w:cs="Arial"/>
          <w:lang w:val="en-GB"/>
        </w:rPr>
      </w:pPr>
      <w:r w:rsidRPr="00FA07BE">
        <w:rPr>
          <w:rFonts w:ascii="Arial" w:hAnsi="Arial" w:cs="Arial"/>
          <w:lang w:val="en-GB"/>
        </w:rPr>
        <w:t xml:space="preserve">Under an open offer, the shares are also usually offered at a discount to the market price (i.e. the price at which the shares are currently traded on the LSE) to encourage shareholders to take up their shares.  Historically, the discount offered under an open offer has been much smaller than under a rights issue (between 4% and 10% of the current market price), particularly where an open offer is combined with a placing. However, the </w:t>
      </w:r>
      <w:r w:rsidR="00D63071">
        <w:rPr>
          <w:rFonts w:ascii="Arial" w:hAnsi="Arial" w:cs="Arial"/>
          <w:lang w:val="en-GB"/>
        </w:rPr>
        <w:t xml:space="preserve">UK </w:t>
      </w:r>
      <w:r w:rsidRPr="00FA07BE">
        <w:rPr>
          <w:rFonts w:ascii="Arial" w:hAnsi="Arial" w:cs="Arial"/>
          <w:lang w:val="en-GB"/>
        </w:rPr>
        <w:t xml:space="preserve">Listing Rules allow greater discounts in certain circumstances. </w:t>
      </w:r>
    </w:p>
    <w:p w14:paraId="043FC8D3" w14:textId="0A112048" w:rsidR="00FA07BE" w:rsidRPr="00FA07BE" w:rsidRDefault="00684C90" w:rsidP="00FA07BE">
      <w:pPr>
        <w:rPr>
          <w:rFonts w:ascii="Arial" w:hAnsi="Arial" w:cs="Arial"/>
          <w:lang w:val="en-GB"/>
        </w:rPr>
      </w:pPr>
      <w:r>
        <w:rPr>
          <w:rFonts w:ascii="Arial" w:hAnsi="Arial" w:cs="Arial"/>
          <w:b/>
          <w:bCs/>
          <w:lang w:val="en-GB"/>
        </w:rPr>
        <w:t>UK</w:t>
      </w:r>
      <w:r w:rsidR="00FA07BE" w:rsidRPr="00FA07BE">
        <w:rPr>
          <w:rFonts w:ascii="Arial" w:hAnsi="Arial" w:cs="Arial"/>
          <w:b/>
          <w:bCs/>
          <w:lang w:val="en-GB"/>
        </w:rPr>
        <w:t>LR 9.</w:t>
      </w:r>
      <w:r w:rsidR="00137A5F">
        <w:rPr>
          <w:rFonts w:ascii="Arial" w:hAnsi="Arial" w:cs="Arial"/>
          <w:b/>
          <w:bCs/>
          <w:lang w:val="en-GB"/>
        </w:rPr>
        <w:t>4</w:t>
      </w:r>
      <w:r w:rsidR="00FA07BE" w:rsidRPr="00FA07BE">
        <w:rPr>
          <w:rFonts w:ascii="Arial" w:hAnsi="Arial" w:cs="Arial"/>
          <w:b/>
          <w:bCs/>
          <w:lang w:val="en-GB"/>
        </w:rPr>
        <w:t>.1</w:t>
      </w:r>
      <w:r w:rsidR="00137A5F">
        <w:rPr>
          <w:rFonts w:ascii="Arial" w:hAnsi="Arial" w:cs="Arial"/>
          <w:b/>
          <w:bCs/>
          <w:lang w:val="en-GB"/>
        </w:rPr>
        <w:t>3</w:t>
      </w:r>
      <w:r w:rsidR="00FA07BE" w:rsidRPr="00FA07BE">
        <w:rPr>
          <w:rFonts w:ascii="Arial" w:hAnsi="Arial" w:cs="Arial"/>
          <w:lang w:val="en-GB"/>
        </w:rPr>
        <w:t xml:space="preserve"> provides that an open offer cannot be made at a discount of over 10% </w:t>
      </w:r>
      <w:r w:rsidR="00FA07BE" w:rsidRPr="00014F35">
        <w:rPr>
          <w:rFonts w:ascii="Arial" w:hAnsi="Arial" w:cs="Arial"/>
          <w:b/>
          <w:bCs/>
          <w:lang w:val="en-GB"/>
        </w:rPr>
        <w:t>unless</w:t>
      </w:r>
      <w:r w:rsidR="00FA07BE" w:rsidRPr="00FA07BE">
        <w:rPr>
          <w:rFonts w:ascii="Arial" w:hAnsi="Arial" w:cs="Arial"/>
          <w:lang w:val="en-GB"/>
        </w:rPr>
        <w:t>:</w:t>
      </w:r>
    </w:p>
    <w:p w14:paraId="1E07F928" w14:textId="77777777" w:rsidR="00FA07BE" w:rsidRPr="00FA07BE" w:rsidRDefault="00FA07BE" w:rsidP="00FA07BE">
      <w:pPr>
        <w:numPr>
          <w:ilvl w:val="0"/>
          <w:numId w:val="2"/>
        </w:numPr>
        <w:rPr>
          <w:rFonts w:ascii="Arial" w:hAnsi="Arial" w:cs="Arial"/>
          <w:lang w:val="en-GB"/>
        </w:rPr>
      </w:pPr>
      <w:r w:rsidRPr="00FA07BE">
        <w:rPr>
          <w:rFonts w:ascii="Arial" w:hAnsi="Arial" w:cs="Arial"/>
          <w:lang w:val="en-GB"/>
        </w:rPr>
        <w:t>the terms of the offer at that discount have been specifically approved by the issuer’s shareholders; or</w:t>
      </w:r>
    </w:p>
    <w:p w14:paraId="32EE3758" w14:textId="77777777" w:rsidR="00FA07BE" w:rsidRPr="00FA07BE" w:rsidRDefault="00FA07BE" w:rsidP="00FA07BE">
      <w:pPr>
        <w:numPr>
          <w:ilvl w:val="0"/>
          <w:numId w:val="2"/>
        </w:numPr>
        <w:rPr>
          <w:rFonts w:ascii="Arial" w:hAnsi="Arial" w:cs="Arial"/>
          <w:lang w:val="en-GB"/>
        </w:rPr>
      </w:pPr>
      <w:r w:rsidRPr="00FA07BE">
        <w:rPr>
          <w:rFonts w:ascii="Arial" w:hAnsi="Arial" w:cs="Arial"/>
          <w:lang w:val="en-GB"/>
        </w:rPr>
        <w:t xml:space="preserve">it is an issue of shares for cash under a pre-existing general authority to disapply </w:t>
      </w:r>
      <w:r w:rsidRPr="00FA07BE">
        <w:rPr>
          <w:rFonts w:ascii="Arial" w:hAnsi="Arial" w:cs="Arial"/>
          <w:b/>
          <w:bCs/>
          <w:lang w:val="en-GB"/>
        </w:rPr>
        <w:t>s.561 CA 2006</w:t>
      </w:r>
      <w:r w:rsidRPr="00FA07BE">
        <w:rPr>
          <w:rFonts w:ascii="Arial" w:hAnsi="Arial" w:cs="Arial"/>
          <w:lang w:val="en-GB"/>
        </w:rPr>
        <w:t>.</w:t>
      </w:r>
    </w:p>
    <w:p w14:paraId="77CDED34" w14:textId="77777777" w:rsidR="00FA07BE" w:rsidRPr="00FA07BE" w:rsidRDefault="00FA07BE" w:rsidP="00FA07BE">
      <w:pPr>
        <w:rPr>
          <w:rFonts w:ascii="Arial" w:hAnsi="Arial" w:cs="Arial"/>
          <w:lang w:val="en-GB"/>
        </w:rPr>
      </w:pPr>
      <w:r w:rsidRPr="00FA07BE">
        <w:rPr>
          <w:rFonts w:ascii="Arial" w:hAnsi="Arial" w:cs="Arial"/>
          <w:lang w:val="en-GB"/>
        </w:rPr>
        <w:t xml:space="preserve">As pre-emption rights are often systematically disapplied in relation to open offers, it is technically permissible for shares issued under an open offer to be issued at a discount of more than 10%, although in practice 10% will usually still be the maximum. </w:t>
      </w:r>
    </w:p>
    <w:p w14:paraId="49E1E215" w14:textId="77777777" w:rsidR="00BE2411" w:rsidRDefault="00BE2411" w:rsidP="00FA07BE">
      <w:pPr>
        <w:rPr>
          <w:rFonts w:ascii="Arial" w:hAnsi="Arial" w:cs="Arial"/>
          <w:b/>
          <w:bCs/>
          <w:lang w:val="en-GB"/>
        </w:rPr>
      </w:pPr>
    </w:p>
    <w:p w14:paraId="508B84F6" w14:textId="495B2D33" w:rsidR="00FA07BE" w:rsidRPr="00FA07BE" w:rsidRDefault="00FA07BE" w:rsidP="00FA07BE">
      <w:pPr>
        <w:rPr>
          <w:rFonts w:ascii="Arial" w:hAnsi="Arial" w:cs="Arial"/>
          <w:lang w:val="en-GB"/>
        </w:rPr>
      </w:pPr>
      <w:r w:rsidRPr="00FA07BE">
        <w:rPr>
          <w:rFonts w:ascii="Arial" w:hAnsi="Arial" w:cs="Arial"/>
          <w:b/>
          <w:bCs/>
          <w:lang w:val="en-GB"/>
        </w:rPr>
        <w:t>Open offer –v- Rights Issue:</w:t>
      </w:r>
      <w:r>
        <w:rPr>
          <w:rFonts w:ascii="Arial" w:hAnsi="Arial" w:cs="Arial"/>
          <w:lang w:val="en-GB"/>
        </w:rPr>
        <w:t xml:space="preserve"> </w:t>
      </w:r>
      <w:r w:rsidRPr="00FA07BE">
        <w:rPr>
          <w:rFonts w:ascii="Arial" w:hAnsi="Arial" w:cs="Arial"/>
          <w:b/>
          <w:bCs/>
          <w:lang w:val="en-GB"/>
        </w:rPr>
        <w:t>The timetable</w:t>
      </w:r>
    </w:p>
    <w:p w14:paraId="0129043E" w14:textId="621F20A0" w:rsidR="00FA07BE" w:rsidRPr="00FA07BE" w:rsidRDefault="008D210C" w:rsidP="00FA07BE">
      <w:pPr>
        <w:rPr>
          <w:rFonts w:ascii="Arial" w:hAnsi="Arial" w:cs="Arial"/>
          <w:lang w:val="en-GB"/>
        </w:rPr>
      </w:pPr>
      <w:r>
        <w:rPr>
          <w:rFonts w:ascii="Arial" w:hAnsi="Arial" w:cs="Arial"/>
          <w:b/>
          <w:bCs/>
          <w:lang w:val="en-GB"/>
        </w:rPr>
        <w:t>UK</w:t>
      </w:r>
      <w:r w:rsidR="00FA07BE" w:rsidRPr="00FA07BE">
        <w:rPr>
          <w:rFonts w:ascii="Arial" w:hAnsi="Arial" w:cs="Arial"/>
          <w:b/>
          <w:bCs/>
          <w:lang w:val="en-GB"/>
        </w:rPr>
        <w:t>LR 9.</w:t>
      </w:r>
      <w:r>
        <w:rPr>
          <w:rFonts w:ascii="Arial" w:hAnsi="Arial" w:cs="Arial"/>
          <w:b/>
          <w:bCs/>
          <w:lang w:val="en-GB"/>
        </w:rPr>
        <w:t>4</w:t>
      </w:r>
      <w:r w:rsidR="00FA07BE" w:rsidRPr="00FA07BE">
        <w:rPr>
          <w:rFonts w:ascii="Arial" w:hAnsi="Arial" w:cs="Arial"/>
          <w:b/>
          <w:bCs/>
          <w:lang w:val="en-GB"/>
        </w:rPr>
        <w:t>.</w:t>
      </w:r>
      <w:r>
        <w:rPr>
          <w:rFonts w:ascii="Arial" w:hAnsi="Arial" w:cs="Arial"/>
          <w:b/>
          <w:bCs/>
          <w:lang w:val="en-GB"/>
        </w:rPr>
        <w:t>8</w:t>
      </w:r>
      <w:r w:rsidR="00FA07BE" w:rsidRPr="00FA07BE">
        <w:rPr>
          <w:rFonts w:ascii="Arial" w:hAnsi="Arial" w:cs="Arial"/>
          <w:lang w:val="en-GB"/>
        </w:rPr>
        <w:t xml:space="preserve"> provides that an open offer must remain open for acceptance for at least 10 business days starting with the date on which the offer is first open for acceptance. This is the same as the requirement under </w:t>
      </w:r>
      <w:r w:rsidR="00137A5F" w:rsidRPr="00014F35">
        <w:rPr>
          <w:rFonts w:ascii="Arial" w:hAnsi="Arial" w:cs="Arial"/>
          <w:b/>
          <w:bCs/>
          <w:lang w:val="en-GB"/>
        </w:rPr>
        <w:t>UK</w:t>
      </w:r>
      <w:r w:rsidR="00FA07BE" w:rsidRPr="00137A5F">
        <w:rPr>
          <w:rFonts w:ascii="Arial" w:hAnsi="Arial" w:cs="Arial"/>
          <w:b/>
          <w:bCs/>
          <w:lang w:val="en-GB"/>
        </w:rPr>
        <w:t>LR</w:t>
      </w:r>
      <w:r w:rsidR="00FA07BE" w:rsidRPr="00FA07BE">
        <w:rPr>
          <w:rFonts w:ascii="Arial" w:hAnsi="Arial" w:cs="Arial"/>
          <w:b/>
          <w:bCs/>
          <w:lang w:val="en-GB"/>
        </w:rPr>
        <w:t xml:space="preserve"> 9.</w:t>
      </w:r>
      <w:r w:rsidR="00137A5F">
        <w:rPr>
          <w:rFonts w:ascii="Arial" w:hAnsi="Arial" w:cs="Arial"/>
          <w:b/>
          <w:bCs/>
          <w:lang w:val="en-GB"/>
        </w:rPr>
        <w:t>4</w:t>
      </w:r>
      <w:r w:rsidR="00FA07BE" w:rsidRPr="00FA07BE">
        <w:rPr>
          <w:rFonts w:ascii="Arial" w:hAnsi="Arial" w:cs="Arial"/>
          <w:b/>
          <w:bCs/>
          <w:lang w:val="en-GB"/>
        </w:rPr>
        <w:t>.6</w:t>
      </w:r>
      <w:r w:rsidR="00FA07BE" w:rsidRPr="00FA07BE">
        <w:rPr>
          <w:rFonts w:ascii="Arial" w:hAnsi="Arial" w:cs="Arial"/>
          <w:lang w:val="en-GB"/>
        </w:rPr>
        <w:t xml:space="preserve"> for rights issues.</w:t>
      </w:r>
    </w:p>
    <w:p w14:paraId="1D946E8E" w14:textId="77777777" w:rsidR="00FA07BE" w:rsidRPr="00FA07BE" w:rsidRDefault="00FA07BE" w:rsidP="00FA07BE">
      <w:pPr>
        <w:rPr>
          <w:rFonts w:ascii="Arial" w:hAnsi="Arial" w:cs="Arial"/>
          <w:lang w:val="en-GB"/>
        </w:rPr>
      </w:pPr>
      <w:r w:rsidRPr="00FA07BE">
        <w:rPr>
          <w:rFonts w:ascii="Arial" w:hAnsi="Arial" w:cs="Arial"/>
          <w:lang w:val="en-GB"/>
        </w:rPr>
        <w:t xml:space="preserve">Note that, as the application forms are not tradeable instruments, they can be posted to shareholders on Impact Day if a GM is required (unlike for a rights issue, when companies have to wait until after the GM before making the offer to shareholders and posting the PALs). </w:t>
      </w:r>
    </w:p>
    <w:p w14:paraId="6262019F" w14:textId="77777777" w:rsidR="00FA07BE" w:rsidRPr="00FA07BE" w:rsidRDefault="00FA07BE" w:rsidP="00FA07BE">
      <w:pPr>
        <w:rPr>
          <w:rFonts w:ascii="Arial" w:hAnsi="Arial" w:cs="Arial"/>
          <w:lang w:val="en-GB"/>
        </w:rPr>
      </w:pPr>
      <w:r w:rsidRPr="00FA07BE">
        <w:rPr>
          <w:rFonts w:ascii="Arial" w:hAnsi="Arial" w:cs="Arial"/>
          <w:lang w:val="en-GB"/>
        </w:rPr>
        <w:t xml:space="preserve">Therefore, if a GM is required to approve the issue of shares under an open offer, the timetable for an open offer will generally be much shorter than the timetable for a similar sized rights issue which requires shareholder approval at a GM.  The timetable on the next page assumes that the conditions of </w:t>
      </w:r>
      <w:r w:rsidRPr="00FA07BE">
        <w:rPr>
          <w:rFonts w:ascii="Arial" w:hAnsi="Arial" w:cs="Arial"/>
          <w:b/>
          <w:bCs/>
          <w:lang w:val="en-GB"/>
        </w:rPr>
        <w:t>ss.307A(2)-(4) CA 2006</w:t>
      </w:r>
      <w:r w:rsidRPr="00FA07BE">
        <w:rPr>
          <w:rFonts w:ascii="Arial" w:hAnsi="Arial" w:cs="Arial"/>
          <w:lang w:val="en-GB"/>
        </w:rPr>
        <w:t xml:space="preserve"> are satisfied and that the notice period of the meeting can be reduced to 14 clear days (</w:t>
      </w:r>
      <w:r w:rsidRPr="00FA07BE">
        <w:rPr>
          <w:rFonts w:ascii="Arial" w:hAnsi="Arial" w:cs="Arial"/>
          <w:b/>
          <w:bCs/>
          <w:lang w:val="en-GB"/>
        </w:rPr>
        <w:t>s.307A(1)(a) CA 2006</w:t>
      </w:r>
      <w:r w:rsidRPr="00FA07BE">
        <w:rPr>
          <w:rFonts w:ascii="Arial" w:hAnsi="Arial" w:cs="Arial"/>
          <w:lang w:val="en-GB"/>
        </w:rPr>
        <w:t xml:space="preserve">).  </w:t>
      </w:r>
    </w:p>
    <w:p w14:paraId="6BB9A09C" w14:textId="77777777" w:rsidR="00C762F8" w:rsidRDefault="00C762F8" w:rsidP="007663CC">
      <w:pPr>
        <w:rPr>
          <w:rFonts w:ascii="Arial" w:hAnsi="Arial" w:cs="Arial"/>
          <w:b/>
          <w:bCs/>
          <w:lang w:val="en-GB"/>
        </w:rPr>
      </w:pPr>
    </w:p>
    <w:p w14:paraId="5AF3AD96" w14:textId="77777777" w:rsidR="00973D21" w:rsidRDefault="00973D21">
      <w:pPr>
        <w:rPr>
          <w:rFonts w:ascii="Arial" w:hAnsi="Arial" w:cs="Arial"/>
          <w:b/>
          <w:bCs/>
          <w:lang w:val="en-GB"/>
        </w:rPr>
      </w:pPr>
      <w:r>
        <w:rPr>
          <w:rFonts w:ascii="Arial" w:hAnsi="Arial" w:cs="Arial"/>
          <w:b/>
          <w:bCs/>
          <w:lang w:val="en-GB"/>
        </w:rPr>
        <w:br w:type="page"/>
      </w:r>
    </w:p>
    <w:p w14:paraId="6987C975" w14:textId="2C6FE011" w:rsidR="007663CC" w:rsidRPr="007663CC" w:rsidRDefault="007663CC" w:rsidP="007663CC">
      <w:pPr>
        <w:rPr>
          <w:rFonts w:ascii="Arial" w:hAnsi="Arial" w:cs="Arial"/>
          <w:lang w:val="en-GB"/>
        </w:rPr>
      </w:pPr>
      <w:r w:rsidRPr="007663CC">
        <w:rPr>
          <w:rFonts w:ascii="Arial" w:hAnsi="Arial" w:cs="Arial"/>
          <w:b/>
          <w:bCs/>
          <w:lang w:val="en-GB"/>
        </w:rPr>
        <w:lastRenderedPageBreak/>
        <w:t>Open offer: Timetable</w:t>
      </w:r>
    </w:p>
    <w:p w14:paraId="7E6943EF" w14:textId="77777777" w:rsidR="007663CC" w:rsidRPr="007663CC" w:rsidRDefault="007663CC" w:rsidP="007663CC">
      <w:pPr>
        <w:numPr>
          <w:ilvl w:val="0"/>
          <w:numId w:val="3"/>
        </w:numPr>
        <w:rPr>
          <w:rFonts w:ascii="Arial" w:hAnsi="Arial" w:cs="Arial"/>
          <w:lang w:val="en-GB"/>
        </w:rPr>
      </w:pPr>
      <w:r w:rsidRPr="007663CC">
        <w:rPr>
          <w:rFonts w:ascii="Arial" w:hAnsi="Arial" w:cs="Arial"/>
        </w:rPr>
        <w:t>Impact Day: (Day 0)</w:t>
      </w:r>
    </w:p>
    <w:p w14:paraId="2760349E" w14:textId="56C05C33" w:rsidR="007663CC" w:rsidRPr="007663CC" w:rsidRDefault="007663CC" w:rsidP="007663CC">
      <w:pPr>
        <w:numPr>
          <w:ilvl w:val="0"/>
          <w:numId w:val="4"/>
        </w:numPr>
        <w:rPr>
          <w:rFonts w:ascii="Arial" w:hAnsi="Arial" w:cs="Arial"/>
          <w:lang w:val="en-GB"/>
        </w:rPr>
      </w:pPr>
      <w:r w:rsidRPr="007663CC">
        <w:rPr>
          <w:rFonts w:ascii="Arial" w:hAnsi="Arial" w:cs="Arial"/>
        </w:rPr>
        <w:t>Announcement made to RIS (</w:t>
      </w:r>
      <w:r w:rsidR="00C436A2">
        <w:rPr>
          <w:rFonts w:ascii="Arial" w:hAnsi="Arial" w:cs="Arial"/>
        </w:rPr>
        <w:t>UK</w:t>
      </w:r>
      <w:r w:rsidRPr="007663CC">
        <w:rPr>
          <w:rFonts w:ascii="Arial" w:hAnsi="Arial" w:cs="Arial"/>
        </w:rPr>
        <w:t xml:space="preserve">LR </w:t>
      </w:r>
      <w:r w:rsidR="00402599">
        <w:rPr>
          <w:rFonts w:ascii="Arial" w:hAnsi="Arial" w:cs="Arial"/>
        </w:rPr>
        <w:t>6</w:t>
      </w:r>
      <w:r w:rsidRPr="007663CC">
        <w:rPr>
          <w:rFonts w:ascii="Arial" w:hAnsi="Arial" w:cs="Arial"/>
        </w:rPr>
        <w:t>.</w:t>
      </w:r>
      <w:r w:rsidR="00402599">
        <w:rPr>
          <w:rFonts w:ascii="Arial" w:hAnsi="Arial" w:cs="Arial"/>
        </w:rPr>
        <w:t>4</w:t>
      </w:r>
      <w:r w:rsidRPr="007663CC">
        <w:rPr>
          <w:rFonts w:ascii="Arial" w:hAnsi="Arial" w:cs="Arial"/>
        </w:rPr>
        <w:t>.4(1))</w:t>
      </w:r>
    </w:p>
    <w:p w14:paraId="30CF5090" w14:textId="77777777" w:rsidR="007663CC" w:rsidRPr="007663CC" w:rsidRDefault="007663CC" w:rsidP="007663CC">
      <w:pPr>
        <w:numPr>
          <w:ilvl w:val="0"/>
          <w:numId w:val="4"/>
        </w:numPr>
        <w:rPr>
          <w:rFonts w:ascii="Arial" w:hAnsi="Arial" w:cs="Arial"/>
          <w:lang w:val="en-GB"/>
        </w:rPr>
      </w:pPr>
      <w:r w:rsidRPr="007663CC">
        <w:rPr>
          <w:rFonts w:ascii="Arial" w:hAnsi="Arial" w:cs="Arial"/>
        </w:rPr>
        <w:t>Separate circular (if used) and application form posted</w:t>
      </w:r>
    </w:p>
    <w:p w14:paraId="16901585" w14:textId="2AB97537" w:rsidR="007C3541" w:rsidRPr="007C3541" w:rsidRDefault="007663CC" w:rsidP="007C3541">
      <w:pPr>
        <w:numPr>
          <w:ilvl w:val="0"/>
          <w:numId w:val="4"/>
        </w:numPr>
        <w:rPr>
          <w:rFonts w:ascii="Arial" w:hAnsi="Arial" w:cs="Arial"/>
          <w:lang w:val="en-GB"/>
        </w:rPr>
      </w:pPr>
      <w:r w:rsidRPr="007663CC">
        <w:rPr>
          <w:rFonts w:ascii="Arial" w:hAnsi="Arial" w:cs="Arial"/>
        </w:rPr>
        <w:t>Prospectus approved and published</w:t>
      </w:r>
    </w:p>
    <w:p w14:paraId="318FBCF9" w14:textId="785D706F" w:rsidR="000066C5" w:rsidRPr="00511101" w:rsidRDefault="000066C5" w:rsidP="000066C5">
      <w:pPr>
        <w:pStyle w:val="ListParagraph"/>
        <w:numPr>
          <w:ilvl w:val="0"/>
          <w:numId w:val="3"/>
        </w:numPr>
        <w:rPr>
          <w:rFonts w:ascii="Arial" w:hAnsi="Arial" w:cs="Arial"/>
          <w:lang w:val="en-GB"/>
        </w:rPr>
      </w:pPr>
      <w:r w:rsidRPr="000066C5">
        <w:rPr>
          <w:rFonts w:ascii="Arial" w:hAnsi="Arial" w:cs="Arial"/>
        </w:rPr>
        <w:t>Earliest last date for acceptance and payment (at least 10 business days from when the offer is first open for acceptance). Where a GM is required, the open offer is generally left open until after the GM and all acceptances are made conditional on shareholder approval being obtained at the GM.</w:t>
      </w:r>
    </w:p>
    <w:p w14:paraId="2E8A0642" w14:textId="77777777" w:rsidR="00511101" w:rsidRPr="000066C5" w:rsidRDefault="00511101" w:rsidP="00511101">
      <w:pPr>
        <w:pStyle w:val="ListParagraph"/>
        <w:rPr>
          <w:rFonts w:ascii="Arial" w:hAnsi="Arial" w:cs="Arial"/>
          <w:lang w:val="en-GB"/>
        </w:rPr>
      </w:pPr>
    </w:p>
    <w:p w14:paraId="353A8736" w14:textId="47E7CB66" w:rsidR="007663CC" w:rsidRDefault="00511101" w:rsidP="00511101">
      <w:pPr>
        <w:pStyle w:val="ListParagraph"/>
        <w:numPr>
          <w:ilvl w:val="0"/>
          <w:numId w:val="3"/>
        </w:numPr>
        <w:rPr>
          <w:rFonts w:ascii="Arial" w:hAnsi="Arial" w:cs="Arial"/>
          <w:lang w:val="en-GB"/>
        </w:rPr>
      </w:pPr>
      <w:r w:rsidRPr="00511101">
        <w:rPr>
          <w:rFonts w:ascii="Arial" w:hAnsi="Arial" w:cs="Arial"/>
          <w:lang w:val="en-GB"/>
        </w:rPr>
        <w:t>Date of GM (Day 17):</w:t>
      </w:r>
      <w:r>
        <w:rPr>
          <w:rFonts w:ascii="Arial" w:hAnsi="Arial" w:cs="Arial"/>
          <w:lang w:val="en-GB"/>
        </w:rPr>
        <w:t xml:space="preserve"> </w:t>
      </w:r>
      <w:r w:rsidRPr="00511101">
        <w:rPr>
          <w:rFonts w:ascii="Arial" w:hAnsi="Arial" w:cs="Arial"/>
          <w:lang w:val="en-GB"/>
        </w:rPr>
        <w:t>(2 days’ posting (s.1147(2) CA 2006) &amp; 14 clear days’ notice (s.307A(1)(a) &amp; s.360 CA 2006) (provided a longer period not specified in the articles - s.307A(6) CA 2006).</w:t>
      </w:r>
    </w:p>
    <w:p w14:paraId="18B1C38B" w14:textId="77777777" w:rsidR="007C3541" w:rsidRPr="007C3541" w:rsidRDefault="007C3541" w:rsidP="007C3541">
      <w:pPr>
        <w:pStyle w:val="ListParagraph"/>
        <w:rPr>
          <w:rFonts w:ascii="Arial" w:hAnsi="Arial" w:cs="Arial"/>
          <w:lang w:val="en-GB"/>
        </w:rPr>
      </w:pPr>
    </w:p>
    <w:p w14:paraId="51C549EC" w14:textId="26DF65DC" w:rsidR="007C3541" w:rsidRDefault="007C3541" w:rsidP="007C3541">
      <w:pPr>
        <w:rPr>
          <w:rFonts w:ascii="Arial" w:hAnsi="Arial" w:cs="Arial"/>
          <w:lang w:val="en-GB"/>
        </w:rPr>
      </w:pPr>
      <w:r>
        <w:rPr>
          <w:rFonts w:ascii="Arial" w:hAnsi="Arial" w:cs="Arial"/>
          <w:lang w:val="en-GB"/>
        </w:rPr>
        <w:t>[Diagram illustrating the above three points.]</w:t>
      </w:r>
    </w:p>
    <w:p w14:paraId="606BF907" w14:textId="77777777" w:rsidR="005B0036" w:rsidRPr="007C3541" w:rsidRDefault="005B0036" w:rsidP="007C3541">
      <w:pPr>
        <w:rPr>
          <w:rFonts w:ascii="Arial" w:hAnsi="Arial" w:cs="Arial"/>
          <w:lang w:val="en-GB"/>
        </w:rPr>
      </w:pPr>
    </w:p>
    <w:p w14:paraId="39758AF4" w14:textId="77777777" w:rsidR="00DF4271" w:rsidRPr="00DF4271" w:rsidRDefault="00DF4271" w:rsidP="00DF4271">
      <w:pPr>
        <w:rPr>
          <w:rFonts w:ascii="Arial" w:hAnsi="Arial" w:cs="Arial"/>
          <w:lang w:val="en-GB"/>
        </w:rPr>
      </w:pPr>
      <w:r w:rsidRPr="00DF4271">
        <w:rPr>
          <w:rFonts w:ascii="Arial" w:hAnsi="Arial" w:cs="Arial"/>
          <w:b/>
          <w:bCs/>
        </w:rPr>
        <w:t>Open offer: What procedure must be followed?</w:t>
      </w:r>
    </w:p>
    <w:p w14:paraId="372C0CCD" w14:textId="77777777" w:rsidR="008F0792" w:rsidRPr="008F0792" w:rsidRDefault="008F0792" w:rsidP="008F0792">
      <w:pPr>
        <w:rPr>
          <w:rFonts w:ascii="Arial" w:hAnsi="Arial" w:cs="Arial"/>
        </w:rPr>
      </w:pPr>
      <w:r w:rsidRPr="008F0792">
        <w:rPr>
          <w:rFonts w:ascii="Arial" w:hAnsi="Arial" w:cs="Arial"/>
        </w:rPr>
        <w:t>Other than the significant differences outlined previously, the procedure for an open offer is similar to that for a rights issue. Before issuing new shares under an open offer, a listed company must consider whether it needs to convene a GM to obtain the approval of its shareholders (as discussed in relation to rights issues) in order to grant authority to its directors to allot such shares.​</w:t>
      </w:r>
    </w:p>
    <w:p w14:paraId="2FF3F3B5" w14:textId="77777777" w:rsidR="008F0792" w:rsidRPr="008F0792" w:rsidRDefault="008F0792" w:rsidP="008F0792">
      <w:pPr>
        <w:rPr>
          <w:rFonts w:ascii="Arial" w:hAnsi="Arial" w:cs="Arial"/>
        </w:rPr>
      </w:pPr>
      <w:r w:rsidRPr="008F0792">
        <w:rPr>
          <w:rFonts w:ascii="Arial" w:hAnsi="Arial" w:cs="Arial"/>
        </w:rPr>
        <w:t>When making an open offer, a listed company once again has two options in relation to pre-emption rights:​</w:t>
      </w:r>
    </w:p>
    <w:p w14:paraId="3CD93B6C" w14:textId="77777777" w:rsidR="008F0792" w:rsidRPr="008F0792" w:rsidRDefault="008F0792" w:rsidP="008F0792">
      <w:pPr>
        <w:numPr>
          <w:ilvl w:val="0"/>
          <w:numId w:val="7"/>
        </w:numPr>
        <w:rPr>
          <w:rFonts w:ascii="Arial" w:hAnsi="Arial" w:cs="Arial"/>
        </w:rPr>
      </w:pPr>
      <w:r w:rsidRPr="008F0792">
        <w:rPr>
          <w:rFonts w:ascii="Arial" w:hAnsi="Arial" w:cs="Arial"/>
        </w:rPr>
        <w:t>to comply with pre-emption rights by making a pre-emptive offer under s.562 CA 2006 (rare in practice); or​</w:t>
      </w:r>
    </w:p>
    <w:p w14:paraId="74C981D0" w14:textId="77777777" w:rsidR="008F0792" w:rsidRPr="008F0792" w:rsidRDefault="008F0792" w:rsidP="008F0792">
      <w:pPr>
        <w:numPr>
          <w:ilvl w:val="0"/>
          <w:numId w:val="7"/>
        </w:numPr>
        <w:rPr>
          <w:rFonts w:ascii="Arial" w:hAnsi="Arial" w:cs="Arial"/>
        </w:rPr>
      </w:pPr>
      <w:r w:rsidRPr="008F0792">
        <w:rPr>
          <w:rFonts w:ascii="Arial" w:hAnsi="Arial" w:cs="Arial"/>
        </w:rPr>
        <w:t>to disapply pre-emption rights by passing a special resolution at a GM under s.570 CA 2006 (most usual in practice).</w:t>
      </w:r>
    </w:p>
    <w:p w14:paraId="5665D226" w14:textId="77777777" w:rsidR="005B0036" w:rsidRDefault="005B0036" w:rsidP="00DF4271">
      <w:pPr>
        <w:rPr>
          <w:rFonts w:ascii="Arial" w:hAnsi="Arial" w:cs="Arial"/>
          <w:b/>
          <w:bCs/>
          <w:lang w:val="en-GB"/>
        </w:rPr>
      </w:pPr>
    </w:p>
    <w:p w14:paraId="06E2AEB3" w14:textId="5E82DDA9" w:rsidR="00DF4271" w:rsidRPr="00DF4271" w:rsidRDefault="006C08EB" w:rsidP="00DF4271">
      <w:pPr>
        <w:rPr>
          <w:rFonts w:ascii="Arial" w:hAnsi="Arial" w:cs="Arial"/>
          <w:lang w:val="en-GB"/>
        </w:rPr>
      </w:pPr>
      <w:r>
        <w:rPr>
          <w:rFonts w:ascii="Arial" w:hAnsi="Arial" w:cs="Arial"/>
          <w:b/>
          <w:bCs/>
          <w:lang w:val="en-GB"/>
        </w:rPr>
        <w:t>S</w:t>
      </w:r>
      <w:r w:rsidR="005B0036">
        <w:rPr>
          <w:rFonts w:ascii="Arial" w:hAnsi="Arial" w:cs="Arial"/>
          <w:b/>
          <w:bCs/>
          <w:lang w:val="en-GB"/>
        </w:rPr>
        <w:t xml:space="preserve">ummary </w:t>
      </w:r>
    </w:p>
    <w:p w14:paraId="12052125" w14:textId="77777777" w:rsidR="005B0036" w:rsidRPr="005B0036" w:rsidRDefault="005B0036" w:rsidP="005B0036">
      <w:pPr>
        <w:numPr>
          <w:ilvl w:val="0"/>
          <w:numId w:val="6"/>
        </w:numPr>
        <w:rPr>
          <w:rFonts w:ascii="Arial" w:hAnsi="Arial" w:cs="Arial"/>
          <w:lang w:val="en-GB"/>
        </w:rPr>
      </w:pPr>
      <w:r w:rsidRPr="005B0036">
        <w:rPr>
          <w:rFonts w:ascii="Arial" w:hAnsi="Arial" w:cs="Arial"/>
        </w:rPr>
        <w:t xml:space="preserve">An open offer is also an offer of new shares to existing shareholders pro rata to their existing shareholdings but (in contrast to a rights issue) not made by way of a renounceable letter. </w:t>
      </w:r>
    </w:p>
    <w:p w14:paraId="69D53073" w14:textId="3D80C860" w:rsidR="005B0036" w:rsidRPr="005B0036" w:rsidRDefault="005B0036" w:rsidP="005B0036">
      <w:pPr>
        <w:numPr>
          <w:ilvl w:val="0"/>
          <w:numId w:val="6"/>
        </w:numPr>
        <w:rPr>
          <w:rFonts w:ascii="Arial" w:hAnsi="Arial" w:cs="Arial"/>
          <w:lang w:val="en-GB"/>
        </w:rPr>
      </w:pPr>
      <w:r w:rsidRPr="005B0036">
        <w:rPr>
          <w:rFonts w:ascii="Arial" w:hAnsi="Arial" w:cs="Arial"/>
        </w:rPr>
        <w:t xml:space="preserve">An open offer must remain open for acceptance for at least 10 business days from the date on which it is first open for acceptance (see </w:t>
      </w:r>
      <w:r w:rsidR="0017583D">
        <w:rPr>
          <w:rFonts w:ascii="Arial" w:hAnsi="Arial" w:cs="Arial"/>
        </w:rPr>
        <w:t>UK</w:t>
      </w:r>
      <w:r w:rsidRPr="005B0036">
        <w:rPr>
          <w:rFonts w:ascii="Arial" w:hAnsi="Arial" w:cs="Arial"/>
        </w:rPr>
        <w:t>LR 9.</w:t>
      </w:r>
      <w:r w:rsidR="0017583D">
        <w:rPr>
          <w:rFonts w:ascii="Arial" w:hAnsi="Arial" w:cs="Arial"/>
        </w:rPr>
        <w:t>4</w:t>
      </w:r>
      <w:r w:rsidRPr="005B0036">
        <w:rPr>
          <w:rFonts w:ascii="Arial" w:hAnsi="Arial" w:cs="Arial"/>
        </w:rPr>
        <w:t>.</w:t>
      </w:r>
      <w:r w:rsidR="0017583D">
        <w:rPr>
          <w:rFonts w:ascii="Arial" w:hAnsi="Arial" w:cs="Arial"/>
        </w:rPr>
        <w:t>8</w:t>
      </w:r>
      <w:r w:rsidRPr="005B0036">
        <w:rPr>
          <w:rFonts w:ascii="Arial" w:hAnsi="Arial" w:cs="Arial"/>
        </w:rPr>
        <w:t xml:space="preserve">). This is the same as the requirement under </w:t>
      </w:r>
      <w:r w:rsidR="0017583D">
        <w:rPr>
          <w:rFonts w:ascii="Arial" w:hAnsi="Arial" w:cs="Arial"/>
        </w:rPr>
        <w:t>UK</w:t>
      </w:r>
      <w:r w:rsidRPr="005B0036">
        <w:rPr>
          <w:rFonts w:ascii="Arial" w:hAnsi="Arial" w:cs="Arial"/>
        </w:rPr>
        <w:t>LR 9.</w:t>
      </w:r>
      <w:r w:rsidR="00EA5063">
        <w:rPr>
          <w:rFonts w:ascii="Arial" w:hAnsi="Arial" w:cs="Arial"/>
        </w:rPr>
        <w:t>4</w:t>
      </w:r>
      <w:r w:rsidRPr="005B0036">
        <w:rPr>
          <w:rFonts w:ascii="Arial" w:hAnsi="Arial" w:cs="Arial"/>
        </w:rPr>
        <w:t>.6 for rights issues.</w:t>
      </w:r>
    </w:p>
    <w:p w14:paraId="32B0ABD5" w14:textId="77777777" w:rsidR="005B0036" w:rsidRPr="005B0036" w:rsidRDefault="005B0036" w:rsidP="005B0036">
      <w:pPr>
        <w:numPr>
          <w:ilvl w:val="0"/>
          <w:numId w:val="6"/>
        </w:numPr>
        <w:rPr>
          <w:rFonts w:ascii="Arial" w:hAnsi="Arial" w:cs="Arial"/>
          <w:lang w:val="en-GB"/>
        </w:rPr>
      </w:pPr>
      <w:r w:rsidRPr="005B0036">
        <w:rPr>
          <w:rFonts w:ascii="Arial" w:hAnsi="Arial" w:cs="Arial"/>
        </w:rPr>
        <w:lastRenderedPageBreak/>
        <w:t xml:space="preserve">Every shareholder receives a circular (often incorporated into the prospectus) explaining why the issue is being undertaken. Shareholders also receive an invitation to apply for shares using an application form. As the application form is not tradeable, it can be issued before all the conditions are satisfied (so it is not necessary to wait until after the GM has been held). The applications for shares by shareholders will then be subject to the conditions to the offer. </w:t>
      </w:r>
    </w:p>
    <w:p w14:paraId="3EBCCE1D" w14:textId="16B11B86" w:rsidR="005B0036" w:rsidRPr="005B0036" w:rsidRDefault="005B0036" w:rsidP="005B0036">
      <w:pPr>
        <w:numPr>
          <w:ilvl w:val="0"/>
          <w:numId w:val="6"/>
        </w:numPr>
        <w:rPr>
          <w:rFonts w:ascii="Arial" w:hAnsi="Arial" w:cs="Arial"/>
          <w:lang w:val="en-GB"/>
        </w:rPr>
      </w:pPr>
      <w:r w:rsidRPr="005B0036">
        <w:rPr>
          <w:rFonts w:ascii="Arial" w:hAnsi="Arial" w:cs="Arial"/>
        </w:rPr>
        <w:t xml:space="preserve">If a shareholder does not wish to participate in the open offer, they cannot transfer the offer to anyone else and will not receive any premium for shares not taken up as there is no equivalent of </w:t>
      </w:r>
      <w:r w:rsidR="00EA5063">
        <w:rPr>
          <w:rFonts w:ascii="Arial" w:hAnsi="Arial" w:cs="Arial"/>
        </w:rPr>
        <w:t>UK</w:t>
      </w:r>
      <w:r w:rsidRPr="005B0036">
        <w:rPr>
          <w:rFonts w:ascii="Arial" w:hAnsi="Arial" w:cs="Arial"/>
        </w:rPr>
        <w:t>LR 9.</w:t>
      </w:r>
      <w:r w:rsidR="00EA5063">
        <w:rPr>
          <w:rFonts w:ascii="Arial" w:hAnsi="Arial" w:cs="Arial"/>
        </w:rPr>
        <w:t>4</w:t>
      </w:r>
      <w:r w:rsidRPr="005B0036">
        <w:rPr>
          <w:rFonts w:ascii="Arial" w:hAnsi="Arial" w:cs="Arial"/>
        </w:rPr>
        <w:t xml:space="preserve">.4 for open offers. </w:t>
      </w:r>
    </w:p>
    <w:p w14:paraId="061CB078" w14:textId="77777777" w:rsidR="0018335E" w:rsidRPr="0018335E" w:rsidRDefault="0018335E" w:rsidP="0018335E">
      <w:pPr>
        <w:rPr>
          <w:rFonts w:ascii="Arial" w:hAnsi="Arial" w:cs="Arial"/>
          <w:lang w:val="en-GB"/>
        </w:rPr>
      </w:pPr>
    </w:p>
    <w:p w14:paraId="2C078E63" w14:textId="77777777" w:rsidR="00DE1A3B" w:rsidRPr="00E657F0" w:rsidRDefault="00DE1A3B">
      <w:pPr>
        <w:rPr>
          <w:rFonts w:ascii="Arial" w:hAnsi="Arial" w:cs="Arial"/>
        </w:rPr>
      </w:pPr>
    </w:p>
    <w:sectPr w:rsidR="00DE1A3B" w:rsidRPr="00E65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73E6"/>
    <w:multiLevelType w:val="multilevel"/>
    <w:tmpl w:val="FC4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F22D1"/>
    <w:multiLevelType w:val="hybridMultilevel"/>
    <w:tmpl w:val="EDA68F00"/>
    <w:lvl w:ilvl="0" w:tplc="625000C6">
      <w:start w:val="1"/>
      <w:numFmt w:val="decimal"/>
      <w:lvlText w:val="%1."/>
      <w:lvlJc w:val="left"/>
      <w:pPr>
        <w:tabs>
          <w:tab w:val="num" w:pos="720"/>
        </w:tabs>
        <w:ind w:left="720" w:hanging="360"/>
      </w:pPr>
    </w:lvl>
    <w:lvl w:ilvl="1" w:tplc="077A53DE" w:tentative="1">
      <w:start w:val="1"/>
      <w:numFmt w:val="decimal"/>
      <w:lvlText w:val="%2."/>
      <w:lvlJc w:val="left"/>
      <w:pPr>
        <w:tabs>
          <w:tab w:val="num" w:pos="1440"/>
        </w:tabs>
        <w:ind w:left="1440" w:hanging="360"/>
      </w:pPr>
    </w:lvl>
    <w:lvl w:ilvl="2" w:tplc="C78863BE" w:tentative="1">
      <w:start w:val="1"/>
      <w:numFmt w:val="decimal"/>
      <w:lvlText w:val="%3."/>
      <w:lvlJc w:val="left"/>
      <w:pPr>
        <w:tabs>
          <w:tab w:val="num" w:pos="2160"/>
        </w:tabs>
        <w:ind w:left="2160" w:hanging="360"/>
      </w:pPr>
    </w:lvl>
    <w:lvl w:ilvl="3" w:tplc="0644AF84" w:tentative="1">
      <w:start w:val="1"/>
      <w:numFmt w:val="decimal"/>
      <w:lvlText w:val="%4."/>
      <w:lvlJc w:val="left"/>
      <w:pPr>
        <w:tabs>
          <w:tab w:val="num" w:pos="2880"/>
        </w:tabs>
        <w:ind w:left="2880" w:hanging="360"/>
      </w:pPr>
    </w:lvl>
    <w:lvl w:ilvl="4" w:tplc="E0BABA24" w:tentative="1">
      <w:start w:val="1"/>
      <w:numFmt w:val="decimal"/>
      <w:lvlText w:val="%5."/>
      <w:lvlJc w:val="left"/>
      <w:pPr>
        <w:tabs>
          <w:tab w:val="num" w:pos="3600"/>
        </w:tabs>
        <w:ind w:left="3600" w:hanging="360"/>
      </w:pPr>
    </w:lvl>
    <w:lvl w:ilvl="5" w:tplc="93C213EA" w:tentative="1">
      <w:start w:val="1"/>
      <w:numFmt w:val="decimal"/>
      <w:lvlText w:val="%6."/>
      <w:lvlJc w:val="left"/>
      <w:pPr>
        <w:tabs>
          <w:tab w:val="num" w:pos="4320"/>
        </w:tabs>
        <w:ind w:left="4320" w:hanging="360"/>
      </w:pPr>
    </w:lvl>
    <w:lvl w:ilvl="6" w:tplc="57525C52" w:tentative="1">
      <w:start w:val="1"/>
      <w:numFmt w:val="decimal"/>
      <w:lvlText w:val="%7."/>
      <w:lvlJc w:val="left"/>
      <w:pPr>
        <w:tabs>
          <w:tab w:val="num" w:pos="5040"/>
        </w:tabs>
        <w:ind w:left="5040" w:hanging="360"/>
      </w:pPr>
    </w:lvl>
    <w:lvl w:ilvl="7" w:tplc="26A0478C" w:tentative="1">
      <w:start w:val="1"/>
      <w:numFmt w:val="decimal"/>
      <w:lvlText w:val="%8."/>
      <w:lvlJc w:val="left"/>
      <w:pPr>
        <w:tabs>
          <w:tab w:val="num" w:pos="5760"/>
        </w:tabs>
        <w:ind w:left="5760" w:hanging="360"/>
      </w:pPr>
    </w:lvl>
    <w:lvl w:ilvl="8" w:tplc="435A633A" w:tentative="1">
      <w:start w:val="1"/>
      <w:numFmt w:val="decimal"/>
      <w:lvlText w:val="%9."/>
      <w:lvlJc w:val="left"/>
      <w:pPr>
        <w:tabs>
          <w:tab w:val="num" w:pos="6480"/>
        </w:tabs>
        <w:ind w:left="6480" w:hanging="360"/>
      </w:pPr>
    </w:lvl>
  </w:abstractNum>
  <w:abstractNum w:abstractNumId="2" w15:restartNumberingAfterBreak="0">
    <w:nsid w:val="43B005F3"/>
    <w:multiLevelType w:val="hybridMultilevel"/>
    <w:tmpl w:val="C046B542"/>
    <w:lvl w:ilvl="0" w:tplc="3412EE2E">
      <w:start w:val="1"/>
      <w:numFmt w:val="decimal"/>
      <w:lvlText w:val="%1."/>
      <w:lvlJc w:val="left"/>
      <w:pPr>
        <w:tabs>
          <w:tab w:val="num" w:pos="720"/>
        </w:tabs>
        <w:ind w:left="720" w:hanging="360"/>
      </w:pPr>
    </w:lvl>
    <w:lvl w:ilvl="1" w:tplc="1A9297CA" w:tentative="1">
      <w:start w:val="1"/>
      <w:numFmt w:val="decimal"/>
      <w:lvlText w:val="%2."/>
      <w:lvlJc w:val="left"/>
      <w:pPr>
        <w:tabs>
          <w:tab w:val="num" w:pos="1440"/>
        </w:tabs>
        <w:ind w:left="1440" w:hanging="360"/>
      </w:pPr>
    </w:lvl>
    <w:lvl w:ilvl="2" w:tplc="BAD62F50" w:tentative="1">
      <w:start w:val="1"/>
      <w:numFmt w:val="decimal"/>
      <w:lvlText w:val="%3."/>
      <w:lvlJc w:val="left"/>
      <w:pPr>
        <w:tabs>
          <w:tab w:val="num" w:pos="2160"/>
        </w:tabs>
        <w:ind w:left="2160" w:hanging="360"/>
      </w:pPr>
    </w:lvl>
    <w:lvl w:ilvl="3" w:tplc="8B9C8214" w:tentative="1">
      <w:start w:val="1"/>
      <w:numFmt w:val="decimal"/>
      <w:lvlText w:val="%4."/>
      <w:lvlJc w:val="left"/>
      <w:pPr>
        <w:tabs>
          <w:tab w:val="num" w:pos="2880"/>
        </w:tabs>
        <w:ind w:left="2880" w:hanging="360"/>
      </w:pPr>
    </w:lvl>
    <w:lvl w:ilvl="4" w:tplc="C9D0E1CC" w:tentative="1">
      <w:start w:val="1"/>
      <w:numFmt w:val="decimal"/>
      <w:lvlText w:val="%5."/>
      <w:lvlJc w:val="left"/>
      <w:pPr>
        <w:tabs>
          <w:tab w:val="num" w:pos="3600"/>
        </w:tabs>
        <w:ind w:left="3600" w:hanging="360"/>
      </w:pPr>
    </w:lvl>
    <w:lvl w:ilvl="5" w:tplc="DB2251E4" w:tentative="1">
      <w:start w:val="1"/>
      <w:numFmt w:val="decimal"/>
      <w:lvlText w:val="%6."/>
      <w:lvlJc w:val="left"/>
      <w:pPr>
        <w:tabs>
          <w:tab w:val="num" w:pos="4320"/>
        </w:tabs>
        <w:ind w:left="4320" w:hanging="360"/>
      </w:pPr>
    </w:lvl>
    <w:lvl w:ilvl="6" w:tplc="EA766C3A" w:tentative="1">
      <w:start w:val="1"/>
      <w:numFmt w:val="decimal"/>
      <w:lvlText w:val="%7."/>
      <w:lvlJc w:val="left"/>
      <w:pPr>
        <w:tabs>
          <w:tab w:val="num" w:pos="5040"/>
        </w:tabs>
        <w:ind w:left="5040" w:hanging="360"/>
      </w:pPr>
    </w:lvl>
    <w:lvl w:ilvl="7" w:tplc="5F06F2E2" w:tentative="1">
      <w:start w:val="1"/>
      <w:numFmt w:val="decimal"/>
      <w:lvlText w:val="%8."/>
      <w:lvlJc w:val="left"/>
      <w:pPr>
        <w:tabs>
          <w:tab w:val="num" w:pos="5760"/>
        </w:tabs>
        <w:ind w:left="5760" w:hanging="360"/>
      </w:pPr>
    </w:lvl>
    <w:lvl w:ilvl="8" w:tplc="8E944F56" w:tentative="1">
      <w:start w:val="1"/>
      <w:numFmt w:val="decimal"/>
      <w:lvlText w:val="%9."/>
      <w:lvlJc w:val="left"/>
      <w:pPr>
        <w:tabs>
          <w:tab w:val="num" w:pos="6480"/>
        </w:tabs>
        <w:ind w:left="6480" w:hanging="360"/>
      </w:pPr>
    </w:lvl>
  </w:abstractNum>
  <w:abstractNum w:abstractNumId="3" w15:restartNumberingAfterBreak="0">
    <w:nsid w:val="4E253233"/>
    <w:multiLevelType w:val="hybridMultilevel"/>
    <w:tmpl w:val="0630A91E"/>
    <w:lvl w:ilvl="0" w:tplc="6E145B7A">
      <w:start w:val="1"/>
      <w:numFmt w:val="bullet"/>
      <w:lvlText w:val="•"/>
      <w:lvlJc w:val="left"/>
      <w:pPr>
        <w:tabs>
          <w:tab w:val="num" w:pos="720"/>
        </w:tabs>
        <w:ind w:left="720" w:hanging="360"/>
      </w:pPr>
      <w:rPr>
        <w:rFonts w:ascii="Arial" w:hAnsi="Arial" w:hint="default"/>
      </w:rPr>
    </w:lvl>
    <w:lvl w:ilvl="1" w:tplc="F3BE568C" w:tentative="1">
      <w:start w:val="1"/>
      <w:numFmt w:val="bullet"/>
      <w:lvlText w:val="•"/>
      <w:lvlJc w:val="left"/>
      <w:pPr>
        <w:tabs>
          <w:tab w:val="num" w:pos="1440"/>
        </w:tabs>
        <w:ind w:left="1440" w:hanging="360"/>
      </w:pPr>
      <w:rPr>
        <w:rFonts w:ascii="Arial" w:hAnsi="Arial" w:hint="default"/>
      </w:rPr>
    </w:lvl>
    <w:lvl w:ilvl="2" w:tplc="AEDE15B6" w:tentative="1">
      <w:start w:val="1"/>
      <w:numFmt w:val="bullet"/>
      <w:lvlText w:val="•"/>
      <w:lvlJc w:val="left"/>
      <w:pPr>
        <w:tabs>
          <w:tab w:val="num" w:pos="2160"/>
        </w:tabs>
        <w:ind w:left="2160" w:hanging="360"/>
      </w:pPr>
      <w:rPr>
        <w:rFonts w:ascii="Arial" w:hAnsi="Arial" w:hint="default"/>
      </w:rPr>
    </w:lvl>
    <w:lvl w:ilvl="3" w:tplc="2C90E1A8" w:tentative="1">
      <w:start w:val="1"/>
      <w:numFmt w:val="bullet"/>
      <w:lvlText w:val="•"/>
      <w:lvlJc w:val="left"/>
      <w:pPr>
        <w:tabs>
          <w:tab w:val="num" w:pos="2880"/>
        </w:tabs>
        <w:ind w:left="2880" w:hanging="360"/>
      </w:pPr>
      <w:rPr>
        <w:rFonts w:ascii="Arial" w:hAnsi="Arial" w:hint="default"/>
      </w:rPr>
    </w:lvl>
    <w:lvl w:ilvl="4" w:tplc="8B28295C" w:tentative="1">
      <w:start w:val="1"/>
      <w:numFmt w:val="bullet"/>
      <w:lvlText w:val="•"/>
      <w:lvlJc w:val="left"/>
      <w:pPr>
        <w:tabs>
          <w:tab w:val="num" w:pos="3600"/>
        </w:tabs>
        <w:ind w:left="3600" w:hanging="360"/>
      </w:pPr>
      <w:rPr>
        <w:rFonts w:ascii="Arial" w:hAnsi="Arial" w:hint="default"/>
      </w:rPr>
    </w:lvl>
    <w:lvl w:ilvl="5" w:tplc="0F1A98A4" w:tentative="1">
      <w:start w:val="1"/>
      <w:numFmt w:val="bullet"/>
      <w:lvlText w:val="•"/>
      <w:lvlJc w:val="left"/>
      <w:pPr>
        <w:tabs>
          <w:tab w:val="num" w:pos="4320"/>
        </w:tabs>
        <w:ind w:left="4320" w:hanging="360"/>
      </w:pPr>
      <w:rPr>
        <w:rFonts w:ascii="Arial" w:hAnsi="Arial" w:hint="default"/>
      </w:rPr>
    </w:lvl>
    <w:lvl w:ilvl="6" w:tplc="41D6061C" w:tentative="1">
      <w:start w:val="1"/>
      <w:numFmt w:val="bullet"/>
      <w:lvlText w:val="•"/>
      <w:lvlJc w:val="left"/>
      <w:pPr>
        <w:tabs>
          <w:tab w:val="num" w:pos="5040"/>
        </w:tabs>
        <w:ind w:left="5040" w:hanging="360"/>
      </w:pPr>
      <w:rPr>
        <w:rFonts w:ascii="Arial" w:hAnsi="Arial" w:hint="default"/>
      </w:rPr>
    </w:lvl>
    <w:lvl w:ilvl="7" w:tplc="D8B2E730" w:tentative="1">
      <w:start w:val="1"/>
      <w:numFmt w:val="bullet"/>
      <w:lvlText w:val="•"/>
      <w:lvlJc w:val="left"/>
      <w:pPr>
        <w:tabs>
          <w:tab w:val="num" w:pos="5760"/>
        </w:tabs>
        <w:ind w:left="5760" w:hanging="360"/>
      </w:pPr>
      <w:rPr>
        <w:rFonts w:ascii="Arial" w:hAnsi="Arial" w:hint="default"/>
      </w:rPr>
    </w:lvl>
    <w:lvl w:ilvl="8" w:tplc="D2663F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435C00"/>
    <w:multiLevelType w:val="hybridMultilevel"/>
    <w:tmpl w:val="597ED056"/>
    <w:lvl w:ilvl="0" w:tplc="F7A29E00">
      <w:start w:val="1"/>
      <w:numFmt w:val="lowerLetter"/>
      <w:lvlText w:val="%1)"/>
      <w:lvlJc w:val="left"/>
      <w:pPr>
        <w:tabs>
          <w:tab w:val="num" w:pos="720"/>
        </w:tabs>
        <w:ind w:left="720" w:hanging="360"/>
      </w:pPr>
    </w:lvl>
    <w:lvl w:ilvl="1" w:tplc="05107A68" w:tentative="1">
      <w:start w:val="1"/>
      <w:numFmt w:val="lowerLetter"/>
      <w:lvlText w:val="%2)"/>
      <w:lvlJc w:val="left"/>
      <w:pPr>
        <w:tabs>
          <w:tab w:val="num" w:pos="1440"/>
        </w:tabs>
        <w:ind w:left="1440" w:hanging="360"/>
      </w:pPr>
    </w:lvl>
    <w:lvl w:ilvl="2" w:tplc="490478E2" w:tentative="1">
      <w:start w:val="1"/>
      <w:numFmt w:val="lowerLetter"/>
      <w:lvlText w:val="%3)"/>
      <w:lvlJc w:val="left"/>
      <w:pPr>
        <w:tabs>
          <w:tab w:val="num" w:pos="2160"/>
        </w:tabs>
        <w:ind w:left="2160" w:hanging="360"/>
      </w:pPr>
    </w:lvl>
    <w:lvl w:ilvl="3" w:tplc="18C8FD28" w:tentative="1">
      <w:start w:val="1"/>
      <w:numFmt w:val="lowerLetter"/>
      <w:lvlText w:val="%4)"/>
      <w:lvlJc w:val="left"/>
      <w:pPr>
        <w:tabs>
          <w:tab w:val="num" w:pos="2880"/>
        </w:tabs>
        <w:ind w:left="2880" w:hanging="360"/>
      </w:pPr>
    </w:lvl>
    <w:lvl w:ilvl="4" w:tplc="ABA2D4B6" w:tentative="1">
      <w:start w:val="1"/>
      <w:numFmt w:val="lowerLetter"/>
      <w:lvlText w:val="%5)"/>
      <w:lvlJc w:val="left"/>
      <w:pPr>
        <w:tabs>
          <w:tab w:val="num" w:pos="3600"/>
        </w:tabs>
        <w:ind w:left="3600" w:hanging="360"/>
      </w:pPr>
    </w:lvl>
    <w:lvl w:ilvl="5" w:tplc="CE7AA0DC" w:tentative="1">
      <w:start w:val="1"/>
      <w:numFmt w:val="lowerLetter"/>
      <w:lvlText w:val="%6)"/>
      <w:lvlJc w:val="left"/>
      <w:pPr>
        <w:tabs>
          <w:tab w:val="num" w:pos="4320"/>
        </w:tabs>
        <w:ind w:left="4320" w:hanging="360"/>
      </w:pPr>
    </w:lvl>
    <w:lvl w:ilvl="6" w:tplc="858026E2" w:tentative="1">
      <w:start w:val="1"/>
      <w:numFmt w:val="lowerLetter"/>
      <w:lvlText w:val="%7)"/>
      <w:lvlJc w:val="left"/>
      <w:pPr>
        <w:tabs>
          <w:tab w:val="num" w:pos="5040"/>
        </w:tabs>
        <w:ind w:left="5040" w:hanging="360"/>
      </w:pPr>
    </w:lvl>
    <w:lvl w:ilvl="7" w:tplc="13D2C0B2" w:tentative="1">
      <w:start w:val="1"/>
      <w:numFmt w:val="lowerLetter"/>
      <w:lvlText w:val="%8)"/>
      <w:lvlJc w:val="left"/>
      <w:pPr>
        <w:tabs>
          <w:tab w:val="num" w:pos="5760"/>
        </w:tabs>
        <w:ind w:left="5760" w:hanging="360"/>
      </w:pPr>
    </w:lvl>
    <w:lvl w:ilvl="8" w:tplc="13563152" w:tentative="1">
      <w:start w:val="1"/>
      <w:numFmt w:val="lowerLetter"/>
      <w:lvlText w:val="%9)"/>
      <w:lvlJc w:val="left"/>
      <w:pPr>
        <w:tabs>
          <w:tab w:val="num" w:pos="6480"/>
        </w:tabs>
        <w:ind w:left="6480" w:hanging="360"/>
      </w:pPr>
    </w:lvl>
  </w:abstractNum>
  <w:abstractNum w:abstractNumId="5" w15:restartNumberingAfterBreak="0">
    <w:nsid w:val="68DE6186"/>
    <w:multiLevelType w:val="hybridMultilevel"/>
    <w:tmpl w:val="51ACCD82"/>
    <w:lvl w:ilvl="0" w:tplc="08090001">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Arial" w:hAnsi="Arial" w:hint="default"/>
      </w:r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6" w15:restartNumberingAfterBreak="0">
    <w:nsid w:val="7ECF205E"/>
    <w:multiLevelType w:val="hybridMultilevel"/>
    <w:tmpl w:val="C7AE1420"/>
    <w:lvl w:ilvl="0" w:tplc="955A19DC">
      <w:start w:val="1"/>
      <w:numFmt w:val="decimal"/>
      <w:lvlText w:val="%1."/>
      <w:lvlJc w:val="left"/>
      <w:pPr>
        <w:tabs>
          <w:tab w:val="num" w:pos="720"/>
        </w:tabs>
        <w:ind w:left="720" w:hanging="360"/>
      </w:pPr>
    </w:lvl>
    <w:lvl w:ilvl="1" w:tplc="51CA1CA0">
      <w:numFmt w:val="bullet"/>
      <w:lvlText w:val="•"/>
      <w:lvlJc w:val="left"/>
      <w:pPr>
        <w:tabs>
          <w:tab w:val="num" w:pos="1440"/>
        </w:tabs>
        <w:ind w:left="1440" w:hanging="360"/>
      </w:pPr>
      <w:rPr>
        <w:rFonts w:ascii="Arial" w:hAnsi="Arial" w:hint="default"/>
      </w:rPr>
    </w:lvl>
    <w:lvl w:ilvl="2" w:tplc="8716EB84" w:tentative="1">
      <w:start w:val="1"/>
      <w:numFmt w:val="decimal"/>
      <w:lvlText w:val="%3."/>
      <w:lvlJc w:val="left"/>
      <w:pPr>
        <w:tabs>
          <w:tab w:val="num" w:pos="2160"/>
        </w:tabs>
        <w:ind w:left="2160" w:hanging="360"/>
      </w:pPr>
    </w:lvl>
    <w:lvl w:ilvl="3" w:tplc="DDD0F474" w:tentative="1">
      <w:start w:val="1"/>
      <w:numFmt w:val="decimal"/>
      <w:lvlText w:val="%4."/>
      <w:lvlJc w:val="left"/>
      <w:pPr>
        <w:tabs>
          <w:tab w:val="num" w:pos="2880"/>
        </w:tabs>
        <w:ind w:left="2880" w:hanging="360"/>
      </w:pPr>
    </w:lvl>
    <w:lvl w:ilvl="4" w:tplc="B504E682" w:tentative="1">
      <w:start w:val="1"/>
      <w:numFmt w:val="decimal"/>
      <w:lvlText w:val="%5."/>
      <w:lvlJc w:val="left"/>
      <w:pPr>
        <w:tabs>
          <w:tab w:val="num" w:pos="3600"/>
        </w:tabs>
        <w:ind w:left="3600" w:hanging="360"/>
      </w:pPr>
    </w:lvl>
    <w:lvl w:ilvl="5" w:tplc="A0987F14" w:tentative="1">
      <w:start w:val="1"/>
      <w:numFmt w:val="decimal"/>
      <w:lvlText w:val="%6."/>
      <w:lvlJc w:val="left"/>
      <w:pPr>
        <w:tabs>
          <w:tab w:val="num" w:pos="4320"/>
        </w:tabs>
        <w:ind w:left="4320" w:hanging="360"/>
      </w:pPr>
    </w:lvl>
    <w:lvl w:ilvl="6" w:tplc="8A00ADC8" w:tentative="1">
      <w:start w:val="1"/>
      <w:numFmt w:val="decimal"/>
      <w:lvlText w:val="%7."/>
      <w:lvlJc w:val="left"/>
      <w:pPr>
        <w:tabs>
          <w:tab w:val="num" w:pos="5040"/>
        </w:tabs>
        <w:ind w:left="5040" w:hanging="360"/>
      </w:pPr>
    </w:lvl>
    <w:lvl w:ilvl="7" w:tplc="593EFEFA" w:tentative="1">
      <w:start w:val="1"/>
      <w:numFmt w:val="decimal"/>
      <w:lvlText w:val="%8."/>
      <w:lvlJc w:val="left"/>
      <w:pPr>
        <w:tabs>
          <w:tab w:val="num" w:pos="5760"/>
        </w:tabs>
        <w:ind w:left="5760" w:hanging="360"/>
      </w:pPr>
    </w:lvl>
    <w:lvl w:ilvl="8" w:tplc="86B43182" w:tentative="1">
      <w:start w:val="1"/>
      <w:numFmt w:val="decimal"/>
      <w:lvlText w:val="%9."/>
      <w:lvlJc w:val="left"/>
      <w:pPr>
        <w:tabs>
          <w:tab w:val="num" w:pos="6480"/>
        </w:tabs>
        <w:ind w:left="6480" w:hanging="360"/>
      </w:pPr>
    </w:lvl>
  </w:abstractNum>
  <w:num w:numId="1" w16cid:durableId="2068068446">
    <w:abstractNumId w:val="2"/>
  </w:num>
  <w:num w:numId="2" w16cid:durableId="1653483895">
    <w:abstractNumId w:val="4"/>
  </w:num>
  <w:num w:numId="3" w16cid:durableId="220948348">
    <w:abstractNumId w:val="6"/>
  </w:num>
  <w:num w:numId="4" w16cid:durableId="631907137">
    <w:abstractNumId w:val="5"/>
  </w:num>
  <w:num w:numId="5" w16cid:durableId="647785253">
    <w:abstractNumId w:val="1"/>
  </w:num>
  <w:num w:numId="6" w16cid:durableId="645935728">
    <w:abstractNumId w:val="3"/>
  </w:num>
  <w:num w:numId="7" w16cid:durableId="70340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981F15"/>
    <w:rsid w:val="000066C5"/>
    <w:rsid w:val="00014F35"/>
    <w:rsid w:val="000E2194"/>
    <w:rsid w:val="00111C0C"/>
    <w:rsid w:val="00137A5F"/>
    <w:rsid w:val="0017583D"/>
    <w:rsid w:val="0018335E"/>
    <w:rsid w:val="00250059"/>
    <w:rsid w:val="003809AF"/>
    <w:rsid w:val="00402599"/>
    <w:rsid w:val="004E4E23"/>
    <w:rsid w:val="00511101"/>
    <w:rsid w:val="005178C2"/>
    <w:rsid w:val="005B0036"/>
    <w:rsid w:val="00684C90"/>
    <w:rsid w:val="006C08EB"/>
    <w:rsid w:val="007652BB"/>
    <w:rsid w:val="007663CC"/>
    <w:rsid w:val="00776028"/>
    <w:rsid w:val="007C3541"/>
    <w:rsid w:val="008D210C"/>
    <w:rsid w:val="008F0792"/>
    <w:rsid w:val="00973D21"/>
    <w:rsid w:val="009860A9"/>
    <w:rsid w:val="00AB08A8"/>
    <w:rsid w:val="00AE7439"/>
    <w:rsid w:val="00BE2411"/>
    <w:rsid w:val="00C436A2"/>
    <w:rsid w:val="00C762F8"/>
    <w:rsid w:val="00CA6430"/>
    <w:rsid w:val="00D63071"/>
    <w:rsid w:val="00D824D8"/>
    <w:rsid w:val="00DD0EE9"/>
    <w:rsid w:val="00DD3A81"/>
    <w:rsid w:val="00DE1A3B"/>
    <w:rsid w:val="00DF4271"/>
    <w:rsid w:val="00E657F0"/>
    <w:rsid w:val="00EA5063"/>
    <w:rsid w:val="00EB0A56"/>
    <w:rsid w:val="00F033C5"/>
    <w:rsid w:val="00FA07BE"/>
    <w:rsid w:val="4598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1F15"/>
  <w15:chartTrackingRefBased/>
  <w15:docId w15:val="{7CFFB00F-EEA2-467C-99D7-184E609D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3CC"/>
    <w:pPr>
      <w:ind w:left="720"/>
      <w:contextualSpacing/>
    </w:pPr>
  </w:style>
  <w:style w:type="paragraph" w:styleId="Revision">
    <w:name w:val="Revision"/>
    <w:hidden/>
    <w:uiPriority w:val="99"/>
    <w:semiHidden/>
    <w:rsid w:val="00F033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54386">
      <w:bodyDiv w:val="1"/>
      <w:marLeft w:val="0"/>
      <w:marRight w:val="0"/>
      <w:marTop w:val="0"/>
      <w:marBottom w:val="0"/>
      <w:divBdr>
        <w:top w:val="none" w:sz="0" w:space="0" w:color="auto"/>
        <w:left w:val="none" w:sz="0" w:space="0" w:color="auto"/>
        <w:bottom w:val="none" w:sz="0" w:space="0" w:color="auto"/>
        <w:right w:val="none" w:sz="0" w:space="0" w:color="auto"/>
      </w:divBdr>
      <w:divsChild>
        <w:div w:id="1275944392">
          <w:marLeft w:val="0"/>
          <w:marRight w:val="0"/>
          <w:marTop w:val="0"/>
          <w:marBottom w:val="0"/>
          <w:divBdr>
            <w:top w:val="none" w:sz="0" w:space="0" w:color="auto"/>
            <w:left w:val="none" w:sz="0" w:space="0" w:color="auto"/>
            <w:bottom w:val="none" w:sz="0" w:space="0" w:color="auto"/>
            <w:right w:val="none" w:sz="0" w:space="0" w:color="auto"/>
          </w:divBdr>
        </w:div>
        <w:div w:id="1478761291">
          <w:marLeft w:val="0"/>
          <w:marRight w:val="0"/>
          <w:marTop w:val="0"/>
          <w:marBottom w:val="0"/>
          <w:divBdr>
            <w:top w:val="none" w:sz="0" w:space="0" w:color="auto"/>
            <w:left w:val="none" w:sz="0" w:space="0" w:color="auto"/>
            <w:bottom w:val="none" w:sz="0" w:space="0" w:color="auto"/>
            <w:right w:val="none" w:sz="0" w:space="0" w:color="auto"/>
          </w:divBdr>
        </w:div>
      </w:divsChild>
    </w:div>
    <w:div w:id="108202927">
      <w:bodyDiv w:val="1"/>
      <w:marLeft w:val="0"/>
      <w:marRight w:val="0"/>
      <w:marTop w:val="0"/>
      <w:marBottom w:val="0"/>
      <w:divBdr>
        <w:top w:val="none" w:sz="0" w:space="0" w:color="auto"/>
        <w:left w:val="none" w:sz="0" w:space="0" w:color="auto"/>
        <w:bottom w:val="none" w:sz="0" w:space="0" w:color="auto"/>
        <w:right w:val="none" w:sz="0" w:space="0" w:color="auto"/>
      </w:divBdr>
    </w:div>
    <w:div w:id="161970007">
      <w:bodyDiv w:val="1"/>
      <w:marLeft w:val="0"/>
      <w:marRight w:val="0"/>
      <w:marTop w:val="0"/>
      <w:marBottom w:val="0"/>
      <w:divBdr>
        <w:top w:val="none" w:sz="0" w:space="0" w:color="auto"/>
        <w:left w:val="none" w:sz="0" w:space="0" w:color="auto"/>
        <w:bottom w:val="none" w:sz="0" w:space="0" w:color="auto"/>
        <w:right w:val="none" w:sz="0" w:space="0" w:color="auto"/>
      </w:divBdr>
    </w:div>
    <w:div w:id="200946329">
      <w:bodyDiv w:val="1"/>
      <w:marLeft w:val="0"/>
      <w:marRight w:val="0"/>
      <w:marTop w:val="0"/>
      <w:marBottom w:val="0"/>
      <w:divBdr>
        <w:top w:val="none" w:sz="0" w:space="0" w:color="auto"/>
        <w:left w:val="none" w:sz="0" w:space="0" w:color="auto"/>
        <w:bottom w:val="none" w:sz="0" w:space="0" w:color="auto"/>
        <w:right w:val="none" w:sz="0" w:space="0" w:color="auto"/>
      </w:divBdr>
      <w:divsChild>
        <w:div w:id="1632056442">
          <w:marLeft w:val="0"/>
          <w:marRight w:val="0"/>
          <w:marTop w:val="0"/>
          <w:marBottom w:val="0"/>
          <w:divBdr>
            <w:top w:val="none" w:sz="0" w:space="0" w:color="auto"/>
            <w:left w:val="none" w:sz="0" w:space="0" w:color="auto"/>
            <w:bottom w:val="none" w:sz="0" w:space="0" w:color="auto"/>
            <w:right w:val="none" w:sz="0" w:space="0" w:color="auto"/>
          </w:divBdr>
        </w:div>
        <w:div w:id="1296250390">
          <w:marLeft w:val="0"/>
          <w:marRight w:val="0"/>
          <w:marTop w:val="0"/>
          <w:marBottom w:val="0"/>
          <w:divBdr>
            <w:top w:val="none" w:sz="0" w:space="0" w:color="auto"/>
            <w:left w:val="none" w:sz="0" w:space="0" w:color="auto"/>
            <w:bottom w:val="none" w:sz="0" w:space="0" w:color="auto"/>
            <w:right w:val="none" w:sz="0" w:space="0" w:color="auto"/>
          </w:divBdr>
        </w:div>
      </w:divsChild>
    </w:div>
    <w:div w:id="353729292">
      <w:bodyDiv w:val="1"/>
      <w:marLeft w:val="0"/>
      <w:marRight w:val="0"/>
      <w:marTop w:val="0"/>
      <w:marBottom w:val="0"/>
      <w:divBdr>
        <w:top w:val="none" w:sz="0" w:space="0" w:color="auto"/>
        <w:left w:val="none" w:sz="0" w:space="0" w:color="auto"/>
        <w:bottom w:val="none" w:sz="0" w:space="0" w:color="auto"/>
        <w:right w:val="none" w:sz="0" w:space="0" w:color="auto"/>
      </w:divBdr>
    </w:div>
    <w:div w:id="517429494">
      <w:bodyDiv w:val="1"/>
      <w:marLeft w:val="0"/>
      <w:marRight w:val="0"/>
      <w:marTop w:val="0"/>
      <w:marBottom w:val="0"/>
      <w:divBdr>
        <w:top w:val="none" w:sz="0" w:space="0" w:color="auto"/>
        <w:left w:val="none" w:sz="0" w:space="0" w:color="auto"/>
        <w:bottom w:val="none" w:sz="0" w:space="0" w:color="auto"/>
        <w:right w:val="none" w:sz="0" w:space="0" w:color="auto"/>
      </w:divBdr>
      <w:divsChild>
        <w:div w:id="82456136">
          <w:marLeft w:val="720"/>
          <w:marRight w:val="0"/>
          <w:marTop w:val="200"/>
          <w:marBottom w:val="0"/>
          <w:divBdr>
            <w:top w:val="none" w:sz="0" w:space="0" w:color="auto"/>
            <w:left w:val="none" w:sz="0" w:space="0" w:color="auto"/>
            <w:bottom w:val="none" w:sz="0" w:space="0" w:color="auto"/>
            <w:right w:val="none" w:sz="0" w:space="0" w:color="auto"/>
          </w:divBdr>
        </w:div>
        <w:div w:id="1420369776">
          <w:marLeft w:val="720"/>
          <w:marRight w:val="0"/>
          <w:marTop w:val="200"/>
          <w:marBottom w:val="0"/>
          <w:divBdr>
            <w:top w:val="none" w:sz="0" w:space="0" w:color="auto"/>
            <w:left w:val="none" w:sz="0" w:space="0" w:color="auto"/>
            <w:bottom w:val="none" w:sz="0" w:space="0" w:color="auto"/>
            <w:right w:val="none" w:sz="0" w:space="0" w:color="auto"/>
          </w:divBdr>
        </w:div>
      </w:divsChild>
    </w:div>
    <w:div w:id="645085359">
      <w:bodyDiv w:val="1"/>
      <w:marLeft w:val="0"/>
      <w:marRight w:val="0"/>
      <w:marTop w:val="0"/>
      <w:marBottom w:val="0"/>
      <w:divBdr>
        <w:top w:val="none" w:sz="0" w:space="0" w:color="auto"/>
        <w:left w:val="none" w:sz="0" w:space="0" w:color="auto"/>
        <w:bottom w:val="none" w:sz="0" w:space="0" w:color="auto"/>
        <w:right w:val="none" w:sz="0" w:space="0" w:color="auto"/>
      </w:divBdr>
    </w:div>
    <w:div w:id="867447868">
      <w:bodyDiv w:val="1"/>
      <w:marLeft w:val="0"/>
      <w:marRight w:val="0"/>
      <w:marTop w:val="0"/>
      <w:marBottom w:val="0"/>
      <w:divBdr>
        <w:top w:val="none" w:sz="0" w:space="0" w:color="auto"/>
        <w:left w:val="none" w:sz="0" w:space="0" w:color="auto"/>
        <w:bottom w:val="none" w:sz="0" w:space="0" w:color="auto"/>
        <w:right w:val="none" w:sz="0" w:space="0" w:color="auto"/>
      </w:divBdr>
    </w:div>
    <w:div w:id="937493200">
      <w:bodyDiv w:val="1"/>
      <w:marLeft w:val="0"/>
      <w:marRight w:val="0"/>
      <w:marTop w:val="0"/>
      <w:marBottom w:val="0"/>
      <w:divBdr>
        <w:top w:val="none" w:sz="0" w:space="0" w:color="auto"/>
        <w:left w:val="none" w:sz="0" w:space="0" w:color="auto"/>
        <w:bottom w:val="none" w:sz="0" w:space="0" w:color="auto"/>
        <w:right w:val="none" w:sz="0" w:space="0" w:color="auto"/>
      </w:divBdr>
      <w:divsChild>
        <w:div w:id="1713728878">
          <w:marLeft w:val="288"/>
          <w:marRight w:val="0"/>
          <w:marTop w:val="0"/>
          <w:marBottom w:val="0"/>
          <w:divBdr>
            <w:top w:val="none" w:sz="0" w:space="0" w:color="auto"/>
            <w:left w:val="none" w:sz="0" w:space="0" w:color="auto"/>
            <w:bottom w:val="none" w:sz="0" w:space="0" w:color="auto"/>
            <w:right w:val="none" w:sz="0" w:space="0" w:color="auto"/>
          </w:divBdr>
        </w:div>
        <w:div w:id="665012395">
          <w:marLeft w:val="706"/>
          <w:marRight w:val="0"/>
          <w:marTop w:val="0"/>
          <w:marBottom w:val="0"/>
          <w:divBdr>
            <w:top w:val="none" w:sz="0" w:space="0" w:color="auto"/>
            <w:left w:val="none" w:sz="0" w:space="0" w:color="auto"/>
            <w:bottom w:val="none" w:sz="0" w:space="0" w:color="auto"/>
            <w:right w:val="none" w:sz="0" w:space="0" w:color="auto"/>
          </w:divBdr>
        </w:div>
        <w:div w:id="1720014892">
          <w:marLeft w:val="706"/>
          <w:marRight w:val="0"/>
          <w:marTop w:val="0"/>
          <w:marBottom w:val="0"/>
          <w:divBdr>
            <w:top w:val="none" w:sz="0" w:space="0" w:color="auto"/>
            <w:left w:val="none" w:sz="0" w:space="0" w:color="auto"/>
            <w:bottom w:val="none" w:sz="0" w:space="0" w:color="auto"/>
            <w:right w:val="none" w:sz="0" w:space="0" w:color="auto"/>
          </w:divBdr>
        </w:div>
        <w:div w:id="2090811621">
          <w:marLeft w:val="706"/>
          <w:marRight w:val="0"/>
          <w:marTop w:val="0"/>
          <w:marBottom w:val="0"/>
          <w:divBdr>
            <w:top w:val="none" w:sz="0" w:space="0" w:color="auto"/>
            <w:left w:val="none" w:sz="0" w:space="0" w:color="auto"/>
            <w:bottom w:val="none" w:sz="0" w:space="0" w:color="auto"/>
            <w:right w:val="none" w:sz="0" w:space="0" w:color="auto"/>
          </w:divBdr>
        </w:div>
      </w:divsChild>
    </w:div>
    <w:div w:id="960652149">
      <w:bodyDiv w:val="1"/>
      <w:marLeft w:val="0"/>
      <w:marRight w:val="0"/>
      <w:marTop w:val="0"/>
      <w:marBottom w:val="0"/>
      <w:divBdr>
        <w:top w:val="none" w:sz="0" w:space="0" w:color="auto"/>
        <w:left w:val="none" w:sz="0" w:space="0" w:color="auto"/>
        <w:bottom w:val="none" w:sz="0" w:space="0" w:color="auto"/>
        <w:right w:val="none" w:sz="0" w:space="0" w:color="auto"/>
      </w:divBdr>
    </w:div>
    <w:div w:id="1281299559">
      <w:bodyDiv w:val="1"/>
      <w:marLeft w:val="0"/>
      <w:marRight w:val="0"/>
      <w:marTop w:val="0"/>
      <w:marBottom w:val="0"/>
      <w:divBdr>
        <w:top w:val="none" w:sz="0" w:space="0" w:color="auto"/>
        <w:left w:val="none" w:sz="0" w:space="0" w:color="auto"/>
        <w:bottom w:val="none" w:sz="0" w:space="0" w:color="auto"/>
        <w:right w:val="none" w:sz="0" w:space="0" w:color="auto"/>
      </w:divBdr>
      <w:divsChild>
        <w:div w:id="1551309855">
          <w:marLeft w:val="720"/>
          <w:marRight w:val="0"/>
          <w:marTop w:val="200"/>
          <w:marBottom w:val="0"/>
          <w:divBdr>
            <w:top w:val="none" w:sz="0" w:space="0" w:color="auto"/>
            <w:left w:val="none" w:sz="0" w:space="0" w:color="auto"/>
            <w:bottom w:val="none" w:sz="0" w:space="0" w:color="auto"/>
            <w:right w:val="none" w:sz="0" w:space="0" w:color="auto"/>
          </w:divBdr>
        </w:div>
        <w:div w:id="1349676534">
          <w:marLeft w:val="720"/>
          <w:marRight w:val="0"/>
          <w:marTop w:val="200"/>
          <w:marBottom w:val="0"/>
          <w:divBdr>
            <w:top w:val="none" w:sz="0" w:space="0" w:color="auto"/>
            <w:left w:val="none" w:sz="0" w:space="0" w:color="auto"/>
            <w:bottom w:val="none" w:sz="0" w:space="0" w:color="auto"/>
            <w:right w:val="none" w:sz="0" w:space="0" w:color="auto"/>
          </w:divBdr>
        </w:div>
        <w:div w:id="1889367472">
          <w:marLeft w:val="720"/>
          <w:marRight w:val="0"/>
          <w:marTop w:val="200"/>
          <w:marBottom w:val="0"/>
          <w:divBdr>
            <w:top w:val="none" w:sz="0" w:space="0" w:color="auto"/>
            <w:left w:val="none" w:sz="0" w:space="0" w:color="auto"/>
            <w:bottom w:val="none" w:sz="0" w:space="0" w:color="auto"/>
            <w:right w:val="none" w:sz="0" w:space="0" w:color="auto"/>
          </w:divBdr>
        </w:div>
        <w:div w:id="283391735">
          <w:marLeft w:val="720"/>
          <w:marRight w:val="0"/>
          <w:marTop w:val="200"/>
          <w:marBottom w:val="0"/>
          <w:divBdr>
            <w:top w:val="none" w:sz="0" w:space="0" w:color="auto"/>
            <w:left w:val="none" w:sz="0" w:space="0" w:color="auto"/>
            <w:bottom w:val="none" w:sz="0" w:space="0" w:color="auto"/>
            <w:right w:val="none" w:sz="0" w:space="0" w:color="auto"/>
          </w:divBdr>
        </w:div>
      </w:divsChild>
    </w:div>
    <w:div w:id="1348825658">
      <w:bodyDiv w:val="1"/>
      <w:marLeft w:val="0"/>
      <w:marRight w:val="0"/>
      <w:marTop w:val="0"/>
      <w:marBottom w:val="0"/>
      <w:divBdr>
        <w:top w:val="none" w:sz="0" w:space="0" w:color="auto"/>
        <w:left w:val="none" w:sz="0" w:space="0" w:color="auto"/>
        <w:bottom w:val="none" w:sz="0" w:space="0" w:color="auto"/>
        <w:right w:val="none" w:sz="0" w:space="0" w:color="auto"/>
      </w:divBdr>
    </w:div>
    <w:div w:id="1407456653">
      <w:bodyDiv w:val="1"/>
      <w:marLeft w:val="0"/>
      <w:marRight w:val="0"/>
      <w:marTop w:val="0"/>
      <w:marBottom w:val="0"/>
      <w:divBdr>
        <w:top w:val="none" w:sz="0" w:space="0" w:color="auto"/>
        <w:left w:val="none" w:sz="0" w:space="0" w:color="auto"/>
        <w:bottom w:val="none" w:sz="0" w:space="0" w:color="auto"/>
        <w:right w:val="none" w:sz="0" w:space="0" w:color="auto"/>
      </w:divBdr>
      <w:divsChild>
        <w:div w:id="122502147">
          <w:marLeft w:val="720"/>
          <w:marRight w:val="0"/>
          <w:marTop w:val="200"/>
          <w:marBottom w:val="80"/>
          <w:divBdr>
            <w:top w:val="none" w:sz="0" w:space="0" w:color="auto"/>
            <w:left w:val="none" w:sz="0" w:space="0" w:color="auto"/>
            <w:bottom w:val="none" w:sz="0" w:space="0" w:color="auto"/>
            <w:right w:val="none" w:sz="0" w:space="0" w:color="auto"/>
          </w:divBdr>
        </w:div>
        <w:div w:id="2104690190">
          <w:marLeft w:val="720"/>
          <w:marRight w:val="0"/>
          <w:marTop w:val="200"/>
          <w:marBottom w:val="80"/>
          <w:divBdr>
            <w:top w:val="none" w:sz="0" w:space="0" w:color="auto"/>
            <w:left w:val="none" w:sz="0" w:space="0" w:color="auto"/>
            <w:bottom w:val="none" w:sz="0" w:space="0" w:color="auto"/>
            <w:right w:val="none" w:sz="0" w:space="0" w:color="auto"/>
          </w:divBdr>
        </w:div>
      </w:divsChild>
    </w:div>
    <w:div w:id="1412968931">
      <w:bodyDiv w:val="1"/>
      <w:marLeft w:val="0"/>
      <w:marRight w:val="0"/>
      <w:marTop w:val="0"/>
      <w:marBottom w:val="0"/>
      <w:divBdr>
        <w:top w:val="none" w:sz="0" w:space="0" w:color="auto"/>
        <w:left w:val="none" w:sz="0" w:space="0" w:color="auto"/>
        <w:bottom w:val="none" w:sz="0" w:space="0" w:color="auto"/>
        <w:right w:val="none" w:sz="0" w:space="0" w:color="auto"/>
      </w:divBdr>
    </w:div>
    <w:div w:id="1541165608">
      <w:bodyDiv w:val="1"/>
      <w:marLeft w:val="0"/>
      <w:marRight w:val="0"/>
      <w:marTop w:val="0"/>
      <w:marBottom w:val="0"/>
      <w:divBdr>
        <w:top w:val="none" w:sz="0" w:space="0" w:color="auto"/>
        <w:left w:val="none" w:sz="0" w:space="0" w:color="auto"/>
        <w:bottom w:val="none" w:sz="0" w:space="0" w:color="auto"/>
        <w:right w:val="none" w:sz="0" w:space="0" w:color="auto"/>
      </w:divBdr>
    </w:div>
    <w:div w:id="1661617512">
      <w:bodyDiv w:val="1"/>
      <w:marLeft w:val="0"/>
      <w:marRight w:val="0"/>
      <w:marTop w:val="0"/>
      <w:marBottom w:val="0"/>
      <w:divBdr>
        <w:top w:val="none" w:sz="0" w:space="0" w:color="auto"/>
        <w:left w:val="none" w:sz="0" w:space="0" w:color="auto"/>
        <w:bottom w:val="none" w:sz="0" w:space="0" w:color="auto"/>
        <w:right w:val="none" w:sz="0" w:space="0" w:color="auto"/>
      </w:divBdr>
    </w:div>
    <w:div w:id="1755055716">
      <w:bodyDiv w:val="1"/>
      <w:marLeft w:val="0"/>
      <w:marRight w:val="0"/>
      <w:marTop w:val="0"/>
      <w:marBottom w:val="0"/>
      <w:divBdr>
        <w:top w:val="none" w:sz="0" w:space="0" w:color="auto"/>
        <w:left w:val="none" w:sz="0" w:space="0" w:color="auto"/>
        <w:bottom w:val="none" w:sz="0" w:space="0" w:color="auto"/>
        <w:right w:val="none" w:sz="0" w:space="0" w:color="auto"/>
      </w:divBdr>
    </w:div>
    <w:div w:id="1887838145">
      <w:bodyDiv w:val="1"/>
      <w:marLeft w:val="0"/>
      <w:marRight w:val="0"/>
      <w:marTop w:val="0"/>
      <w:marBottom w:val="0"/>
      <w:divBdr>
        <w:top w:val="none" w:sz="0" w:space="0" w:color="auto"/>
        <w:left w:val="none" w:sz="0" w:space="0" w:color="auto"/>
        <w:bottom w:val="none" w:sz="0" w:space="0" w:color="auto"/>
        <w:right w:val="none" w:sz="0" w:space="0" w:color="auto"/>
      </w:divBdr>
    </w:div>
    <w:div w:id="1907569679">
      <w:bodyDiv w:val="1"/>
      <w:marLeft w:val="0"/>
      <w:marRight w:val="0"/>
      <w:marTop w:val="0"/>
      <w:marBottom w:val="0"/>
      <w:divBdr>
        <w:top w:val="none" w:sz="0" w:space="0" w:color="auto"/>
        <w:left w:val="none" w:sz="0" w:space="0" w:color="auto"/>
        <w:bottom w:val="none" w:sz="0" w:space="0" w:color="auto"/>
        <w:right w:val="none" w:sz="0" w:space="0" w:color="auto"/>
      </w:divBdr>
      <w:divsChild>
        <w:div w:id="1122504599">
          <w:marLeft w:val="547"/>
          <w:marRight w:val="0"/>
          <w:marTop w:val="200"/>
          <w:marBottom w:val="0"/>
          <w:divBdr>
            <w:top w:val="none" w:sz="0" w:space="0" w:color="auto"/>
            <w:left w:val="none" w:sz="0" w:space="0" w:color="auto"/>
            <w:bottom w:val="none" w:sz="0" w:space="0" w:color="auto"/>
            <w:right w:val="none" w:sz="0" w:space="0" w:color="auto"/>
          </w:divBdr>
        </w:div>
        <w:div w:id="1058163484">
          <w:marLeft w:val="547"/>
          <w:marRight w:val="0"/>
          <w:marTop w:val="200"/>
          <w:marBottom w:val="0"/>
          <w:divBdr>
            <w:top w:val="none" w:sz="0" w:space="0" w:color="auto"/>
            <w:left w:val="none" w:sz="0" w:space="0" w:color="auto"/>
            <w:bottom w:val="none" w:sz="0" w:space="0" w:color="auto"/>
            <w:right w:val="none" w:sz="0" w:space="0" w:color="auto"/>
          </w:divBdr>
        </w:div>
        <w:div w:id="339821205">
          <w:marLeft w:val="547"/>
          <w:marRight w:val="0"/>
          <w:marTop w:val="200"/>
          <w:marBottom w:val="0"/>
          <w:divBdr>
            <w:top w:val="none" w:sz="0" w:space="0" w:color="auto"/>
            <w:left w:val="none" w:sz="0" w:space="0" w:color="auto"/>
            <w:bottom w:val="none" w:sz="0" w:space="0" w:color="auto"/>
            <w:right w:val="none" w:sz="0" w:space="0" w:color="auto"/>
          </w:divBdr>
        </w:div>
        <w:div w:id="1848641232">
          <w:marLeft w:val="547"/>
          <w:marRight w:val="0"/>
          <w:marTop w:val="200"/>
          <w:marBottom w:val="0"/>
          <w:divBdr>
            <w:top w:val="none" w:sz="0" w:space="0" w:color="auto"/>
            <w:left w:val="none" w:sz="0" w:space="0" w:color="auto"/>
            <w:bottom w:val="none" w:sz="0" w:space="0" w:color="auto"/>
            <w:right w:val="none" w:sz="0" w:space="0" w:color="auto"/>
          </w:divBdr>
        </w:div>
      </w:divsChild>
    </w:div>
    <w:div w:id="1925214939">
      <w:bodyDiv w:val="1"/>
      <w:marLeft w:val="0"/>
      <w:marRight w:val="0"/>
      <w:marTop w:val="0"/>
      <w:marBottom w:val="0"/>
      <w:divBdr>
        <w:top w:val="none" w:sz="0" w:space="0" w:color="auto"/>
        <w:left w:val="none" w:sz="0" w:space="0" w:color="auto"/>
        <w:bottom w:val="none" w:sz="0" w:space="0" w:color="auto"/>
        <w:right w:val="none" w:sz="0" w:space="0" w:color="auto"/>
      </w:divBdr>
    </w:div>
    <w:div w:id="1943876637">
      <w:bodyDiv w:val="1"/>
      <w:marLeft w:val="0"/>
      <w:marRight w:val="0"/>
      <w:marTop w:val="0"/>
      <w:marBottom w:val="0"/>
      <w:divBdr>
        <w:top w:val="none" w:sz="0" w:space="0" w:color="auto"/>
        <w:left w:val="none" w:sz="0" w:space="0" w:color="auto"/>
        <w:bottom w:val="none" w:sz="0" w:space="0" w:color="auto"/>
        <w:right w:val="none" w:sz="0" w:space="0" w:color="auto"/>
      </w:divBdr>
    </w:div>
    <w:div w:id="206487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EC74C5D6-50CA-4ADF-942D-5C4FA54C2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15067B-9309-4265-9B11-CED211210FA8}">
  <ds:schemaRefs>
    <ds:schemaRef ds:uri="http://schemas.microsoft.com/sharepoint/v3/contenttype/forms"/>
  </ds:schemaRefs>
</ds:datastoreItem>
</file>

<file path=customXml/itemProps3.xml><?xml version="1.0" encoding="utf-8"?>
<ds:datastoreItem xmlns:ds="http://schemas.openxmlformats.org/officeDocument/2006/customXml" ds:itemID="{03C4ECC7-7D41-4470-A42A-6EA36C7C5F41}">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Acquah</dc:creator>
  <cp:keywords/>
  <dc:description/>
  <cp:lastModifiedBy>Abigail Flack</cp:lastModifiedBy>
  <cp:revision>35</cp:revision>
  <dcterms:created xsi:type="dcterms:W3CDTF">2023-01-20T13:03:00Z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22495700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