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Default="00E03D8B">
      <w:pPr>
        <w:rPr>
          <w:rFonts w:ascii="GTWalsheimRegular" w:hAnsi="GTWalsheimRegular"/>
          <w:color w:val="666666"/>
          <w:shd w:val="clear" w:color="auto" w:fill="FFFFFF"/>
        </w:rPr>
      </w:pPr>
      <w:r>
        <w:rPr>
          <w:rFonts w:ascii="GTWalsheimRegular" w:hAnsi="GTWalsheimRegular"/>
          <w:b/>
          <w:bCs/>
          <w:color w:val="666666"/>
          <w:shd w:val="clear" w:color="auto" w:fill="FFFFFF"/>
        </w:rPr>
        <w:t>UK Market Abuse Regulation</w:t>
      </w:r>
      <w:r>
        <w:rPr>
          <w:rFonts w:ascii="GTWalsheimRegular" w:hAnsi="GTWalsheimRegular"/>
          <w:color w:val="666666"/>
          <w:shd w:val="clear" w:color="auto" w:fill="FFFFFF"/>
        </w:rPr>
        <w:t> (UK version of Regulation number 2014/596/EU (available through Westlaw under Brexit: Retained EU Legislation))</w:t>
      </w:r>
    </w:p>
    <w:p w:rsidR="00E03D8B" w:rsidRDefault="00E03D8B">
      <w:pPr>
        <w:rPr>
          <w:rFonts w:ascii="GTWalsheimRegular" w:hAnsi="GTWalsheimRegular"/>
          <w:color w:val="666666"/>
          <w:shd w:val="clear" w:color="auto" w:fill="FFFFFF"/>
        </w:rPr>
      </w:pPr>
    </w:p>
    <w:p w:rsidR="00E03D8B" w:rsidRDefault="00E03D8B">
      <w:pPr>
        <w:rPr>
          <w:rFonts w:ascii="GTWalsheimRegular" w:hAnsi="GTWalsheimRegular"/>
          <w:b/>
          <w:bCs/>
          <w:i/>
          <w:iCs/>
          <w:color w:val="666666"/>
          <w:u w:val="single"/>
          <w:shd w:val="clear" w:color="auto" w:fill="FFFFFF"/>
        </w:rPr>
      </w:pPr>
      <w:r w:rsidRPr="00E03D8B">
        <w:rPr>
          <w:rFonts w:ascii="GTWalsheimRegular" w:hAnsi="GTWalsheimRegular"/>
          <w:b/>
          <w:bCs/>
          <w:i/>
          <w:iCs/>
          <w:color w:val="666666"/>
          <w:u w:val="single"/>
          <w:shd w:val="clear" w:color="auto" w:fill="FFFFFF"/>
        </w:rPr>
        <w:t>Article 3(1)(25) </w:t>
      </w:r>
    </w:p>
    <w:p w:rsidR="00E03D8B" w:rsidRPr="00E03D8B" w:rsidRDefault="00E03D8B">
      <w:pPr>
        <w:rPr>
          <w:rFonts w:ascii="GTWalsheimRegular" w:hAnsi="GTWalsheimRegular"/>
          <w:b/>
          <w:bCs/>
          <w:i/>
          <w:iCs/>
          <w:color w:val="666666"/>
          <w:u w:val="single"/>
          <w:shd w:val="clear" w:color="auto" w:fill="FFFFFF"/>
        </w:rPr>
      </w:pPr>
    </w:p>
    <w:p w:rsidR="00E03D8B" w:rsidRPr="00E03D8B" w:rsidRDefault="00E03D8B" w:rsidP="00E03D8B">
      <w:pPr>
        <w:rPr>
          <w:rFonts w:ascii="Times New Roman" w:eastAsia="Times New Roman" w:hAnsi="Times New Roman" w:cs="Times New Roman"/>
          <w:kern w:val="0"/>
          <w:lang w:eastAsia="en-GB"/>
          <w14:ligatures w14:val="none"/>
        </w:rPr>
      </w:pPr>
      <w:r w:rsidRPr="00E03D8B">
        <w:rPr>
          <w:rFonts w:ascii="Source Sans Pro" w:eastAsia="Times New Roman" w:hAnsi="Source Sans Pro" w:cs="Times New Roman"/>
          <w:i/>
          <w:iCs/>
          <w:color w:val="1F1F1F"/>
          <w:kern w:val="0"/>
          <w:sz w:val="27"/>
          <w:szCs w:val="27"/>
          <w:bdr w:val="none" w:sz="0" w:space="0" w:color="auto" w:frame="1"/>
          <w:shd w:val="clear" w:color="auto" w:fill="FFFFFF"/>
          <w:lang w:eastAsia="en-GB"/>
          <w14:ligatures w14:val="none"/>
        </w:rPr>
        <w:t xml:space="preserve"> </w:t>
      </w:r>
      <w:r w:rsidRPr="00E03D8B">
        <w:rPr>
          <w:rFonts w:ascii="Source Sans Pro" w:eastAsia="Times New Roman" w:hAnsi="Source Sans Pro" w:cs="Times New Roman"/>
          <w:i/>
          <w:iCs/>
          <w:color w:val="1F1F1F"/>
          <w:kern w:val="0"/>
          <w:sz w:val="27"/>
          <w:szCs w:val="27"/>
          <w:bdr w:val="none" w:sz="0" w:space="0" w:color="auto" w:frame="1"/>
          <w:shd w:val="clear" w:color="auto" w:fill="FFFFFF"/>
          <w:lang w:eastAsia="en-GB"/>
          <w14:ligatures w14:val="none"/>
        </w:rPr>
        <w:t>‘person discharging managerial responsibilities’ </w:t>
      </w:r>
      <w:r w:rsidRPr="00E03D8B">
        <w:rPr>
          <w:rFonts w:ascii="Source Sans Pro" w:eastAsia="Times New Roman" w:hAnsi="Source Sans Pro" w:cs="Times New Roman"/>
          <w:color w:val="1F1F1F"/>
          <w:kern w:val="0"/>
          <w:sz w:val="27"/>
          <w:szCs w:val="27"/>
          <w:shd w:val="clear" w:color="auto" w:fill="FFFFFF"/>
          <w:lang w:eastAsia="en-GB"/>
          <w14:ligatures w14:val="none"/>
        </w:rPr>
        <w:t> means a person within an issuer, </w:t>
      </w:r>
      <w:r w:rsidRPr="00E03D8B">
        <w:rPr>
          <w:rFonts w:ascii="Source Sans Pro" w:eastAsia="Times New Roman" w:hAnsi="Source Sans Pro" w:cs="Times New Roman"/>
          <w:color w:val="1F1F1F"/>
          <w:kern w:val="0"/>
          <w:sz w:val="27"/>
          <w:szCs w:val="27"/>
          <w:bdr w:val="none" w:sz="0" w:space="0" w:color="auto" w:frame="1"/>
          <w:shd w:val="clear" w:color="auto" w:fill="FFFFFF"/>
          <w:lang w:eastAsia="en-GB"/>
          <w14:ligatures w14:val="none"/>
        </w:rPr>
        <w:t>[</w:t>
      </w:r>
      <w:r w:rsidRPr="00E03D8B">
        <w:rPr>
          <w:rFonts w:ascii="Source Sans Pro" w:eastAsia="Times New Roman" w:hAnsi="Source Sans Pro" w:cs="Times New Roman"/>
          <w:color w:val="1F1F1F"/>
          <w:kern w:val="0"/>
          <w:sz w:val="27"/>
          <w:szCs w:val="27"/>
          <w:shd w:val="clear" w:color="auto" w:fill="FFFFFF"/>
          <w:lang w:eastAsia="en-GB"/>
          <w14:ligatures w14:val="none"/>
        </w:rPr>
        <w:t>a UK emission</w:t>
      </w:r>
      <w:r w:rsidRPr="00E03D8B">
        <w:rPr>
          <w:rFonts w:ascii="Source Sans Pro" w:eastAsia="Times New Roman" w:hAnsi="Source Sans Pro" w:cs="Times New Roman"/>
          <w:color w:val="1F1F1F"/>
          <w:kern w:val="0"/>
          <w:sz w:val="27"/>
          <w:szCs w:val="27"/>
          <w:bdr w:val="none" w:sz="0" w:space="0" w:color="auto" w:frame="1"/>
          <w:shd w:val="clear" w:color="auto" w:fill="FFFFFF"/>
          <w:lang w:eastAsia="en-GB"/>
          <w14:ligatures w14:val="none"/>
        </w:rPr>
        <w:t>]</w:t>
      </w:r>
      <w:hyperlink r:id="rId4" w:anchor="co_footnote_I5B45588019AD11EB9DCAFB99FA1A0434_24" w:history="1">
        <w:r w:rsidRPr="00E03D8B">
          <w:rPr>
            <w:rFonts w:ascii="Source Sans Pro" w:eastAsia="Times New Roman" w:hAnsi="Source Sans Pro" w:cs="Times New Roman"/>
            <w:color w:val="0062C4"/>
            <w:kern w:val="0"/>
            <w:sz w:val="21"/>
            <w:szCs w:val="21"/>
            <w:u w:val="single"/>
            <w:bdr w:val="none" w:sz="0" w:space="0" w:color="auto" w:frame="1"/>
            <w:lang w:eastAsia="en-GB"/>
            <w14:ligatures w14:val="none"/>
          </w:rPr>
          <w:t>24</w:t>
        </w:r>
      </w:hyperlink>
      <w:r w:rsidRPr="00E03D8B">
        <w:rPr>
          <w:rFonts w:ascii="Source Sans Pro" w:eastAsia="Times New Roman" w:hAnsi="Source Sans Pro" w:cs="Times New Roman"/>
          <w:color w:val="1F1F1F"/>
          <w:kern w:val="0"/>
          <w:sz w:val="27"/>
          <w:szCs w:val="27"/>
          <w:shd w:val="clear" w:color="auto" w:fill="FFFFFF"/>
          <w:lang w:eastAsia="en-GB"/>
          <w14:ligatures w14:val="none"/>
        </w:rPr>
        <w:t> allowance market participant or another entity referred to in Article 19(10), who is:</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(a)  a member of the administrative, management or supervisory body of that entity; or</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(b)  a senior executive who is not a member of the bodies referred to in point (a), who has regular access to inside information relating directly or indirectly to that entity and power to take managerial decisions affecting the future developments and business prospects of that entity;</w:t>
      </w:r>
    </w:p>
    <w:p w:rsidR="00E03D8B" w:rsidRDefault="00E03D8B"/>
    <w:p w:rsidR="00E03D8B" w:rsidRDefault="00E03D8B" w:rsidP="00E03D8B">
      <w:pPr>
        <w:rPr>
          <w:rFonts w:ascii="GTWalsheimRegular" w:hAnsi="GTWalsheimRegular"/>
          <w:b/>
          <w:bCs/>
          <w:i/>
          <w:iCs/>
          <w:color w:val="666666"/>
          <w:u w:val="single"/>
          <w:shd w:val="clear" w:color="auto" w:fill="FFFFFF"/>
        </w:rPr>
      </w:pPr>
      <w:r w:rsidRPr="00E03D8B">
        <w:rPr>
          <w:rFonts w:ascii="GTWalsheimRegular" w:hAnsi="GTWalsheimRegular"/>
          <w:b/>
          <w:bCs/>
          <w:i/>
          <w:iCs/>
          <w:color w:val="666666"/>
          <w:u w:val="single"/>
          <w:shd w:val="clear" w:color="auto" w:fill="FFFFFF"/>
        </w:rPr>
        <w:t>Article 3(1)(2</w:t>
      </w:r>
      <w:r>
        <w:rPr>
          <w:rFonts w:ascii="GTWalsheimRegular" w:hAnsi="GTWalsheimRegular"/>
          <w:b/>
          <w:bCs/>
          <w:i/>
          <w:iCs/>
          <w:color w:val="666666"/>
          <w:u w:val="single"/>
          <w:shd w:val="clear" w:color="auto" w:fill="FFFFFF"/>
        </w:rPr>
        <w:t>6</w:t>
      </w:r>
      <w:r w:rsidRPr="00E03D8B">
        <w:rPr>
          <w:rFonts w:ascii="GTWalsheimRegular" w:hAnsi="GTWalsheimRegular"/>
          <w:b/>
          <w:bCs/>
          <w:i/>
          <w:iCs/>
          <w:color w:val="666666"/>
          <w:u w:val="single"/>
          <w:shd w:val="clear" w:color="auto" w:fill="FFFFFF"/>
        </w:rPr>
        <w:t>) </w:t>
      </w:r>
    </w:p>
    <w:p w:rsidR="00E03D8B" w:rsidRDefault="00E03D8B"/>
    <w:p w:rsidR="00E03D8B" w:rsidRPr="00E03D8B" w:rsidRDefault="00E03D8B" w:rsidP="00E03D8B">
      <w:pPr>
        <w:rPr>
          <w:rFonts w:ascii="Times New Roman" w:eastAsia="Times New Roman" w:hAnsi="Times New Roman" w:cs="Times New Roman"/>
          <w:kern w:val="0"/>
          <w:lang w:eastAsia="en-GB"/>
          <w14:ligatures w14:val="none"/>
        </w:rPr>
      </w:pPr>
      <w:r w:rsidRPr="00E03D8B">
        <w:rPr>
          <w:rFonts w:ascii="Source Sans Pro" w:eastAsia="Times New Roman" w:hAnsi="Source Sans Pro" w:cs="Times New Roman"/>
          <w:i/>
          <w:iCs/>
          <w:color w:val="1F1F1F"/>
          <w:kern w:val="0"/>
          <w:sz w:val="27"/>
          <w:szCs w:val="27"/>
          <w:bdr w:val="none" w:sz="0" w:space="0" w:color="auto" w:frame="1"/>
          <w:shd w:val="clear" w:color="auto" w:fill="FFFFFF"/>
          <w:lang w:eastAsia="en-GB"/>
          <w14:ligatures w14:val="none"/>
        </w:rPr>
        <w:t xml:space="preserve"> </w:t>
      </w:r>
      <w:r w:rsidRPr="00E03D8B">
        <w:rPr>
          <w:rFonts w:ascii="Source Sans Pro" w:eastAsia="Times New Roman" w:hAnsi="Source Sans Pro" w:cs="Times New Roman"/>
          <w:i/>
          <w:iCs/>
          <w:color w:val="1F1F1F"/>
          <w:kern w:val="0"/>
          <w:sz w:val="27"/>
          <w:szCs w:val="27"/>
          <w:bdr w:val="none" w:sz="0" w:space="0" w:color="auto" w:frame="1"/>
          <w:shd w:val="clear" w:color="auto" w:fill="FFFFFF"/>
          <w:lang w:eastAsia="en-GB"/>
          <w14:ligatures w14:val="none"/>
        </w:rPr>
        <w:t>‘person closely associated</w:t>
      </w:r>
      <w:proofErr w:type="gramStart"/>
      <w:r w:rsidRPr="00E03D8B">
        <w:rPr>
          <w:rFonts w:ascii="Source Sans Pro" w:eastAsia="Times New Roman" w:hAnsi="Source Sans Pro" w:cs="Times New Roman"/>
          <w:i/>
          <w:iCs/>
          <w:color w:val="1F1F1F"/>
          <w:kern w:val="0"/>
          <w:sz w:val="27"/>
          <w:szCs w:val="27"/>
          <w:bdr w:val="none" w:sz="0" w:space="0" w:color="auto" w:frame="1"/>
          <w:shd w:val="clear" w:color="auto" w:fill="FFFFFF"/>
          <w:lang w:eastAsia="en-GB"/>
          <w14:ligatures w14:val="none"/>
        </w:rPr>
        <w:t>’ </w:t>
      </w:r>
      <w:r w:rsidRPr="00E03D8B">
        <w:rPr>
          <w:rFonts w:ascii="Source Sans Pro" w:eastAsia="Times New Roman" w:hAnsi="Source Sans Pro" w:cs="Times New Roman"/>
          <w:color w:val="1F1F1F"/>
          <w:kern w:val="0"/>
          <w:sz w:val="27"/>
          <w:szCs w:val="27"/>
          <w:shd w:val="clear" w:color="auto" w:fill="FFFFFF"/>
          <w:lang w:eastAsia="en-GB"/>
          <w14:ligatures w14:val="none"/>
        </w:rPr>
        <w:t> means</w:t>
      </w:r>
      <w:proofErr w:type="gramEnd"/>
      <w:r w:rsidRPr="00E03D8B">
        <w:rPr>
          <w:rFonts w:ascii="Source Sans Pro" w:eastAsia="Times New Roman" w:hAnsi="Source Sans Pro" w:cs="Times New Roman"/>
          <w:color w:val="1F1F1F"/>
          <w:kern w:val="0"/>
          <w:sz w:val="27"/>
          <w:szCs w:val="27"/>
          <w:shd w:val="clear" w:color="auto" w:fill="FFFFFF"/>
          <w:lang w:eastAsia="en-GB"/>
          <w14:ligatures w14:val="none"/>
        </w:rPr>
        <w:t>:</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(a)  a spouse, or a partner considered to be equivalent to a spouse in accordance with national law;</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(b)  a dependent child, in accordance with national law;</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(c)  a relative who has shared the same household for at least one year on the date of the transaction concerned; or</w:t>
      </w:r>
    </w:p>
    <w:p w:rsidR="00E03D8B" w:rsidRPr="00E03D8B" w:rsidRDefault="00E03D8B" w:rsidP="00E03D8B">
      <w:pPr>
        <w:shd w:val="clear" w:color="auto" w:fill="FFFFFF"/>
        <w:textAlignment w:val="baseline"/>
        <w:rPr>
          <w:rFonts w:ascii="Source Sans Pro" w:eastAsia="Times New Roman" w:hAnsi="Source Sans Pro" w:cs="Times New Roman"/>
          <w:color w:val="1F1F1F"/>
          <w:kern w:val="0"/>
          <w:sz w:val="27"/>
          <w:szCs w:val="27"/>
          <w:lang w:eastAsia="en-GB"/>
          <w14:ligatures w14:val="none"/>
        </w:rPr>
      </w:pPr>
      <w:r w:rsidRPr="00E03D8B">
        <w:rPr>
          <w:rFonts w:ascii="Source Sans Pro" w:eastAsia="Times New Roman" w:hAnsi="Source Sans Pro" w:cs="Times New Roman"/>
          <w:color w:val="1F1F1F"/>
          <w:kern w:val="0"/>
          <w:sz w:val="27"/>
          <w:szCs w:val="27"/>
          <w:lang w:eastAsia="en-GB"/>
          <w14:ligatures w14:val="none"/>
        </w:rPr>
        <w:t>(d)  a legal person, trust or partnership, the managerial responsibilities of which are discharged by a person discharging managerial responsibilities or by a person referred to in point (a), (b) or (c), or which is directly or indirectly controlled by such a person, or which is set up for the benefit of such a person, or the economic interests of which are substantially equivalent to those of such a person;</w:t>
      </w:r>
    </w:p>
    <w:p w:rsidR="00E03D8B" w:rsidRDefault="00E03D8B"/>
    <w:sectPr w:rsidR="00E03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Regular">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8B"/>
    <w:rsid w:val="00572098"/>
    <w:rsid w:val="0085336F"/>
    <w:rsid w:val="00CD39EA"/>
    <w:rsid w:val="00DF6715"/>
    <w:rsid w:val="00E03D8B"/>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DC3B7E"/>
  <w15:chartTrackingRefBased/>
  <w15:docId w15:val="{89816AB4-BDA7-3940-AA1D-3C759096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footnotenode">
    <w:name w:val="co_footnotenode"/>
    <w:basedOn w:val="DefaultParagraphFont"/>
    <w:rsid w:val="00E03D8B"/>
  </w:style>
  <w:style w:type="character" w:styleId="Hyperlink">
    <w:name w:val="Hyperlink"/>
    <w:basedOn w:val="DefaultParagraphFont"/>
    <w:uiPriority w:val="99"/>
    <w:semiHidden/>
    <w:unhideWhenUsed/>
    <w:rsid w:val="00E03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5366">
      <w:bodyDiv w:val="1"/>
      <w:marLeft w:val="0"/>
      <w:marRight w:val="0"/>
      <w:marTop w:val="0"/>
      <w:marBottom w:val="0"/>
      <w:divBdr>
        <w:top w:val="none" w:sz="0" w:space="0" w:color="auto"/>
        <w:left w:val="none" w:sz="0" w:space="0" w:color="auto"/>
        <w:bottom w:val="none" w:sz="0" w:space="0" w:color="auto"/>
        <w:right w:val="none" w:sz="0" w:space="0" w:color="auto"/>
      </w:divBdr>
      <w:divsChild>
        <w:div w:id="668365154">
          <w:marLeft w:val="0"/>
          <w:marRight w:val="0"/>
          <w:marTop w:val="0"/>
          <w:marBottom w:val="0"/>
          <w:divBdr>
            <w:top w:val="none" w:sz="0" w:space="0" w:color="auto"/>
            <w:left w:val="none" w:sz="0" w:space="0" w:color="auto"/>
            <w:bottom w:val="none" w:sz="0" w:space="0" w:color="auto"/>
            <w:right w:val="none" w:sz="0" w:space="0" w:color="auto"/>
          </w:divBdr>
        </w:div>
        <w:div w:id="1740832845">
          <w:marLeft w:val="0"/>
          <w:marRight w:val="0"/>
          <w:marTop w:val="0"/>
          <w:marBottom w:val="0"/>
          <w:divBdr>
            <w:top w:val="none" w:sz="0" w:space="0" w:color="auto"/>
            <w:left w:val="none" w:sz="0" w:space="0" w:color="auto"/>
            <w:bottom w:val="none" w:sz="0" w:space="0" w:color="auto"/>
            <w:right w:val="none" w:sz="0" w:space="0" w:color="auto"/>
          </w:divBdr>
        </w:div>
      </w:divsChild>
    </w:div>
    <w:div w:id="862403083">
      <w:bodyDiv w:val="1"/>
      <w:marLeft w:val="0"/>
      <w:marRight w:val="0"/>
      <w:marTop w:val="0"/>
      <w:marBottom w:val="0"/>
      <w:divBdr>
        <w:top w:val="none" w:sz="0" w:space="0" w:color="auto"/>
        <w:left w:val="none" w:sz="0" w:space="0" w:color="auto"/>
        <w:bottom w:val="none" w:sz="0" w:space="0" w:color="auto"/>
        <w:right w:val="none" w:sz="0" w:space="0" w:color="auto"/>
      </w:divBdr>
      <w:divsChild>
        <w:div w:id="1691180352">
          <w:marLeft w:val="0"/>
          <w:marRight w:val="0"/>
          <w:marTop w:val="0"/>
          <w:marBottom w:val="0"/>
          <w:divBdr>
            <w:top w:val="none" w:sz="0" w:space="0" w:color="auto"/>
            <w:left w:val="none" w:sz="0" w:space="0" w:color="auto"/>
            <w:bottom w:val="none" w:sz="0" w:space="0" w:color="auto"/>
            <w:right w:val="none" w:sz="0" w:space="0" w:color="auto"/>
          </w:divBdr>
        </w:div>
        <w:div w:id="342440109">
          <w:marLeft w:val="0"/>
          <w:marRight w:val="0"/>
          <w:marTop w:val="0"/>
          <w:marBottom w:val="0"/>
          <w:divBdr>
            <w:top w:val="none" w:sz="0" w:space="0" w:color="auto"/>
            <w:left w:val="none" w:sz="0" w:space="0" w:color="auto"/>
            <w:bottom w:val="none" w:sz="0" w:space="0" w:color="auto"/>
            <w:right w:val="none" w:sz="0" w:space="0" w:color="auto"/>
          </w:divBdr>
        </w:div>
        <w:div w:id="1826777003">
          <w:marLeft w:val="0"/>
          <w:marRight w:val="0"/>
          <w:marTop w:val="0"/>
          <w:marBottom w:val="0"/>
          <w:divBdr>
            <w:top w:val="none" w:sz="0" w:space="0" w:color="auto"/>
            <w:left w:val="none" w:sz="0" w:space="0" w:color="auto"/>
            <w:bottom w:val="none" w:sz="0" w:space="0" w:color="auto"/>
            <w:right w:val="none" w:sz="0" w:space="0" w:color="auto"/>
          </w:divBdr>
        </w:div>
        <w:div w:id="1046877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k.westlaw.com/Document/I5B45588019AD11EB9DCAFB99FA1A0434/View/FullText.html?originationContext=document&amp;transitionType=DocumentItem&amp;ppcid=62af18309c1a43cda0883e2c4db7e014&amp;contextData=(sc.Search)&amp;comp=wluk&amp;navId=ED86DC2D58E7C677DF229CDCAF2B7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2025-07-02T11:07:00Z</dcterms:created>
  <dcterms:modified xsi:type="dcterms:W3CDTF">2025-07-02T11:20:00Z</dcterms:modified>
</cp:coreProperties>
</file>