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11 -  Effektivitet score - Effect: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440"/>
        <w:tblGridChange w:id="0">
          <w:tblGrid>
            <w:gridCol w:w="141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11 testes ved brug af følgende metoder og tilhørende resultater: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“Determine effect”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9775" cy="1819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56224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forskellen mellem de forrige og nye symptomer i procent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C">
      <w:pPr>
        <w:pStyle w:val="Subtitle"/>
        <w:spacing w:after="0" w:line="276" w:lineRule="auto"/>
        <w:rPr/>
      </w:pPr>
      <w:bookmarkStart w:colFirst="0" w:colLast="0" w:name="_heading=h.9fd8lnj9wh7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OXu4NX5CA38PGf/VRyIB7J3/ww==">AMUW2mW7X2jKu6Ziu+WY4LDA8TXT2dXMKFm8B8n5ZwqAV9WuVSWsbaAyNbgKizzb3URFKv6o6RAtbuJ8q06L3ZHzC0UAg4mArd7bxnjPmjDMW65mW+lSKMLGKtfdcddd869q1EkvmG6v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