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 13 -  Importere data fra UCon - Evaluation:</w: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7515"/>
        <w:tblGridChange w:id="0">
          <w:tblGrid>
            <w:gridCol w:w="1335"/>
            <w:gridCol w:w="75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Testplan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MT13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Resultat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 13 testes ved brug af følgende metoder og tilhørende resultater: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Tilslut UCon til brugerens pc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</w:rPr>
              <w:drawing>
                <wp:inline distB="114300" distT="114300" distL="114300" distR="114300">
                  <wp:extent cx="4638675" cy="22733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227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Accepter kriterier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det importerede data i form af en tabel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“Intensity” for brugen af UCon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antal “Urge Activations” og “Time Limited Sessions”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Verificeret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0E">
      <w:pPr>
        <w:pStyle w:val="Subtitle"/>
        <w:spacing w:after="0" w:line="276" w:lineRule="auto"/>
        <w:rPr/>
      </w:pPr>
      <w:bookmarkStart w:colFirst="0" w:colLast="0" w:name="_heading=h.oaf5u1a06yf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xPteaAg8EHRAn5B6srRWha1b+Q==">AMUW2mWyA44cZ9ABhH6DCVgZehZkvXCFpf7wa/CwakmKwom3hcV2epv3V+vlxq+hrU7NQvKpQfU9Lz0YpHZpBJIYWQhU4Wzv4qB8jqYNDsPW8Hsn5blyN1b9mYil4uKqyknNgadIOjPD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