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CFCE7" w14:textId="2968590C" w:rsidR="00B667AC" w:rsidRPr="00527409" w:rsidRDefault="00B667AC" w:rsidP="00B667AC">
      <w:pPr>
        <w:jc w:val="center"/>
        <w:rPr>
          <w:rFonts w:ascii="Times New Roman" w:hAnsi="Times New Roman" w:cs="Times New Roman"/>
          <w:sz w:val="32"/>
          <w:szCs w:val="32"/>
        </w:rPr>
      </w:pPr>
      <w:r w:rsidRPr="00527409">
        <w:rPr>
          <w:rFonts w:ascii="Times New Roman" w:hAnsi="Times New Roman" w:cs="Times New Roman"/>
          <w:sz w:val="32"/>
          <w:szCs w:val="32"/>
        </w:rPr>
        <w:t>Отчёт по Сессии 1</w:t>
      </w:r>
    </w:p>
    <w:p w14:paraId="65CF1B42" w14:textId="77777777" w:rsidR="00B667AC" w:rsidRPr="00527409" w:rsidRDefault="00B667AC" w:rsidP="00B667AC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sz w:val="28"/>
          <w:szCs w:val="28"/>
        </w:rPr>
        <w:t>1. Анализ требований и проектирование UX/UI</w:t>
      </w:r>
    </w:p>
    <w:p w14:paraId="0C4F22E9" w14:textId="5555B128" w:rsidR="00B667AC" w:rsidRPr="00527409" w:rsidRDefault="00B667AC" w:rsidP="00B667AC">
      <w:pPr>
        <w:rPr>
          <w:rFonts w:ascii="Times New Roman" w:hAnsi="Times New Roman" w:cs="Times New Roman"/>
          <w:sz w:val="32"/>
          <w:szCs w:val="32"/>
        </w:rPr>
      </w:pPr>
      <w:r w:rsidRPr="00527409">
        <w:rPr>
          <w:rFonts w:ascii="Times New Roman" w:hAnsi="Times New Roman" w:cs="Times New Roman"/>
          <w:sz w:val="28"/>
          <w:szCs w:val="28"/>
        </w:rPr>
        <w:t>1.1 Спецификации прецедентов использования (Use Case</w:t>
      </w:r>
      <w:r w:rsidRPr="00527409">
        <w:rPr>
          <w:rFonts w:ascii="Times New Roman" w:hAnsi="Times New Roman" w:cs="Times New Roman"/>
          <w:sz w:val="32"/>
          <w:szCs w:val="32"/>
        </w:rPr>
        <w:t>)</w:t>
      </w:r>
    </w:p>
    <w:tbl>
      <w:tblPr>
        <w:tblStyle w:val="ac"/>
        <w:tblW w:w="0" w:type="auto"/>
        <w:tblInd w:w="-431" w:type="dxa"/>
        <w:tblLook w:val="04A0" w:firstRow="1" w:lastRow="0" w:firstColumn="1" w:lastColumn="0" w:noHBand="0" w:noVBand="1"/>
      </w:tblPr>
      <w:tblGrid>
        <w:gridCol w:w="536"/>
        <w:gridCol w:w="1373"/>
        <w:gridCol w:w="1297"/>
        <w:gridCol w:w="1643"/>
        <w:gridCol w:w="1578"/>
        <w:gridCol w:w="1722"/>
        <w:gridCol w:w="1627"/>
      </w:tblGrid>
      <w:tr w:rsidR="00B667AC" w:rsidRPr="00527409" w14:paraId="7DD6115F" w14:textId="77777777" w:rsidTr="00B667AC">
        <w:tc>
          <w:tcPr>
            <w:tcW w:w="465" w:type="dxa"/>
            <w:vAlign w:val="bottom"/>
          </w:tcPr>
          <w:p w14:paraId="08AD84C0" w14:textId="619A61CD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ID</w:t>
            </w:r>
          </w:p>
        </w:tc>
        <w:tc>
          <w:tcPr>
            <w:tcW w:w="1281" w:type="dxa"/>
            <w:vAlign w:val="bottom"/>
          </w:tcPr>
          <w:p w14:paraId="03CA62E4" w14:textId="7AA6DC7F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Название прецедента</w:t>
            </w:r>
          </w:p>
        </w:tc>
        <w:tc>
          <w:tcPr>
            <w:tcW w:w="948" w:type="dxa"/>
            <w:vAlign w:val="bottom"/>
          </w:tcPr>
          <w:p w14:paraId="06406D98" w14:textId="6E65EAF8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Основной актор</w:t>
            </w:r>
          </w:p>
        </w:tc>
        <w:tc>
          <w:tcPr>
            <w:tcW w:w="1789" w:type="dxa"/>
            <w:vAlign w:val="bottom"/>
          </w:tcPr>
          <w:p w14:paraId="70B90C80" w14:textId="56F42F98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Предусловия</w:t>
            </w:r>
          </w:p>
        </w:tc>
        <w:tc>
          <w:tcPr>
            <w:tcW w:w="1924" w:type="dxa"/>
            <w:vAlign w:val="bottom"/>
          </w:tcPr>
          <w:p w14:paraId="062171C1" w14:textId="70D2ABAA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Основной поток</w:t>
            </w:r>
          </w:p>
        </w:tc>
        <w:tc>
          <w:tcPr>
            <w:tcW w:w="1839" w:type="dxa"/>
            <w:vAlign w:val="bottom"/>
          </w:tcPr>
          <w:p w14:paraId="4C15B847" w14:textId="5D10839B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Альтернативные потоки</w:t>
            </w:r>
          </w:p>
        </w:tc>
        <w:tc>
          <w:tcPr>
            <w:tcW w:w="1530" w:type="dxa"/>
            <w:vAlign w:val="bottom"/>
          </w:tcPr>
          <w:p w14:paraId="784B5A59" w14:textId="5D95AC0C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Постусловия</w:t>
            </w:r>
          </w:p>
        </w:tc>
      </w:tr>
      <w:tr w:rsidR="00B667AC" w:rsidRPr="00527409" w14:paraId="387113CF" w14:textId="77777777" w:rsidTr="00B667AC">
        <w:tc>
          <w:tcPr>
            <w:tcW w:w="465" w:type="dxa"/>
            <w:vAlign w:val="bottom"/>
          </w:tcPr>
          <w:p w14:paraId="18657242" w14:textId="51F620ED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UC-01</w:t>
            </w:r>
          </w:p>
        </w:tc>
        <w:tc>
          <w:tcPr>
            <w:tcW w:w="1281" w:type="dxa"/>
            <w:vAlign w:val="bottom"/>
          </w:tcPr>
          <w:p w14:paraId="06DD147D" w14:textId="6A59F265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Управление рецептурой</w:t>
            </w:r>
          </w:p>
        </w:tc>
        <w:tc>
          <w:tcPr>
            <w:tcW w:w="948" w:type="dxa"/>
            <w:vAlign w:val="bottom"/>
          </w:tcPr>
          <w:p w14:paraId="6A67AFF6" w14:textId="17B505C7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Технолог</w:t>
            </w:r>
          </w:p>
        </w:tc>
        <w:tc>
          <w:tcPr>
            <w:tcW w:w="1789" w:type="dxa"/>
            <w:vAlign w:val="bottom"/>
          </w:tcPr>
          <w:p w14:paraId="26D6652F" w14:textId="16AB6B27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Пользователь авторизован, имеет роль «Технолог»</w:t>
            </w:r>
          </w:p>
        </w:tc>
        <w:tc>
          <w:tcPr>
            <w:tcW w:w="1924" w:type="dxa"/>
            <w:vAlign w:val="bottom"/>
          </w:tcPr>
          <w:p w14:paraId="31EAB528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1. Открыть раздел «Рецептуры»</w:t>
            </w:r>
          </w:p>
          <w:p w14:paraId="1294F065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2. Нажать «Создать»</w:t>
            </w:r>
          </w:p>
          <w:p w14:paraId="0CCB7340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3. Выбрать продукт, ввести компоненты с долями</w:t>
            </w:r>
          </w:p>
          <w:p w14:paraId="35A4D677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4. Сохранить черновик</w:t>
            </w:r>
          </w:p>
          <w:p w14:paraId="4F5079C6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5. Отправить на утверждение</w:t>
            </w:r>
          </w:p>
          <w:p w14:paraId="09F4765F" w14:textId="1F3BAC5F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6. Утвердить (система проверяет сумму 100%)</w:t>
            </w:r>
          </w:p>
        </w:tc>
        <w:tc>
          <w:tcPr>
            <w:tcW w:w="1839" w:type="dxa"/>
            <w:vAlign w:val="bottom"/>
          </w:tcPr>
          <w:p w14:paraId="7084F445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А1: Сумма ≠ 100% → система блокирует утверждение, выводит ошибку</w:t>
            </w:r>
          </w:p>
          <w:p w14:paraId="026DDA21" w14:textId="6A19880B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А2: Дублирование активной рецептуры → система предлагает создать новую версию</w:t>
            </w:r>
          </w:p>
        </w:tc>
        <w:tc>
          <w:tcPr>
            <w:tcW w:w="1530" w:type="dxa"/>
            <w:vAlign w:val="bottom"/>
          </w:tcPr>
          <w:p w14:paraId="4B55DFA1" w14:textId="64C40C99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Рецептура получает статус «Утверждена», фиксируется в истории</w:t>
            </w:r>
          </w:p>
        </w:tc>
      </w:tr>
      <w:tr w:rsidR="00B667AC" w:rsidRPr="00527409" w14:paraId="1857785E" w14:textId="77777777" w:rsidTr="00B667AC">
        <w:tc>
          <w:tcPr>
            <w:tcW w:w="465" w:type="dxa"/>
            <w:vAlign w:val="bottom"/>
          </w:tcPr>
          <w:p w14:paraId="6511C164" w14:textId="50243CE5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UC-02</w:t>
            </w:r>
          </w:p>
        </w:tc>
        <w:tc>
          <w:tcPr>
            <w:tcW w:w="1281" w:type="dxa"/>
            <w:vAlign w:val="bottom"/>
          </w:tcPr>
          <w:p w14:paraId="75350752" w14:textId="19410BF0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Выполнение партии</w:t>
            </w:r>
          </w:p>
        </w:tc>
        <w:tc>
          <w:tcPr>
            <w:tcW w:w="948" w:type="dxa"/>
            <w:vAlign w:val="bottom"/>
          </w:tcPr>
          <w:p w14:paraId="0E66C782" w14:textId="6F73BB7E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Аппаратчик</w:t>
            </w:r>
          </w:p>
        </w:tc>
        <w:tc>
          <w:tcPr>
            <w:tcW w:w="1789" w:type="dxa"/>
            <w:vAlign w:val="bottom"/>
          </w:tcPr>
          <w:p w14:paraId="18007D4D" w14:textId="45ECD1A6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Партия создана, статус «В производстве»</w:t>
            </w:r>
          </w:p>
        </w:tc>
        <w:tc>
          <w:tcPr>
            <w:tcW w:w="1924" w:type="dxa"/>
            <w:vAlign w:val="bottom"/>
          </w:tcPr>
          <w:p w14:paraId="4B5AF991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1. Выбрать активную партию</w:t>
            </w:r>
          </w:p>
          <w:p w14:paraId="4B3D68FD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2. Открыть текущий шаг</w:t>
            </w:r>
          </w:p>
          <w:p w14:paraId="44FA264E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3. Ввести фактические параметры</w:t>
            </w:r>
          </w:p>
          <w:p w14:paraId="2D21F1AA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4. Нажать «Завершить шаг»</w:t>
            </w:r>
          </w:p>
          <w:p w14:paraId="65D3B9DA" w14:textId="29228A57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5. Перейти к следующему</w:t>
            </w:r>
          </w:p>
        </w:tc>
        <w:tc>
          <w:tcPr>
            <w:tcW w:w="1839" w:type="dxa"/>
            <w:vAlign w:val="bottom"/>
          </w:tcPr>
          <w:p w14:paraId="77660799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А1: Отклонение от допуска → система требует комментарий, создает событие отклонения</w:t>
            </w:r>
          </w:p>
          <w:p w14:paraId="068DD9F5" w14:textId="1DE1B83F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А2: Нет соединения → данные кэшируются локально, синхронизируются при восстановлении</w:t>
            </w:r>
          </w:p>
        </w:tc>
        <w:tc>
          <w:tcPr>
            <w:tcW w:w="1530" w:type="dxa"/>
            <w:vAlign w:val="bottom"/>
          </w:tcPr>
          <w:p w14:paraId="0AEF45DA" w14:textId="4ACD724F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Шаг помечен «Завершен», телеметрия и параметры сохранены</w:t>
            </w:r>
          </w:p>
        </w:tc>
      </w:tr>
      <w:tr w:rsidR="00B667AC" w:rsidRPr="00527409" w14:paraId="7C9142DD" w14:textId="77777777" w:rsidTr="00B667AC">
        <w:tc>
          <w:tcPr>
            <w:tcW w:w="465" w:type="dxa"/>
            <w:vAlign w:val="bottom"/>
          </w:tcPr>
          <w:p w14:paraId="6EB15C27" w14:textId="46A7131F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UC-03</w:t>
            </w:r>
          </w:p>
        </w:tc>
        <w:tc>
          <w:tcPr>
            <w:tcW w:w="1281" w:type="dxa"/>
            <w:vAlign w:val="bottom"/>
          </w:tcPr>
          <w:p w14:paraId="2529323D" w14:textId="12955E9C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Лабораторный контроль</w:t>
            </w:r>
          </w:p>
        </w:tc>
        <w:tc>
          <w:tcPr>
            <w:tcW w:w="948" w:type="dxa"/>
            <w:vAlign w:val="bottom"/>
          </w:tcPr>
          <w:p w14:paraId="3879218E" w14:textId="075B520E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Лаборант</w:t>
            </w:r>
          </w:p>
        </w:tc>
        <w:tc>
          <w:tcPr>
            <w:tcW w:w="1789" w:type="dxa"/>
            <w:vAlign w:val="bottom"/>
          </w:tcPr>
          <w:p w14:paraId="1A0924CC" w14:textId="55678C38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Поступила партия сырья/продукции, статус «Ожидает анализа»</w:t>
            </w:r>
          </w:p>
        </w:tc>
        <w:tc>
          <w:tcPr>
            <w:tcW w:w="1924" w:type="dxa"/>
            <w:vAlign w:val="bottom"/>
          </w:tcPr>
          <w:p w14:paraId="668655CF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1. Открыть «Партии сырья»</w:t>
            </w:r>
          </w:p>
          <w:p w14:paraId="7316BF27" w14:textId="4AB03FA4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 xml:space="preserve">2. Создать испытание </w:t>
            </w:r>
            <w:r w:rsidRPr="00527409">
              <w:rPr>
                <w:rFonts w:ascii="Times New Roman" w:hAnsi="Times New Roman" w:cs="Times New Roman"/>
                <w:color w:val="000000"/>
              </w:rPr>
              <w:lastRenderedPageBreak/>
              <w:t>(автозаполнение)</w:t>
            </w:r>
          </w:p>
          <w:p w14:paraId="79B7BDAF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3. Ввести результаты параметров</w:t>
            </w:r>
          </w:p>
          <w:p w14:paraId="1393AEA4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4. Система сравнивает с нормативами</w:t>
            </w:r>
          </w:p>
          <w:p w14:paraId="6BD56246" w14:textId="0CEDA305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5. Принять решение: Допустить / Заблокировать</w:t>
            </w:r>
          </w:p>
        </w:tc>
        <w:tc>
          <w:tcPr>
            <w:tcW w:w="1839" w:type="dxa"/>
            <w:vAlign w:val="bottom"/>
          </w:tcPr>
          <w:p w14:paraId="74281229" w14:textId="57E09896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lastRenderedPageBreak/>
              <w:t xml:space="preserve">А1: Незавершенное испытание → блокировка решенияА2: Блокировка </w:t>
            </w:r>
            <w:r w:rsidRPr="00527409">
              <w:rPr>
                <w:rFonts w:ascii="Times New Roman" w:hAnsi="Times New Roman" w:cs="Times New Roman"/>
                <w:color w:val="000000"/>
              </w:rPr>
              <w:lastRenderedPageBreak/>
              <w:t>без комментария → требование обязательного поля</w:t>
            </w:r>
          </w:p>
        </w:tc>
        <w:tc>
          <w:tcPr>
            <w:tcW w:w="1530" w:type="dxa"/>
            <w:vAlign w:val="bottom"/>
          </w:tcPr>
          <w:p w14:paraId="404D9D1D" w14:textId="00607070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lastRenderedPageBreak/>
              <w:t>Партия получает статус «Разрешена» или «Заблокирова</w:t>
            </w:r>
            <w:r w:rsidRPr="00527409">
              <w:rPr>
                <w:rFonts w:ascii="Times New Roman" w:hAnsi="Times New Roman" w:cs="Times New Roman"/>
                <w:color w:val="000000"/>
              </w:rPr>
              <w:lastRenderedPageBreak/>
              <w:t>на», протокол сформирован</w:t>
            </w:r>
          </w:p>
        </w:tc>
      </w:tr>
      <w:tr w:rsidR="00B667AC" w:rsidRPr="00527409" w14:paraId="5D4C4334" w14:textId="77777777" w:rsidTr="00B667AC">
        <w:tc>
          <w:tcPr>
            <w:tcW w:w="465" w:type="dxa"/>
            <w:vAlign w:val="bottom"/>
          </w:tcPr>
          <w:p w14:paraId="6BBF169D" w14:textId="0EC61CD8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lastRenderedPageBreak/>
              <w:t>UC-04</w:t>
            </w:r>
          </w:p>
        </w:tc>
        <w:tc>
          <w:tcPr>
            <w:tcW w:w="1281" w:type="dxa"/>
            <w:vAlign w:val="bottom"/>
          </w:tcPr>
          <w:p w14:paraId="1CD36878" w14:textId="614D4360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Генерация отчетов</w:t>
            </w:r>
          </w:p>
        </w:tc>
        <w:tc>
          <w:tcPr>
            <w:tcW w:w="948" w:type="dxa"/>
            <w:vAlign w:val="bottom"/>
          </w:tcPr>
          <w:p w14:paraId="755B7891" w14:textId="6C1EB393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Технолог / Руководитель</w:t>
            </w:r>
          </w:p>
        </w:tc>
        <w:tc>
          <w:tcPr>
            <w:tcW w:w="1789" w:type="dxa"/>
            <w:vAlign w:val="bottom"/>
          </w:tcPr>
          <w:p w14:paraId="512D3CA0" w14:textId="70DC0623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В системе накоплены данные минимум за 1 период</w:t>
            </w:r>
          </w:p>
        </w:tc>
        <w:tc>
          <w:tcPr>
            <w:tcW w:w="1924" w:type="dxa"/>
            <w:vAlign w:val="bottom"/>
          </w:tcPr>
          <w:p w14:paraId="2F462288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1. Открыть раздел «Отчеты»</w:t>
            </w:r>
          </w:p>
          <w:p w14:paraId="419631E9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2. Выбрать тип отчета и даты</w:t>
            </w:r>
          </w:p>
          <w:p w14:paraId="44C0DA68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3. Сформировать</w:t>
            </w:r>
          </w:p>
          <w:p w14:paraId="4F7B99F8" w14:textId="4EA9020F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4. Экспорт в Excel/CSV</w:t>
            </w:r>
          </w:p>
        </w:tc>
        <w:tc>
          <w:tcPr>
            <w:tcW w:w="1839" w:type="dxa"/>
            <w:vAlign w:val="bottom"/>
          </w:tcPr>
          <w:p w14:paraId="78791924" w14:textId="77777777" w:rsidR="00B667AC" w:rsidRPr="00527409" w:rsidRDefault="00B667AC" w:rsidP="00B667AC">
            <w:pPr>
              <w:rPr>
                <w:rFonts w:ascii="Times New Roman" w:hAnsi="Times New Roman" w:cs="Times New Roman"/>
                <w:color w:val="000000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А1: Нет данных → вывод пустой таблицы с уведомлением</w:t>
            </w:r>
          </w:p>
          <w:p w14:paraId="53CEA2BF" w14:textId="6348BC9F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А2: Превышение таймаута → асинхронная генерация с уведомлением</w:t>
            </w:r>
          </w:p>
        </w:tc>
        <w:tc>
          <w:tcPr>
            <w:tcW w:w="1530" w:type="dxa"/>
            <w:vAlign w:val="bottom"/>
          </w:tcPr>
          <w:p w14:paraId="3946698E" w14:textId="2B83E95E" w:rsidR="00B667AC" w:rsidRPr="00527409" w:rsidRDefault="00B667AC" w:rsidP="00B667A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27409">
              <w:rPr>
                <w:rFonts w:ascii="Times New Roman" w:hAnsi="Times New Roman" w:cs="Times New Roman"/>
                <w:color w:val="000000"/>
              </w:rPr>
              <w:t>Отчет доступен для просмотра и скачивания</w:t>
            </w:r>
          </w:p>
        </w:tc>
      </w:tr>
    </w:tbl>
    <w:p w14:paraId="6C8DA3A9" w14:textId="77777777" w:rsidR="00B667AC" w:rsidRPr="00527409" w:rsidRDefault="00B667AC" w:rsidP="00B667AC">
      <w:pPr>
        <w:rPr>
          <w:rFonts w:ascii="Times New Roman" w:hAnsi="Times New Roman" w:cs="Times New Roman"/>
          <w:sz w:val="32"/>
          <w:szCs w:val="32"/>
        </w:rPr>
      </w:pPr>
    </w:p>
    <w:p w14:paraId="5DE6633F" w14:textId="71CC3544" w:rsidR="00C5777D" w:rsidRPr="00527409" w:rsidRDefault="00C5777D" w:rsidP="00B667AC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sz w:val="28"/>
          <w:szCs w:val="28"/>
        </w:rPr>
        <w:br w:type="page"/>
      </w:r>
    </w:p>
    <w:p w14:paraId="0F3360AF" w14:textId="08E62BA4" w:rsidR="00B667AC" w:rsidRPr="00527409" w:rsidRDefault="0033671A" w:rsidP="00B667AC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sz w:val="28"/>
          <w:szCs w:val="28"/>
        </w:rPr>
        <w:lastRenderedPageBreak/>
        <w:t>1.2 Wireframe (Макеты экранов)</w:t>
      </w:r>
    </w:p>
    <w:p w14:paraId="35058823" w14:textId="7B7D16F2" w:rsidR="0033671A" w:rsidRPr="00527409" w:rsidRDefault="00C5777D" w:rsidP="00B667AC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sz w:val="28"/>
          <w:szCs w:val="28"/>
        </w:rPr>
        <w:t>Экран 1: Главная панель технолога</w:t>
      </w:r>
    </w:p>
    <w:p w14:paraId="09DC9259" w14:textId="5025B9BB" w:rsidR="00C5777D" w:rsidRPr="00527409" w:rsidRDefault="00E90317" w:rsidP="00B667AC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53222F" wp14:editId="71BA8565">
            <wp:extent cx="5940425" cy="31165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14B4E" w14:textId="77777777" w:rsidR="00E90317" w:rsidRPr="00527409" w:rsidRDefault="00E90317" w:rsidP="00E90317">
      <w:pPr>
        <w:rPr>
          <w:rFonts w:ascii="Times New Roman" w:hAnsi="Times New Roman" w:cs="Times New Roman"/>
          <w:sz w:val="28"/>
          <w:szCs w:val="28"/>
        </w:rPr>
      </w:pPr>
    </w:p>
    <w:p w14:paraId="77E2FCA6" w14:textId="2F09F830" w:rsidR="00E90317" w:rsidRPr="00527409" w:rsidRDefault="000655F7" w:rsidP="00E90317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sz w:val="28"/>
          <w:szCs w:val="28"/>
        </w:rPr>
        <w:t>Экран 2: Карточка рецептуры</w:t>
      </w:r>
    </w:p>
    <w:p w14:paraId="3B7D6887" w14:textId="772236D6" w:rsidR="000655F7" w:rsidRPr="00527409" w:rsidRDefault="00DE1241" w:rsidP="00E90317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9EA71A" wp14:editId="5B5BC5D2">
            <wp:extent cx="5940425" cy="300609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75EEF" w14:textId="77777777" w:rsidR="00DE1241" w:rsidRPr="00527409" w:rsidRDefault="00DE1241" w:rsidP="00DE1241">
      <w:pPr>
        <w:rPr>
          <w:rFonts w:ascii="Times New Roman" w:hAnsi="Times New Roman" w:cs="Times New Roman"/>
          <w:sz w:val="28"/>
          <w:szCs w:val="28"/>
        </w:rPr>
      </w:pPr>
    </w:p>
    <w:p w14:paraId="70C01C8D" w14:textId="77777777" w:rsidR="00DE1241" w:rsidRPr="00527409" w:rsidRDefault="00DE1241" w:rsidP="00DE1241">
      <w:pPr>
        <w:rPr>
          <w:rFonts w:ascii="Times New Roman" w:hAnsi="Times New Roman" w:cs="Times New Roman"/>
          <w:sz w:val="28"/>
          <w:szCs w:val="28"/>
        </w:rPr>
      </w:pPr>
    </w:p>
    <w:p w14:paraId="44FCB697" w14:textId="77777777" w:rsidR="00DE1241" w:rsidRPr="00527409" w:rsidRDefault="00DE1241" w:rsidP="00DE1241">
      <w:pPr>
        <w:rPr>
          <w:rFonts w:ascii="Times New Roman" w:hAnsi="Times New Roman" w:cs="Times New Roman"/>
          <w:sz w:val="28"/>
          <w:szCs w:val="28"/>
        </w:rPr>
      </w:pPr>
    </w:p>
    <w:p w14:paraId="3FE76DBF" w14:textId="77777777" w:rsidR="00DE1241" w:rsidRPr="00527409" w:rsidRDefault="00DE1241" w:rsidP="00DE1241">
      <w:pPr>
        <w:rPr>
          <w:rFonts w:ascii="Times New Roman" w:hAnsi="Times New Roman" w:cs="Times New Roman"/>
          <w:sz w:val="28"/>
          <w:szCs w:val="28"/>
        </w:rPr>
      </w:pPr>
    </w:p>
    <w:p w14:paraId="7905925F" w14:textId="0455A2D9" w:rsidR="00DE1241" w:rsidRPr="00527409" w:rsidRDefault="0049519F" w:rsidP="00DE1241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sz w:val="28"/>
          <w:szCs w:val="28"/>
        </w:rPr>
        <w:lastRenderedPageBreak/>
        <w:t>Экран 3: Программа партии (Модуль Аппаратчика)</w:t>
      </w:r>
    </w:p>
    <w:p w14:paraId="177E79A0" w14:textId="535C30EE" w:rsidR="00AC7F21" w:rsidRPr="00527409" w:rsidRDefault="00AC7F21" w:rsidP="00DE1241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CDEF82" wp14:editId="17ADF06A">
            <wp:extent cx="5940425" cy="31305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8B340" w14:textId="77777777" w:rsidR="005E1025" w:rsidRPr="00527409" w:rsidRDefault="005E1025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sz w:val="28"/>
          <w:szCs w:val="28"/>
        </w:rPr>
        <w:br w:type="page"/>
      </w:r>
    </w:p>
    <w:p w14:paraId="674188F7" w14:textId="68B56CB8" w:rsidR="005E1025" w:rsidRPr="005E1025" w:rsidRDefault="005E1025" w:rsidP="005E1025">
      <w:p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lastRenderedPageBreak/>
        <w:t>2. Проектирование структуры данных и архитектуры</w:t>
      </w:r>
    </w:p>
    <w:p w14:paraId="58304F9C" w14:textId="77777777" w:rsidR="005E1025" w:rsidRPr="005E1025" w:rsidRDefault="005E1025" w:rsidP="005E1025">
      <w:p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2.1 Логическая и физическая модель (ERD)</w:t>
      </w:r>
    </w:p>
    <w:p w14:paraId="506AF261" w14:textId="77777777" w:rsidR="005E1025" w:rsidRPr="005E1025" w:rsidRDefault="005E1025" w:rsidP="005E1025">
      <w:p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Модель приведена к 3НФ:</w:t>
      </w:r>
    </w:p>
    <w:p w14:paraId="31E163DB" w14:textId="77777777" w:rsidR="005E1025" w:rsidRPr="005E1025" w:rsidRDefault="005E1025" w:rsidP="005E102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Нет повторяющихся групп (компоненты и шаги вынесены в отдельные таблицы).</w:t>
      </w:r>
    </w:p>
    <w:p w14:paraId="2EC0A2A0" w14:textId="77777777" w:rsidR="005E1025" w:rsidRPr="005E1025" w:rsidRDefault="005E1025" w:rsidP="005E102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Все неключевые атрибуты зависят от первичного ключа.</w:t>
      </w:r>
    </w:p>
    <w:p w14:paraId="2F2B9457" w14:textId="77777777" w:rsidR="005E1025" w:rsidRPr="005E1025" w:rsidRDefault="005E1025" w:rsidP="005E102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Нет транзитивных зависимостей (справочники статусов, ролей, единиц измерения вынесены).</w:t>
      </w:r>
    </w:p>
    <w:p w14:paraId="35E69AA2" w14:textId="77777777" w:rsidR="005E1025" w:rsidRPr="005E1025" w:rsidRDefault="005E1025" w:rsidP="005E1025">
      <w:p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Основные сущности и связи:</w:t>
      </w:r>
    </w:p>
    <w:p w14:paraId="6AC70833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users, roles, departments → Справочники пользователей (1:N)</w:t>
      </w:r>
    </w:p>
    <w:p w14:paraId="70927413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products → Карточки продукции (1:N)</w:t>
      </w:r>
    </w:p>
    <w:p w14:paraId="3D7BFE4E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raw_materials, raw_batches → </w:t>
      </w:r>
      <w:r w:rsidRPr="005E1025">
        <w:rPr>
          <w:rFonts w:ascii="Times New Roman" w:hAnsi="Times New Roman" w:cs="Times New Roman"/>
          <w:sz w:val="28"/>
          <w:szCs w:val="28"/>
        </w:rPr>
        <w:t>Сырье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E1025">
        <w:rPr>
          <w:rFonts w:ascii="Times New Roman" w:hAnsi="Times New Roman" w:cs="Times New Roman"/>
          <w:sz w:val="28"/>
          <w:szCs w:val="28"/>
        </w:rPr>
        <w:t>и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E1025">
        <w:rPr>
          <w:rFonts w:ascii="Times New Roman" w:hAnsi="Times New Roman" w:cs="Times New Roman"/>
          <w:sz w:val="28"/>
          <w:szCs w:val="28"/>
        </w:rPr>
        <w:t>партии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(1:N)</w:t>
      </w:r>
    </w:p>
    <w:p w14:paraId="58D7C47C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E1025">
        <w:rPr>
          <w:rFonts w:ascii="Times New Roman" w:hAnsi="Times New Roman" w:cs="Times New Roman"/>
          <w:sz w:val="28"/>
          <w:szCs w:val="28"/>
          <w:lang w:val="en-US"/>
        </w:rPr>
        <w:t>recipes (</w:t>
      </w:r>
      <w:r w:rsidRPr="005E1025">
        <w:rPr>
          <w:rFonts w:ascii="Times New Roman" w:hAnsi="Times New Roman" w:cs="Times New Roman"/>
          <w:sz w:val="28"/>
          <w:szCs w:val="28"/>
        </w:rPr>
        <w:t>версионность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E1025">
        <w:rPr>
          <w:rFonts w:ascii="Times New Roman" w:hAnsi="Times New Roman" w:cs="Times New Roman"/>
          <w:sz w:val="28"/>
          <w:szCs w:val="28"/>
        </w:rPr>
        <w:t>через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version_number + product_id)</w:t>
      </w:r>
    </w:p>
    <w:p w14:paraId="6899B431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recipe_components → </w:t>
      </w:r>
      <w:r w:rsidRPr="005E1025">
        <w:rPr>
          <w:rFonts w:ascii="Times New Roman" w:hAnsi="Times New Roman" w:cs="Times New Roman"/>
          <w:sz w:val="28"/>
          <w:szCs w:val="28"/>
        </w:rPr>
        <w:t>Состав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E1025">
        <w:rPr>
          <w:rFonts w:ascii="Times New Roman" w:hAnsi="Times New Roman" w:cs="Times New Roman"/>
          <w:sz w:val="28"/>
          <w:szCs w:val="28"/>
        </w:rPr>
        <w:t>рецептуры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(M:N </w:t>
      </w:r>
      <w:r w:rsidRPr="005E1025">
        <w:rPr>
          <w:rFonts w:ascii="Times New Roman" w:hAnsi="Times New Roman" w:cs="Times New Roman"/>
          <w:sz w:val="28"/>
          <w:szCs w:val="28"/>
        </w:rPr>
        <w:t>через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FK recipe_id, </w:t>
      </w:r>
      <w:r w:rsidRPr="005E1025">
        <w:rPr>
          <w:rFonts w:ascii="Times New Roman" w:hAnsi="Times New Roman" w:cs="Times New Roman"/>
          <w:sz w:val="28"/>
          <w:szCs w:val="28"/>
        </w:rPr>
        <w:t>нормализовано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BA2B243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tech_maps → Технологические карты (версионность аналогична рецептам)</w:t>
      </w:r>
    </w:p>
    <w:p w14:paraId="5B9D94D9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tech_steps, step_parameters → Шаги и их плановые параметры (1:N)</w:t>
      </w:r>
    </w:p>
    <w:p w14:paraId="476420DF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production_orders → Заказы (1:N к продукту)</w:t>
      </w:r>
    </w:p>
    <w:p w14:paraId="674DF542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batches → Производственные партии (N:1 к заказу, рецептуре, карте)</w:t>
      </w:r>
    </w:p>
    <w:p w14:paraId="34C6D48C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batch_raw_usage → Связь партии с использованным сырьем (M:N, прослеживаемость)</w:t>
      </w:r>
    </w:p>
    <w:p w14:paraId="4AD4C418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batch_step_execution → Фактическое выполнение шагов (1:N к batches и tech_steps)</w:t>
      </w:r>
    </w:p>
    <w:p w14:paraId="5F73A043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lab_tests, lab_test_results → Испытания и результаты (1:N)</w:t>
      </w:r>
    </w:p>
    <w:p w14:paraId="71D8187B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deviations, audit_log → Отклонения и история изменений (1:N к партиям/пользователям)</w:t>
      </w:r>
    </w:p>
    <w:p w14:paraId="0A302757" w14:textId="77777777" w:rsidR="005E1025" w:rsidRPr="005E1025" w:rsidRDefault="005E1025" w:rsidP="005E102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equipment_telemetry → Данные с датчиков (1:N к партиям/оборудованию)</w:t>
      </w:r>
    </w:p>
    <w:p w14:paraId="7461E36F" w14:textId="77777777" w:rsidR="005E1025" w:rsidRPr="005E1025" w:rsidRDefault="005E1025" w:rsidP="005E102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E1025">
        <w:rPr>
          <w:rFonts w:ascii="Times New Roman" w:hAnsi="Times New Roman" w:cs="Times New Roman"/>
          <w:sz w:val="28"/>
          <w:szCs w:val="28"/>
        </w:rPr>
        <w:lastRenderedPageBreak/>
        <w:t>Типы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E1025">
        <w:rPr>
          <w:rFonts w:ascii="Times New Roman" w:hAnsi="Times New Roman" w:cs="Times New Roman"/>
          <w:sz w:val="28"/>
          <w:szCs w:val="28"/>
        </w:rPr>
        <w:t>связей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>: products 1→N recipes → 1→N recipe_components batches 1→N batch_step_execution, lab_tests, deviations raw_batches 1→N batch_raw_usage</w:t>
      </w:r>
    </w:p>
    <w:p w14:paraId="6A5F0751" w14:textId="77777777" w:rsidR="005E1025" w:rsidRPr="005E1025" w:rsidRDefault="005E1025" w:rsidP="005E1025">
      <w:p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2.2 Архитектура и паттерны проектирования</w:t>
      </w:r>
    </w:p>
    <w:p w14:paraId="5AA8A124" w14:textId="77777777" w:rsidR="005E1025" w:rsidRPr="005E1025" w:rsidRDefault="005E1025" w:rsidP="005E1025">
      <w:p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Архитектура: Модульный монолит (Layered Architecture) с RESTful API.</w:t>
      </w:r>
    </w:p>
    <w:p w14:paraId="123ABF71" w14:textId="77777777" w:rsidR="005E1025" w:rsidRPr="005E1025" w:rsidRDefault="005E1025" w:rsidP="005E1025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E1025">
        <w:rPr>
          <w:rFonts w:ascii="Times New Roman" w:hAnsi="Times New Roman" w:cs="Times New Roman"/>
          <w:sz w:val="28"/>
          <w:szCs w:val="28"/>
          <w:lang w:val="en-US"/>
        </w:rPr>
        <w:t>Presentation Layer: ASP.NET Core / FastAPI / Express (</w:t>
      </w:r>
      <w:r w:rsidRPr="005E1025">
        <w:rPr>
          <w:rFonts w:ascii="Times New Roman" w:hAnsi="Times New Roman" w:cs="Times New Roman"/>
          <w:sz w:val="28"/>
          <w:szCs w:val="28"/>
        </w:rPr>
        <w:t>единый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JSON-</w:t>
      </w:r>
      <w:r w:rsidRPr="005E1025">
        <w:rPr>
          <w:rFonts w:ascii="Times New Roman" w:hAnsi="Times New Roman" w:cs="Times New Roman"/>
          <w:sz w:val="28"/>
          <w:szCs w:val="28"/>
        </w:rPr>
        <w:t>формат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>, Swagger)</w:t>
      </w:r>
    </w:p>
    <w:p w14:paraId="72CF11F6" w14:textId="77777777" w:rsidR="005E1025" w:rsidRPr="005E1025" w:rsidRDefault="005E1025" w:rsidP="005E1025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E1025">
        <w:rPr>
          <w:rFonts w:ascii="Times New Roman" w:hAnsi="Times New Roman" w:cs="Times New Roman"/>
          <w:sz w:val="28"/>
          <w:szCs w:val="28"/>
        </w:rPr>
        <w:t>Application Layer: Сервисы бизнес-логики, валидация, оркестрация</w:t>
      </w:r>
    </w:p>
    <w:p w14:paraId="0CF10840" w14:textId="77777777" w:rsidR="005E1025" w:rsidRPr="005E1025" w:rsidRDefault="005E1025" w:rsidP="005E1025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Domain Layer: </w:t>
      </w:r>
      <w:r w:rsidRPr="005E1025">
        <w:rPr>
          <w:rFonts w:ascii="Times New Roman" w:hAnsi="Times New Roman" w:cs="Times New Roman"/>
          <w:sz w:val="28"/>
          <w:szCs w:val="28"/>
        </w:rPr>
        <w:t>Сущности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, Value Objects, </w:t>
      </w:r>
      <w:r w:rsidRPr="005E1025">
        <w:rPr>
          <w:rFonts w:ascii="Times New Roman" w:hAnsi="Times New Roman" w:cs="Times New Roman"/>
          <w:sz w:val="28"/>
          <w:szCs w:val="28"/>
        </w:rPr>
        <w:t>доменные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E1025">
        <w:rPr>
          <w:rFonts w:ascii="Times New Roman" w:hAnsi="Times New Roman" w:cs="Times New Roman"/>
          <w:sz w:val="28"/>
          <w:szCs w:val="28"/>
        </w:rPr>
        <w:t>правила</w:t>
      </w:r>
    </w:p>
    <w:p w14:paraId="15D638B9" w14:textId="77777777" w:rsidR="005E1025" w:rsidRPr="005E1025" w:rsidRDefault="005E1025" w:rsidP="005E1025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Infrastructure Layer: ORM (EF Core / SQLAlchemy / Prisma), </w:t>
      </w:r>
      <w:r w:rsidRPr="005E1025">
        <w:rPr>
          <w:rFonts w:ascii="Times New Roman" w:hAnsi="Times New Roman" w:cs="Times New Roman"/>
          <w:sz w:val="28"/>
          <w:szCs w:val="28"/>
        </w:rPr>
        <w:t>репозитории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E1025">
        <w:rPr>
          <w:rFonts w:ascii="Times New Roman" w:hAnsi="Times New Roman" w:cs="Times New Roman"/>
          <w:sz w:val="28"/>
          <w:szCs w:val="28"/>
        </w:rPr>
        <w:t>внешние</w:t>
      </w:r>
      <w:r w:rsidRPr="005E10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E1025">
        <w:rPr>
          <w:rFonts w:ascii="Times New Roman" w:hAnsi="Times New Roman" w:cs="Times New Roman"/>
          <w:sz w:val="28"/>
          <w:szCs w:val="28"/>
        </w:rPr>
        <w:t>интеграции</w:t>
      </w:r>
    </w:p>
    <w:p w14:paraId="2C872B13" w14:textId="75B2D4F4" w:rsidR="0049519F" w:rsidRPr="00527409" w:rsidRDefault="00081A45" w:rsidP="0049519F">
      <w:pPr>
        <w:rPr>
          <w:rFonts w:ascii="Times New Roman" w:hAnsi="Times New Roman" w:cs="Times New Roman"/>
          <w:sz w:val="28"/>
          <w:szCs w:val="28"/>
        </w:rPr>
      </w:pPr>
      <w:r w:rsidRPr="00527409">
        <w:rPr>
          <w:rFonts w:ascii="Times New Roman" w:hAnsi="Times New Roman" w:cs="Times New Roman"/>
          <w:sz w:val="28"/>
          <w:szCs w:val="28"/>
          <w:lang w:val="en-US"/>
        </w:rPr>
        <w:t>Паттерны: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964"/>
        <w:gridCol w:w="3266"/>
        <w:gridCol w:w="3115"/>
      </w:tblGrid>
      <w:tr w:rsidR="007327E0" w:rsidRPr="00527409" w14:paraId="0B423DEF" w14:textId="77777777" w:rsidTr="00081A45">
        <w:tc>
          <w:tcPr>
            <w:tcW w:w="3115" w:type="dxa"/>
          </w:tcPr>
          <w:p w14:paraId="7F11039B" w14:textId="59271D53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Паттерн</w:t>
            </w:r>
          </w:p>
        </w:tc>
        <w:tc>
          <w:tcPr>
            <w:tcW w:w="3115" w:type="dxa"/>
          </w:tcPr>
          <w:p w14:paraId="4AC44BE4" w14:textId="4C9CF1B6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Где применяется</w:t>
            </w:r>
          </w:p>
        </w:tc>
        <w:tc>
          <w:tcPr>
            <w:tcW w:w="3115" w:type="dxa"/>
          </w:tcPr>
          <w:p w14:paraId="67A049F6" w14:textId="3BF1B6EC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Обоснование</w:t>
            </w:r>
          </w:p>
        </w:tc>
      </w:tr>
      <w:tr w:rsidR="007327E0" w:rsidRPr="00527409" w14:paraId="29342288" w14:textId="77777777" w:rsidTr="00081A45">
        <w:tc>
          <w:tcPr>
            <w:tcW w:w="3115" w:type="dxa"/>
          </w:tcPr>
          <w:p w14:paraId="074EABF4" w14:textId="01B8F964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Repository + Unit of Work</w:t>
            </w:r>
          </w:p>
        </w:tc>
        <w:tc>
          <w:tcPr>
            <w:tcW w:w="3115" w:type="dxa"/>
          </w:tcPr>
          <w:p w14:paraId="702776F8" w14:textId="71A63DB1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Доступ к БД</w:t>
            </w:r>
          </w:p>
        </w:tc>
        <w:tc>
          <w:tcPr>
            <w:tcW w:w="3115" w:type="dxa"/>
          </w:tcPr>
          <w:p w14:paraId="350C054D" w14:textId="1199AF5B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Изоляция DAL от бизнес-логики, транзакционность изменений партий/шагов</w:t>
            </w:r>
          </w:p>
        </w:tc>
      </w:tr>
      <w:tr w:rsidR="007327E0" w:rsidRPr="00527409" w14:paraId="75E5D679" w14:textId="77777777" w:rsidTr="00081A45">
        <w:tc>
          <w:tcPr>
            <w:tcW w:w="3115" w:type="dxa"/>
          </w:tcPr>
          <w:p w14:paraId="501D80CA" w14:textId="1B5885F2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Strategy</w:t>
            </w:r>
          </w:p>
        </w:tc>
        <w:tc>
          <w:tcPr>
            <w:tcW w:w="3115" w:type="dxa"/>
          </w:tcPr>
          <w:p w14:paraId="16E2A6DE" w14:textId="37C6A240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Валидация шагов, расчет допусков</w:t>
            </w:r>
          </w:p>
        </w:tc>
        <w:tc>
          <w:tcPr>
            <w:tcW w:w="3115" w:type="dxa"/>
          </w:tcPr>
          <w:p w14:paraId="10285231" w14:textId="5A4B3A9B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Разные типы шагов (смешивание, экструзия, охлаждение) имеют разные правила валидации</w:t>
            </w:r>
          </w:p>
        </w:tc>
      </w:tr>
      <w:tr w:rsidR="007327E0" w:rsidRPr="00527409" w14:paraId="14C14880" w14:textId="77777777" w:rsidTr="00081A45">
        <w:tc>
          <w:tcPr>
            <w:tcW w:w="3115" w:type="dxa"/>
          </w:tcPr>
          <w:p w14:paraId="0D61D466" w14:textId="7A35BB19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State</w:t>
            </w:r>
          </w:p>
        </w:tc>
        <w:tc>
          <w:tcPr>
            <w:tcW w:w="3115" w:type="dxa"/>
          </w:tcPr>
          <w:p w14:paraId="7D1E0B04" w14:textId="06087CFE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Жизненный цикл партии/рецептуры/испытания</w:t>
            </w:r>
          </w:p>
        </w:tc>
        <w:tc>
          <w:tcPr>
            <w:tcW w:w="3115" w:type="dxa"/>
          </w:tcPr>
          <w:p w14:paraId="0499A0FA" w14:textId="0EAFBE72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Четкие переходы статусов с проверкой предусловий (например, `Draft → Approved → Archived`)</w:t>
            </w:r>
          </w:p>
        </w:tc>
      </w:tr>
      <w:tr w:rsidR="007327E0" w:rsidRPr="00527409" w14:paraId="477259E3" w14:textId="77777777" w:rsidTr="00081A45">
        <w:tc>
          <w:tcPr>
            <w:tcW w:w="3115" w:type="dxa"/>
          </w:tcPr>
          <w:p w14:paraId="56071A62" w14:textId="518DCF52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Observer / Event Sourcing</w:t>
            </w:r>
          </w:p>
        </w:tc>
        <w:tc>
          <w:tcPr>
            <w:tcW w:w="3115" w:type="dxa"/>
          </w:tcPr>
          <w:p w14:paraId="698C112B" w14:textId="68F5DDE1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Аудит, уведомления, журнал отклонений</w:t>
            </w:r>
          </w:p>
        </w:tc>
        <w:tc>
          <w:tcPr>
            <w:tcW w:w="3115" w:type="dxa"/>
          </w:tcPr>
          <w:p w14:paraId="3D7B8A38" w14:textId="3B4DEB83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Все значимые действия публикуют события в `audit_log` без привязки к UI</w:t>
            </w:r>
          </w:p>
        </w:tc>
      </w:tr>
      <w:tr w:rsidR="007327E0" w:rsidRPr="00527409" w14:paraId="52011313" w14:textId="77777777" w:rsidTr="00081A45">
        <w:tc>
          <w:tcPr>
            <w:tcW w:w="3115" w:type="dxa"/>
          </w:tcPr>
          <w:p w14:paraId="08EF479D" w14:textId="0B783313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Factory</w:t>
            </w:r>
          </w:p>
        </w:tc>
        <w:tc>
          <w:tcPr>
            <w:tcW w:w="3115" w:type="dxa"/>
          </w:tcPr>
          <w:p w14:paraId="5E9B05F5" w14:textId="32E9EA5E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Создание лабораторных испытаний</w:t>
            </w:r>
          </w:p>
        </w:tc>
        <w:tc>
          <w:tcPr>
            <w:tcW w:w="3115" w:type="dxa"/>
          </w:tcPr>
          <w:p w14:paraId="7C40837B" w14:textId="52D0EE51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Разные типы испытаний (входной контроль, выходной, повторный) инициализируются разными наборами параметров</w:t>
            </w:r>
          </w:p>
        </w:tc>
      </w:tr>
      <w:tr w:rsidR="007327E0" w:rsidRPr="00527409" w14:paraId="0448D32C" w14:textId="77777777" w:rsidTr="00081A45">
        <w:tc>
          <w:tcPr>
            <w:tcW w:w="3115" w:type="dxa"/>
          </w:tcPr>
          <w:p w14:paraId="0E459074" w14:textId="108AE4E9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Facade</w:t>
            </w:r>
          </w:p>
        </w:tc>
        <w:tc>
          <w:tcPr>
            <w:tcW w:w="3115" w:type="dxa"/>
          </w:tcPr>
          <w:p w14:paraId="1DC36FBC" w14:textId="7FD310DF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API для клиентов</w:t>
            </w:r>
          </w:p>
        </w:tc>
        <w:tc>
          <w:tcPr>
            <w:tcW w:w="3115" w:type="dxa"/>
          </w:tcPr>
          <w:p w14:paraId="6DA23E9C" w14:textId="5F3B439B" w:rsidR="007327E0" w:rsidRPr="00527409" w:rsidRDefault="007327E0" w:rsidP="007327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7409">
              <w:rPr>
                <w:rFonts w:ascii="Times New Roman" w:hAnsi="Times New Roman" w:cs="Times New Roman"/>
                <w:color w:val="000000"/>
                <w:kern w:val="0"/>
              </w:rPr>
              <w:t>Единые методы `/api/v1/batches/{id}/execute-step` скрывают сложную внутреннюю логику</w:t>
            </w:r>
          </w:p>
        </w:tc>
      </w:tr>
    </w:tbl>
    <w:p w14:paraId="732A77D5" w14:textId="77777777" w:rsidR="00081A45" w:rsidRPr="00527409" w:rsidRDefault="00081A45" w:rsidP="0049519F">
      <w:pPr>
        <w:rPr>
          <w:rFonts w:ascii="Times New Roman" w:hAnsi="Times New Roman" w:cs="Times New Roman"/>
          <w:sz w:val="28"/>
          <w:szCs w:val="28"/>
        </w:rPr>
      </w:pPr>
    </w:p>
    <w:p w14:paraId="10158DF3" w14:textId="77777777" w:rsidR="0077427A" w:rsidRPr="00527409" w:rsidRDefault="0077427A" w:rsidP="0049519F">
      <w:pPr>
        <w:rPr>
          <w:rFonts w:ascii="Times New Roman" w:hAnsi="Times New Roman" w:cs="Times New Roman"/>
          <w:sz w:val="28"/>
          <w:szCs w:val="28"/>
        </w:rPr>
      </w:pPr>
    </w:p>
    <w:p w14:paraId="04ACEC45" w14:textId="77777777" w:rsidR="0077427A" w:rsidRPr="00527409" w:rsidRDefault="0077427A" w:rsidP="0049519F">
      <w:pPr>
        <w:rPr>
          <w:rFonts w:ascii="Times New Roman" w:hAnsi="Times New Roman" w:cs="Times New Roman"/>
          <w:sz w:val="28"/>
          <w:szCs w:val="28"/>
        </w:rPr>
      </w:pPr>
    </w:p>
    <w:p w14:paraId="488D4DB4" w14:textId="77777777" w:rsidR="0077427A" w:rsidRPr="00527409" w:rsidRDefault="0077427A" w:rsidP="0049519F">
      <w:pPr>
        <w:rPr>
          <w:rFonts w:ascii="Times New Roman" w:hAnsi="Times New Roman" w:cs="Times New Roman"/>
          <w:sz w:val="28"/>
          <w:szCs w:val="28"/>
        </w:rPr>
      </w:pPr>
    </w:p>
    <w:sectPr w:rsidR="0077427A" w:rsidRPr="005274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5261E0"/>
    <w:multiLevelType w:val="multilevel"/>
    <w:tmpl w:val="260E2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861138"/>
    <w:multiLevelType w:val="multilevel"/>
    <w:tmpl w:val="852E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B02FDA"/>
    <w:multiLevelType w:val="multilevel"/>
    <w:tmpl w:val="DC16C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7284615">
    <w:abstractNumId w:val="2"/>
  </w:num>
  <w:num w:numId="2" w16cid:durableId="1194609891">
    <w:abstractNumId w:val="0"/>
  </w:num>
  <w:num w:numId="3" w16cid:durableId="1873810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AC"/>
    <w:rsid w:val="000655F7"/>
    <w:rsid w:val="00081A45"/>
    <w:rsid w:val="0019244A"/>
    <w:rsid w:val="00224E91"/>
    <w:rsid w:val="0033671A"/>
    <w:rsid w:val="0049519F"/>
    <w:rsid w:val="00527409"/>
    <w:rsid w:val="005C6A05"/>
    <w:rsid w:val="005E1025"/>
    <w:rsid w:val="00707B48"/>
    <w:rsid w:val="00711172"/>
    <w:rsid w:val="007327E0"/>
    <w:rsid w:val="0077427A"/>
    <w:rsid w:val="00812A01"/>
    <w:rsid w:val="00AC7F21"/>
    <w:rsid w:val="00B667AC"/>
    <w:rsid w:val="00C003F1"/>
    <w:rsid w:val="00C5777D"/>
    <w:rsid w:val="00DE1241"/>
    <w:rsid w:val="00E90317"/>
    <w:rsid w:val="00E9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C5865"/>
  <w15:chartTrackingRefBased/>
  <w15:docId w15:val="{F2A29903-308E-43A0-BE74-F91098C5A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6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6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6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6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6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6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6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6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6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6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6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6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67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67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67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67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67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67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6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6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6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6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6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67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67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67A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6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67A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667A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667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0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7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2663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1325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729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57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6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122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309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0209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705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Падерин</dc:creator>
  <cp:keywords/>
  <dc:description/>
  <cp:lastModifiedBy>Николай Падерин</cp:lastModifiedBy>
  <cp:revision>4</cp:revision>
  <dcterms:created xsi:type="dcterms:W3CDTF">2026-05-07T12:39:00Z</dcterms:created>
  <dcterms:modified xsi:type="dcterms:W3CDTF">2026-05-07T14:00:00Z</dcterms:modified>
</cp:coreProperties>
</file>