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One Film, Many Futures - Haxan / Häxan (1922)</w:t>
      </w:r>
    </w:p>
    <w:p>
      <w:pPr>
        <w:pStyle w:val="Subtitle"/>
      </w:pPr>
      <w:r>
        <w:t>Group 28 Datasheet Report</w:t>
      </w:r>
    </w:p>
    <w:p>
      <w:pPr>
        <w:pStyle w:val="Heading1"/>
      </w:pPr>
      <w:r>
        <w:t>Film and Rationale</w:t>
      </w:r>
    </w:p>
    <w:p>
      <w:r>
        <w:t>The selected film is Haxan / Häxan (1922), directed by Benjamin Christensen. It is a silent Swedish-Danish horror essay film that combines lecture, staged historical reenactment, occult imagery and early special effects. The film is appropriate for the project because it exposes how a single film can generate many computational futures: archival dataset, annotation problem, object-detection stress test and critical media artwork.</w:t>
      </w:r>
    </w:p>
    <w:p>
      <w:pPr>
        <w:pStyle w:val="Heading1"/>
      </w:pPr>
      <w:r>
        <w:t>Dataset Aim</w:t>
      </w:r>
    </w:p>
    <w:p>
      <w:r>
        <w:t>The dataset is designed as a curated frame collection for studying motifs such as accusation, religious authority, demonological spectacle, medical explanation, diagrams, books, crowds, domestic fear and special effects. It should not be treated as neutral evidence. It is a selective interpretation of a historical film.</w:t>
      </w:r>
    </w:p>
    <w:p>
      <w:pPr>
        <w:pStyle w:val="Heading1"/>
      </w:pPr>
      <w:r>
        <w:t>Collection and Curation</w:t>
      </w:r>
    </w:p>
    <w:p>
      <w:r>
        <w:t>Frames are extracted from a lawful source copy of the film with the preprocessing script. The recommended interval is one frame every ten seconds. The script creates a curation log with technical metrics such as brightness, contrast, blur score and duplicate distance. Human reviewers then keep the most informative frames and remove black frames, near-duplicates and low-information frames.</w:t>
      </w:r>
    </w:p>
    <w:p>
      <w:pPr>
        <w:pStyle w:val="Heading1"/>
      </w:pPr>
      <w:r>
        <w:t>Annotation</w:t>
      </w:r>
    </w:p>
    <w:p>
      <w:r>
        <w:t>The annotation schema uses one primary visual motif label, optional secondary labels, one narrative/function label, confidence, context requirement and annotator notes. The taxonomy is documented in docs/taxonomy.md and the annotation rules are documented in docs/labeling_guidelines.md.</w:t>
      </w:r>
    </w:p>
    <w:p>
      <w:pPr>
        <w:pStyle w:val="Heading1"/>
      </w:pPr>
      <w:r>
        <w:t>Sensitive Content and Bias</w:t>
      </w:r>
    </w:p>
    <w:p>
      <w:r>
        <w:t>The film includes persecution, torture, religious power, sexualized accusation, demonological imagery and historical framing of mental illness. Labels describe the film representation, not reality. For example, witch_accused_woman means that the film frames a person as accused or suspected; it is not a factual claim about identity.</w:t>
      </w:r>
    </w:p>
    <w:p>
      <w:pPr>
        <w:pStyle w:val="Heading1"/>
      </w:pPr>
      <w:r>
        <w:t>Rights and Source</w:t>
      </w:r>
    </w:p>
    <w:p>
      <w:r>
        <w:t>The film was released in 1922 and many online copies circulate under public-domain claims. The group must record the exact source URL, access date and version used. Restorations, new scores, narration tracks and translated editions may carry separate rights. The current recommendation is to use a verified Internet Archive or institutional source and document it in docs/source_rights_memo.md.</w:t>
      </w:r>
    </w:p>
    <w:p>
      <w:pPr>
        <w:pStyle w:val="Heading1"/>
      </w:pPr>
      <w:r>
        <w:t>Quality Control</w:t>
      </w:r>
    </w:p>
    <w:p>
      <w:r>
        <w:t>The project includes templates for metadata, annotations, double annotation and YOLO audit results. A sample of frames should be double-annotated and disagreements should be resolved in data/double_annotation_log.csv. An optional object-detection audit should record what a contemporary model misses or misreads in silent archival cinema.</w:t>
      </w:r>
    </w:p>
    <w:p>
      <w:pPr>
        <w:pStyle w:val="Heading1"/>
      </w:pPr>
      <w:r>
        <w:t>Current Limitation</w:t>
      </w:r>
    </w:p>
    <w:p>
      <w:r>
        <w:t>The workspace did not include the actual film video file, so the repository contains the completed documentation and ready-to-fill templates rather than extracted frame images. To finish the empirical dataset, add film.mp4, run the extraction script, manually curate the frames and complete the annotation files.</w:t>
      </w:r>
    </w:p>
    <w:sectPr>
      <w:pgSz w:w="11906" w:h="16838"/>
      <w:pgMar w:top="1440" w:right="1440" w:bottom="1440" w:left="1440"/>
    </w:sectPr>
  </w:body>
</w:document>
</file>

<file path=word/styles.xml><?xml version="1.0" encoding="utf-8"?>
<w:styles xmlns:w="http://schemas.openxmlformats.org/wordprocessingml/2006/main">
  <w:style w:type="paragraph" w:styleId="Title">
    <w:name w:val="Title"/>
    <w:rPr>
      <w:b/>
      <w:sz w:val="36"/>
    </w:rPr>
  </w:style>
  <w:style w:type="paragraph" w:styleId="Subtitle">
    <w:name w:val="Subtitle"/>
    <w:rPr>
      <w:i/>
      <w:sz w:val="24"/>
    </w:rPr>
  </w:style>
  <w:style w:type="paragraph" w:styleId="Heading1">
    <w:name w:val="heading 1"/>
    <w:rPr>
      <w:b/>
      <w:sz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