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825EE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825EE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F7D58">
      <w:pPr>
        <w:pStyle w:val="Podnaslov"/>
        <w:rPr>
          <w:sz w:val="20"/>
          <w:lang w:val="sr-Latn-RS"/>
        </w:rPr>
      </w:pPr>
      <w:bookmarkStart w:id="14" w:name="_Toc67492062"/>
      <w:r w:rsidRPr="00962463">
        <w:rPr>
          <w:sz w:val="20"/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7C9D36C6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AB8F10B" w:rsidR="00C61D8F" w:rsidRDefault="00962463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</w:t>
      </w:r>
      <w:r w:rsidR="00C61D8F">
        <w:rPr>
          <w:szCs w:val="12"/>
        </w:rPr>
        <w:t>.a</w:t>
      </w:r>
      <w:r w:rsidR="00040E82">
        <w:rPr>
          <w:szCs w:val="12"/>
        </w:rPr>
        <w:t xml:space="preserve"> </w:t>
      </w:r>
      <w:r>
        <w:rPr>
          <w:szCs w:val="12"/>
        </w:rPr>
        <w:t>Nema dovoljno tokena za postavljanje kombinacije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F76DD1">
      <w:pPr>
        <w:pStyle w:val="ListParagraph"/>
        <w:tabs>
          <w:tab w:val="left" w:pos="937"/>
          <w:tab w:val="left" w:pos="938"/>
        </w:tabs>
        <w:ind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C9384" w14:textId="77777777" w:rsidR="00825EE9" w:rsidRDefault="00825EE9">
      <w:r>
        <w:separator/>
      </w:r>
    </w:p>
  </w:endnote>
  <w:endnote w:type="continuationSeparator" w:id="0">
    <w:p w14:paraId="477A7429" w14:textId="77777777" w:rsidR="00825EE9" w:rsidRDefault="0082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242C3" w14:textId="77777777" w:rsidR="00825EE9" w:rsidRDefault="00825EE9">
      <w:r>
        <w:separator/>
      </w:r>
    </w:p>
  </w:footnote>
  <w:footnote w:type="continuationSeparator" w:id="0">
    <w:p w14:paraId="3BA3FB74" w14:textId="77777777" w:rsidR="00825EE9" w:rsidRDefault="00825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825EE9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E30E6"/>
    <w:rsid w:val="0014583F"/>
    <w:rsid w:val="001F7D58"/>
    <w:rsid w:val="002002EF"/>
    <w:rsid w:val="002B7617"/>
    <w:rsid w:val="00547CED"/>
    <w:rsid w:val="005D564A"/>
    <w:rsid w:val="0067036C"/>
    <w:rsid w:val="007963D7"/>
    <w:rsid w:val="007C59D9"/>
    <w:rsid w:val="00825EE9"/>
    <w:rsid w:val="00911E58"/>
    <w:rsid w:val="00920828"/>
    <w:rsid w:val="00962463"/>
    <w:rsid w:val="009A25A3"/>
    <w:rsid w:val="00AC18BA"/>
    <w:rsid w:val="00C61D8F"/>
    <w:rsid w:val="00C71055"/>
    <w:rsid w:val="00CE2358"/>
    <w:rsid w:val="00DA3389"/>
    <w:rsid w:val="00DB5A13"/>
    <w:rsid w:val="00F76DD1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12</cp:revision>
  <dcterms:created xsi:type="dcterms:W3CDTF">2021-03-24T12:59:00Z</dcterms:created>
  <dcterms:modified xsi:type="dcterms:W3CDTF">2021-03-27T17:21:00Z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