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13D2807D" w14:textId="77777777" w:rsidR="00F266B2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5830A1CE" w14:textId="3A8C6DBD" w:rsidR="00D16F25" w:rsidRDefault="009442DB" w:rsidP="00A81454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</w:t>
      </w:r>
      <w:r w:rsidR="00A81454">
        <w:rPr>
          <w:rFonts w:eastAsia="Helvetica" w:cs="Times New Roman"/>
          <w:bCs/>
          <w:sz w:val="22"/>
          <w:szCs w:val="22"/>
          <w:lang w:val="en-US"/>
        </w:rPr>
        <w:t xml:space="preserve">silicon probe recordings,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24749B7B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4D495E">
        <w:rPr>
          <w:rFonts w:eastAsia="Helvetica" w:cs="Times New Roman"/>
          <w:sz w:val="20"/>
          <w:szCs w:val="20"/>
          <w:lang w:val="en-US"/>
        </w:rPr>
        <w:t>424</w:t>
      </w:r>
      <w:bookmarkStart w:id="0" w:name="_GoBack"/>
      <w:bookmarkEnd w:id="0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4D495E">
        <w:rPr>
          <w:rFonts w:eastAsia="Helvetica" w:cs="Times New Roman"/>
          <w:sz w:val="20"/>
          <w:szCs w:val="20"/>
          <w:lang w:val="en-US"/>
        </w:rPr>
        <w:t>6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8FBE477" w14:textId="6D2167E3" w:rsidR="001F0314" w:rsidRPr="001F0314" w:rsidRDefault="001F0314" w:rsidP="001F0314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centromedial amygdala inhibitory synapses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8C17F3">
        <w:rPr>
          <w:rFonts w:eastAsia="Helvetica" w:cs="Times New Roman"/>
          <w:b/>
          <w:bCs/>
          <w:sz w:val="20"/>
          <w:szCs w:val="20"/>
          <w:lang w:val="en-US"/>
        </w:rPr>
        <w:t>Nature Communications, 2018</w:t>
      </w:r>
    </w:p>
    <w:p w14:paraId="2271720F" w14:textId="77777777" w:rsid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Babaev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Cruces-Solis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Chatain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CP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Hammer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Wenger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S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Ali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1F0314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de Hoz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L, 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Yanagawa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24C3B919" w14:textId="04D731A3" w:rsidR="002B3DD9" w:rsidRPr="00A54C78" w:rsidRDefault="00A54C78" w:rsidP="00A54C78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2B3DD9" w:rsidRPr="00A54C78">
        <w:rPr>
          <w:rFonts w:eastAsia="Helvetica" w:cs="Times New Roman"/>
          <w:bCs/>
          <w:sz w:val="20"/>
          <w:szCs w:val="20"/>
          <w:lang w:val="en-US"/>
        </w:rPr>
        <w:tab/>
      </w:r>
      <w:r w:rsidR="00132BE2"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r w:rsidR="002B3DD9"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63F2A1BF" w14:textId="602FA085" w:rsidR="002B3DD9" w:rsidRPr="002B3DD9" w:rsidRDefault="002B3DD9" w:rsidP="002B3DD9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</w:t>
      </w:r>
      <w:r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 Courtin J</w:t>
      </w:r>
      <w:r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sz w:val="20"/>
          <w:szCs w:val="20"/>
          <w:lang w:val="en-US"/>
        </w:rPr>
        <w:t>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625DE154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 Dejean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 Chaudun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576CF718" w14:textId="1157750B" w:rsidR="009E3D79" w:rsidRPr="00CD6BC3" w:rsidRDefault="00DF3DC0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28CD303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iCs/>
          <w:sz w:val="20"/>
          <w:szCs w:val="20"/>
          <w:lang w:val="en-US"/>
        </w:rPr>
        <w:t>Neuronal synchrony and oscillatory coupling</w:t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FENS-Hertie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6DF4D931" w14:textId="33C2CC30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13C1C642" w:rsidR="00003C89" w:rsidRPr="00656BFF" w:rsidRDefault="00860EBF" w:rsidP="00860EBF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lastRenderedPageBreak/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6F87BBBB" w14:textId="0A0B916F" w:rsidR="00523B92" w:rsidRPr="00D423EE" w:rsidRDefault="00E1028A" w:rsidP="0062384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77794"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 w:rsidR="00A77794">
        <w:rPr>
          <w:rFonts w:eastAsia="Helvetica" w:cs="Times New Roman"/>
          <w:bCs/>
          <w:sz w:val="20"/>
          <w:szCs w:val="20"/>
          <w:lang w:val="en-US"/>
        </w:rPr>
        <w:t>CAJAL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</w:t>
      </w:r>
      <w:r w:rsidR="00523B92" w:rsidRPr="00D423EE">
        <w:rPr>
          <w:rFonts w:eastAsia="Helvetica" w:cs="Times New Roman"/>
          <w:bCs/>
          <w:sz w:val="20"/>
          <w:szCs w:val="20"/>
          <w:lang w:val="en-US"/>
        </w:rPr>
        <w:t>Biosensors and actuators for cellular and systems neuroscience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>, Bordeaux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FENS-Hertie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Behaviour</w:t>
      </w:r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6B6CE8B6" w:rsidR="00003C89" w:rsidRDefault="00003C89" w:rsidP="00CE472E">
      <w:pPr>
        <w:ind w:left="1134" w:hanging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6E258687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Tutoring  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135080" w:rsidRDefault="00135080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1E63C3" w:rsidRPr="003F0DB5" w14:paraId="7A10F9B2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EF3EC1" w14:paraId="00E072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1E63C3" w:rsidRPr="00D011A3" w14:paraId="49259B7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34D7780F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1E63C3" w:rsidRPr="003F0DB5" w14:paraId="4184409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B2D9DC8" w14:textId="77777777" w:rsidR="00D4074D" w:rsidRPr="002C408C" w:rsidRDefault="00D4074D" w:rsidP="00D4074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2C408C">
        <w:rPr>
          <w:rFonts w:eastAsia="Helvetica" w:cs="Times New Roman"/>
          <w:bCs/>
          <w:sz w:val="20"/>
          <w:szCs w:val="20"/>
          <w:lang w:val="en-US"/>
        </w:rPr>
        <w:t>FENS-Hertie Winter School – Neural Control of Instinctive and Innate Behaviour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243B3B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350614EB" w14:textId="3243FF49" w:rsidR="00003C89" w:rsidRPr="00EC01FF" w:rsidRDefault="00003C89" w:rsidP="00860EBF">
      <w:pPr>
        <w:ind w:left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455D4DCB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lastRenderedPageBreak/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6FE39AB" w14:textId="77777777" w:rsidR="00860EBF" w:rsidRPr="00EC01FF" w:rsidRDefault="00860EBF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Industrial Problem Solving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2AEBD" w14:textId="77777777" w:rsidR="000F4657" w:rsidRDefault="000F4657" w:rsidP="00A55155">
      <w:r>
        <w:separator/>
      </w:r>
    </w:p>
  </w:endnote>
  <w:endnote w:type="continuationSeparator" w:id="0">
    <w:p w14:paraId="1B1DE0A4" w14:textId="77777777" w:rsidR="000F4657" w:rsidRDefault="000F4657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5EBD2" w14:textId="77777777" w:rsidR="000F4657" w:rsidRDefault="000F4657" w:rsidP="00A55155">
      <w:r>
        <w:separator/>
      </w:r>
    </w:p>
  </w:footnote>
  <w:footnote w:type="continuationSeparator" w:id="0">
    <w:p w14:paraId="52CCC2F3" w14:textId="77777777" w:rsidR="000F4657" w:rsidRDefault="000F4657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5285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77794"/>
    <w:rsid w:val="00A81454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438B4-B30C-E944-86A6-BAB331E4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3697</Words>
  <Characters>21079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24727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28</cp:revision>
  <cp:lastPrinted>2018-02-02T16:37:00Z</cp:lastPrinted>
  <dcterms:created xsi:type="dcterms:W3CDTF">2018-08-24T20:32:00Z</dcterms:created>
  <dcterms:modified xsi:type="dcterms:W3CDTF">2018-12-21T07:32:00Z</dcterms:modified>
</cp:coreProperties>
</file>