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</w:pPr>
      <w:r>
        <w:t>Windows 2.0 Hypercube</w:t>
        <w:br/>
        <w:t>walkthrough</w:t>
      </w:r>
    </w:p>
    <w:p>
      <w:pPr>
        <w:pStyle w:val="Subtitle"/>
      </w:pPr>
      <w:r>
        <w:t>Fuel cost and tax response matrix</w:t>
      </w:r>
    </w:p>
    <w:p>
      <w:r>
        <w:t>Create a two-axis fuel-cost and fuel-tax experiment, generate nine cases, run them through the native Windows queue, and inspect the completed response matrix. Learn the difference between exporting an analysis and exporting a case package.</w:t>
      </w:r>
    </w:p>
    <w:p>
      <w:pPr>
        <w:pStyle w:val="Heading2"/>
        <w:keepLines/>
      </w:pPr>
      <w:r>
        <w:t>Before you begin</w:t>
      </w:r>
    </w:p>
    <w:p>
      <w:pPr>
        <w:keepLines/>
      </w:pPr>
      <w:r>
        <w:t>Use a verified native runtime, the PlanRVA model package, and a workspace with enough space for the completed Datastores. Windows runs one model job at a time. Start with a small matrix, especially on a computer with less than 16 GB of RAM.</w:t>
      </w:r>
    </w:p>
    <w:p>
      <w:pPr>
        <w:pStyle w:val="Heading2"/>
        <w:keepLines/>
      </w:pPr>
      <w:r>
        <w:t>Watch alongside this guide</w:t>
      </w:r>
    </w:p>
    <w:p>
      <w:hyperlink r:id="rId8">
        <w:r>
          <w:rPr>
            <w:color w:val="0B5FA5"/>
            <w:u w:val="single"/>
          </w:rPr>
          <w:t>Hypercube Walkthrough on Windows</w:t>
        </w:r>
      </w:hyperlink>
    </w:p>
    <w:p>
      <w:hyperlink r:id="rId9">
        <w:r>
          <w:rPr>
            <w:color w:val="0B5FA5"/>
            <w:u w:val="single"/>
          </w:rPr>
          <w:t>Windows resources and companion guides</w:t>
        </w:r>
      </w:hyperlink>
    </w:p>
    <w:p>
      <w:hyperlink r:id="rId10">
        <w:r>
          <w:rPr>
            <w:color w:val="0B5FA5"/>
            <w:u w:val="single"/>
          </w:rPr>
          <w:t>Download PlanRVA 2.0</w:t>
        </w:r>
      </w:hyperlink>
    </w:p>
    <w:p>
      <w:hyperlink r:id="rId11">
        <w:r>
          <w:rPr>
            <w:color w:val="0B5FA5"/>
            <w:u w:val="single"/>
          </w:rPr>
          <w:t>Full Windows User Guide</w:t>
        </w:r>
      </w:hyperlink>
    </w:p>
    <w:p>
      <w:pPr>
        <w:pStyle w:val="Heading2"/>
        <w:keepLines/>
      </w:pPr>
      <w:r>
        <w:t>The final recorded experiment</w:t>
      </w:r>
    </w:p>
    <w:p>
      <w:pPr>
        <w:keepLines/>
      </w:pPr>
      <w:r>
        <w:t xml:space="preserve">Project </w:t>
      </w:r>
      <w:r>
        <w:rPr>
          <w:b/>
        </w:rPr>
        <w:t>Fuel Cost &amp; Tax</w:t>
      </w:r>
      <w:r>
        <w:t xml:space="preserve"> uses FuelCost.2024 and FuelTax.2024 with percentage increases of </w:t>
      </w:r>
      <w:r>
        <w:rPr>
          <w:b/>
        </w:rPr>
        <w:t>0, 25, and 50</w:t>
      </w:r>
      <w:r>
        <w:t xml:space="preserve"> on each axis, target year </w:t>
      </w:r>
      <w:r>
        <w:rPr>
          <w:b/>
        </w:rPr>
        <w:t>2045</w:t>
      </w:r>
      <w:r>
        <w:t>, and all matching rows. The final matrix is 3 × 3 = 9 cases. Earlier, larger previews in the recording are exploratory and are not the generated definition used here.</w:t>
      </w:r>
    </w:p>
    <w:p>
      <w:r>
        <w:br w:type="page"/>
      </w:r>
    </w:p>
    <w:p>
      <w:pPr>
        <w:pStyle w:val="Heading1"/>
      </w:pPr>
      <w:r>
        <w:t>Create a Hypercube project</w:t>
      </w:r>
    </w:p>
    <w:p>
      <w:pPr>
        <w:keepLines/>
      </w:pPr>
      <w:r>
        <w:rPr>
          <w:b/>
          <w:color w:val="0B5FA5"/>
        </w:rPr>
        <w:t xml:space="preserve">1. </w:t>
      </w:r>
      <w:r>
        <w:t xml:space="preserve">Open </w:t>
      </w:r>
      <w:r>
        <w:rPr>
          <w:b/>
        </w:rPr>
        <w:t>5 Hypercube → Build</w:t>
      </w:r>
      <w:r>
        <w:t xml:space="preserve"> or press </w:t>
      </w:r>
      <w:r>
        <w:rPr>
          <w:b/>
        </w:rPr>
        <w:t>Ctrl+5</w:t>
      </w:r>
      <w:r>
        <w:t xml:space="preserve">. Create a Hypercube project named </w:t>
      </w:r>
      <w:r>
        <w:rPr>
          <w:b/>
        </w:rPr>
        <w:t>Fuel Cost &amp; Tax</w:t>
      </w:r>
      <w:r>
        <w:t xml:space="preserve"> and choose the intended </w:t>
      </w:r>
      <w:r>
        <w:rPr>
          <w:b/>
        </w:rPr>
        <w:t>PlanRVA</w:t>
      </w:r>
      <w:r>
        <w:t xml:space="preserve"> model package and matching inputs.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1433424"/>
            <wp:docPr id="1" name="Picture 1" descr="Select the created Fuel Cost &amp; Tax project before defining the parameter ax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cube-52-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43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20"/>
        <w:jc w:val="center"/>
      </w:pPr>
      <w:r>
        <w:t>Figure 1. Select the created Fuel Cost &amp; Tax project before defining the parameter axes.</w:t>
      </w:r>
    </w:p>
    <w:p>
      <w:pPr>
        <w:keepLines/>
      </w:pPr>
      <w:r>
        <w:rPr>
          <w:b/>
          <w:color w:val="0B5FA5"/>
        </w:rPr>
        <w:t xml:space="preserve">2. </w:t>
      </w:r>
      <w:r>
        <w:t xml:space="preserve">Confirm the package before defining axes, and check the generated package provenance again in Review. Hypercube projects belong in </w:t>
      </w:r>
      <w:r>
        <w:rPr>
          <w:b/>
        </w:rPr>
        <w:t>5 Hypercube</w:t>
      </w:r>
      <w:r>
        <w:t xml:space="preserve">, while ordinary scenario projects are created in </w:t>
      </w:r>
      <w:r>
        <w:rPr>
          <w:b/>
        </w:rPr>
        <w:t>2 Create → Setup</w:t>
      </w:r>
      <w:r>
        <w:t>.</w:t>
      </w:r>
    </w:p>
    <w:p>
      <w:pPr>
        <w:keepLines/>
      </w:pPr>
      <w:r>
        <w:t xml:space="preserve">The project name is also the matrix name. Build changes save the draft automatically; saving a draft does not create cases. Wait for </w:t>
      </w:r>
      <w:r>
        <w:rPr>
          <w:b/>
        </w:rPr>
        <w:t>Saved</w:t>
      </w:r>
      <w:r>
        <w:t xml:space="preserve">, and resolve </w:t>
      </w:r>
      <w:r>
        <w:rPr>
          <w:b/>
        </w:rPr>
        <w:t>Not saved — Retry</w:t>
      </w:r>
      <w:r>
        <w:t xml:space="preserve"> before previewing or generating the experiment.</w:t>
      </w:r>
    </w:p>
    <w:p>
      <w:r>
        <w:br w:type="page"/>
      </w:r>
    </w:p>
    <w:p>
      <w:pPr>
        <w:pStyle w:val="Heading1"/>
      </w:pPr>
      <w:r>
        <w:t>Define the two parameter axes</w:t>
      </w:r>
    </w:p>
    <w:p>
      <w:pPr>
        <w:keepLines/>
      </w:pPr>
      <w:r>
        <w:rPr>
          <w:b/>
          <w:color w:val="0B5FA5"/>
        </w:rPr>
        <w:t xml:space="preserve">3. </w:t>
      </w:r>
      <w:r>
        <w:t xml:space="preserve">For the first axis choose </w:t>
      </w:r>
      <w:r>
        <w:rPr>
          <w:b/>
        </w:rPr>
        <w:t>azone_fuel_power_cost.csv</w:t>
      </w:r>
      <w:r>
        <w:t xml:space="preserve">, column </w:t>
      </w:r>
      <w:r>
        <w:rPr>
          <w:b/>
        </w:rPr>
        <w:t>FuelCost.2024</w:t>
      </w:r>
      <w:r>
        <w:t xml:space="preserve">, and </w:t>
      </w:r>
      <w:r>
        <w:rPr>
          <w:b/>
        </w:rPr>
        <w:t>Increase by %</w:t>
      </w:r>
      <w:r>
        <w:t xml:space="preserve">. For the second choose </w:t>
      </w:r>
      <w:r>
        <w:rPr>
          <w:b/>
        </w:rPr>
        <w:t>azone_veh_use_taxes.csv</w:t>
      </w:r>
      <w:r>
        <w:t xml:space="preserve">, column </w:t>
      </w:r>
      <w:r>
        <w:rPr>
          <w:b/>
        </w:rPr>
        <w:t>FuelTax.2024</w:t>
      </w:r>
      <w:r>
        <w:t>, with the same operation.</w:t>
      </w:r>
    </w:p>
    <w:p>
      <w:pPr>
        <w:keepLines/>
      </w:pPr>
      <w:r>
        <w:rPr>
          <w:b/>
          <w:color w:val="0B5FA5"/>
        </w:rPr>
        <w:t xml:space="preserve">4. </w:t>
      </w:r>
      <w:r>
        <w:t xml:space="preserve">Set </w:t>
      </w:r>
      <w:r>
        <w:rPr>
          <w:b/>
        </w:rPr>
        <w:t>Start 0</w:t>
      </w:r>
      <w:r>
        <w:t xml:space="preserve">, </w:t>
      </w:r>
      <w:r>
        <w:rPr>
          <w:b/>
        </w:rPr>
        <w:t>End 50</w:t>
      </w:r>
      <w:r>
        <w:t xml:space="preserve">, and </w:t>
      </w:r>
      <w:r>
        <w:rPr>
          <w:b/>
        </w:rPr>
        <w:t>Interval 25</w:t>
      </w:r>
      <w:r>
        <w:t xml:space="preserve"> for both axes. This produces the values 0, 25, and 50. Set the shared target year to </w:t>
      </w:r>
      <w:r>
        <w:rPr>
          <w:b/>
        </w:rPr>
        <w:t>2045</w:t>
      </w:r>
      <w:r>
        <w:t xml:space="preserve"> and geography to </w:t>
      </w:r>
      <w:r>
        <w:rPr>
          <w:b/>
        </w:rPr>
        <w:t>All matching rows</w:t>
      </w:r>
      <w:r>
        <w:t>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205785"/>
            <wp:docPr id="2" name="Picture 2" descr="The final Windows axis definition uses 0 to 50 at intervals of 25 for both paramet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cube-114-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05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20"/>
        <w:jc w:val="center"/>
      </w:pPr>
      <w:r>
        <w:t>Figure 2. The final Windows axis definition uses 0 to 50 at intervals of 25 for both parameters.</w:t>
      </w:r>
    </w:p>
    <w:p>
      <w:pPr>
        <w:keepLines/>
      </w:pPr>
      <w:r>
        <w:t>The shared year selects dated input rows; it does not change the model’s configured simulation years. All matching rows applies each combination to every compatible selected row without adding another geography dimension. If you choose a specific geography, select at least one location.</w:t>
      </w:r>
    </w:p>
    <w:p>
      <w:pPr>
        <w:keepLines/>
      </w:pPr>
      <w:r>
        <w:t>Windows 2.0 permits up to two axes, at most 20 generated values per axis, and at most 400 cases in a new or replacement definition. An interval must be at least 2. The nine-case example stays well within those limits.</w:t>
      </w:r>
    </w:p>
    <w:p>
      <w:r>
        <w:br w:type="page"/>
      </w:r>
    </w:p>
    <w:p>
      <w:pPr>
        <w:pStyle w:val="Heading1"/>
      </w:pPr>
      <w:r>
        <w:t>Preview the matrix before generating</w:t>
      </w:r>
    </w:p>
    <w:p>
      <w:pPr>
        <w:keepLines/>
      </w:pPr>
      <w:r>
        <w:rPr>
          <w:b/>
          <w:color w:val="0B5FA5"/>
        </w:rPr>
        <w:t xml:space="preserve">5. </w:t>
      </w:r>
      <w:r>
        <w:t xml:space="preserve">Choose </w:t>
      </w:r>
      <w:r>
        <w:rPr>
          <w:b/>
        </w:rPr>
        <w:t>Preview Matrix</w:t>
      </w:r>
      <w:r>
        <w:t xml:space="preserve"> after the definition is saved. Check every generated value, the shared scope, and the exact case count. For this example, two axes with three values each should produce </w:t>
      </w:r>
      <w:r>
        <w:rPr>
          <w:b/>
        </w:rPr>
        <w:t>9 scenarios</w:t>
      </w:r>
      <w:r>
        <w:t>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710661"/>
            <wp:docPr id="3" name="Picture 3" descr="Preview resolves the saved axis values into the final nine-case matrix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cube-116-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1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20"/>
        <w:jc w:val="center"/>
      </w:pPr>
      <w:r>
        <w:t>Figure 3. Preview resolves the saved axis values into the final nine-case matrix.</w:t>
      </w:r>
    </w:p>
    <w:p>
      <w:pPr>
        <w:keepLines/>
      </w:pPr>
      <w:r>
        <w:rPr>
          <w:b/>
          <w:color w:val="0B5FA5"/>
        </w:rPr>
        <w:t xml:space="preserve">6. </w:t>
      </w:r>
      <w:r>
        <w:t>Review detected RAM, free workspace space, the serialized execution estimate, and retained storage when available. Reduce the matrix if the experiment is too large for the time or storage available.</w:t>
      </w:r>
    </w:p>
    <w:p>
      <w:pPr>
        <w:keepLines/>
      </w:pPr>
      <w:r>
        <w:t>Windows executes one case at a time. Runtime and disk estimates depend on comparable runs on this computer and are provisional. Less than 16 GB of RAM prompts small-matrix guidance and closing other memory-intensive applications; RAM alone is not a technical block.</w:t>
      </w:r>
    </w:p>
    <w:p>
      <w:pPr>
        <w:keepLines/>
      </w:pPr>
      <w:r>
        <w:t>Preview does not create scenarios. Changing the saved draft requires a new preview so you can check the latest definition before generation.</w:t>
      </w:r>
    </w:p>
    <w:p>
      <w:r>
        <w:br w:type="page"/>
      </w:r>
    </w:p>
    <w:p>
      <w:pPr>
        <w:pStyle w:val="Heading1"/>
      </w:pPr>
      <w:r>
        <w:t>Generate scenarios and review provenance</w:t>
      </w:r>
    </w:p>
    <w:p>
      <w:pPr>
        <w:keepLines/>
      </w:pPr>
      <w:r>
        <w:rPr>
          <w:b/>
          <w:color w:val="0B5FA5"/>
        </w:rPr>
        <w:t xml:space="preserve">7. </w:t>
      </w:r>
      <w:r>
        <w:t xml:space="preserve">Choose </w:t>
      </w:r>
      <w:r>
        <w:rPr>
          <w:b/>
        </w:rPr>
        <w:t>Generate Scenarios</w:t>
      </w:r>
      <w:r>
        <w:t xml:space="preserve"> only when the preview is correct. Open </w:t>
      </w:r>
      <w:r>
        <w:rPr>
          <w:b/>
        </w:rPr>
        <w:t>Review</w:t>
      </w:r>
      <w:r>
        <w:t xml:space="preserve"> and confirm both axes, the generated values, case count, year, geography, and model provenance.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399968"/>
            <wp:docPr id="4" name="Picture 4" descr="Review confirms PlanRVA provenance and shows Windows’ single active native s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cube-132-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39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20"/>
        <w:jc w:val="center"/>
      </w:pPr>
      <w:r>
        <w:t>Figure 4. Review confirms PlanRVA provenance and shows Windows’ single active native slot.</w:t>
      </w:r>
    </w:p>
    <w:p>
      <w:pPr>
        <w:keepLines/>
      </w:pPr>
      <w:r>
        <w:rPr>
          <w:b/>
          <w:color w:val="0B5FA5"/>
        </w:rPr>
        <w:t xml:space="preserve">8. </w:t>
      </w:r>
      <w:r>
        <w:t xml:space="preserve">Verify </w:t>
      </w:r>
      <w:r>
        <w:rPr>
          <w:b/>
        </w:rPr>
        <w:t>PlanRVA</w:t>
      </w:r>
      <w:r>
        <w:t xml:space="preserve"> in the generated definition, </w:t>
      </w:r>
      <w:r>
        <w:rPr>
          <w:b/>
        </w:rPr>
        <w:t>2045</w:t>
      </w:r>
      <w:r>
        <w:t>, all matching rows, and the nine fuel-cost/tax combinations. The resource card describes this computer’s estimate rather than a universal run duration.</w:t>
      </w:r>
    </w:p>
    <w:p>
      <w:pPr>
        <w:keepLines/>
      </w:pPr>
      <w:r>
        <w:t>A generated definition can be replaced only before any case is submitted and before the project has results. After that point, create another Hypercube project for a changed experiment. Individual generated cases cannot be deleted without invalidating the matrix.</w:t>
      </w:r>
    </w:p>
    <w:p>
      <w:pPr>
        <w:keepLines/>
      </w:pPr>
      <w:r>
        <w:t>Keep the common baseline unchanged. A 0% / 0% case is still a generated case in the matrix; it does not remove the project’s common baseline.</w:t>
      </w:r>
    </w:p>
    <w:p>
      <w:r>
        <w:br w:type="page"/>
      </w:r>
    </w:p>
    <w:p>
      <w:pPr>
        <w:pStyle w:val="Heading1"/>
      </w:pPr>
      <w:r>
        <w:t>Run the matrix through the native queue</w:t>
      </w:r>
    </w:p>
    <w:p>
      <w:pPr>
        <w:keepLines/>
      </w:pPr>
      <w:r>
        <w:rPr>
          <w:b/>
          <w:color w:val="0B5FA5"/>
        </w:rPr>
        <w:t xml:space="preserve">9. </w:t>
      </w:r>
      <w:r>
        <w:t xml:space="preserve">Open </w:t>
      </w:r>
      <w:r>
        <w:rPr>
          <w:b/>
        </w:rPr>
        <w:t>Hypercube → Run</w:t>
      </w:r>
      <w:r>
        <w:t xml:space="preserve">, choose the project, and select </w:t>
      </w:r>
      <w:r>
        <w:rPr>
          <w:b/>
        </w:rPr>
        <w:t>Run Missing</w:t>
      </w:r>
      <w:r>
        <w:t>. Workbench queues only a missing baseline and missing cases. A fresh nine-case project can therefore require ten jobs including the baseline.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710661"/>
            <wp:docPr id="5" name="Picture 5" descr="The completed Windows batch reports nine succeeded cases and the baseline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cube-2382-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1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20"/>
        <w:jc w:val="center"/>
      </w:pPr>
      <w:r>
        <w:t>Figure 5. The Windows Run view tracks individual cases as the native batch progresses.</w:t>
      </w:r>
    </w:p>
    <w:p>
      <w:pPr>
        <w:keepLines/>
      </w:pPr>
      <w:r>
        <w:rPr>
          <w:b/>
          <w:color w:val="0B5FA5"/>
        </w:rPr>
        <w:t xml:space="preserve">10. </w:t>
      </w:r>
      <w:r>
        <w:t xml:space="preserve">Follow the batch totals, the active case, waiting jobs, and logs. Standard projects and Hypercubes share the native queue, with </w:t>
      </w:r>
      <w:r>
        <w:rPr>
          <w:b/>
        </w:rPr>
        <w:t>one active model job</w:t>
      </w:r>
      <w:r>
        <w:t>. Keep Workbench and the workspace drive available until the work finishes.</w:t>
      </w:r>
    </w:p>
    <w:p>
      <w:pPr>
        <w:keepLines/>
      </w:pPr>
      <w:r>
        <w:t xml:space="preserve">Use </w:t>
      </w:r>
      <w:r>
        <w:rPr>
          <w:b/>
        </w:rPr>
        <w:t>Retry Failed</w:t>
      </w:r>
      <w:r>
        <w:t xml:space="preserve"> for failed work. </w:t>
      </w:r>
      <w:r>
        <w:rPr>
          <w:b/>
        </w:rPr>
        <w:t>Stop This Hypercube</w:t>
      </w:r>
      <w:r>
        <w:t xml:space="preserve"> removes its waiting jobs and stops its owned active R process tree. Successful cases are not routinely rerun. Completed results retain authoritative Datastores and skip optional persistent full CSV export trees.</w:t>
      </w:r>
    </w:p>
    <w:p>
      <w:pPr>
        <w:keepLines/>
      </w:pPr>
      <w:r>
        <w:t>Run time varies; neither the video’s elapsed time nor its resource estimate is a promise for another computer. Analyze verified completed cases, and check baseline availability before interpreting changes.</w:t>
      </w:r>
    </w:p>
    <w:p>
      <w:r>
        <w:br w:type="page"/>
      </w:r>
    </w:p>
    <w:p>
      <w:pPr>
        <w:pStyle w:val="Heading1"/>
      </w:pPr>
      <w:r>
        <w:t>Find changes across outputs first</w:t>
      </w:r>
    </w:p>
    <w:p>
      <w:pPr>
        <w:keepLines/>
      </w:pPr>
      <w:r>
        <w:rPr>
          <w:b/>
          <w:color w:val="0B5FA5"/>
        </w:rPr>
        <w:t xml:space="preserve">11. </w:t>
      </w:r>
      <w:r>
        <w:t xml:space="preserve">Open </w:t>
      </w:r>
      <w:r>
        <w:rPr>
          <w:b/>
        </w:rPr>
        <w:t>Analyze</w:t>
      </w:r>
      <w:r>
        <w:t xml:space="preserve">. Set the </w:t>
      </w:r>
      <w:r>
        <w:rPr>
          <w:b/>
        </w:rPr>
        <w:t>Find All Changes</w:t>
      </w:r>
      <w:r>
        <w:t xml:space="preserve"> year to </w:t>
      </w:r>
      <w:r>
        <w:rPr>
          <w:b/>
        </w:rPr>
        <w:t>2045</w:t>
      </w:r>
      <w:r>
        <w:t xml:space="preserve"> and choose its aggregation deliberately; the Windows recording uses </w:t>
      </w:r>
      <w:r>
        <w:rPr>
          <w:b/>
        </w:rPr>
        <w:t>Median</w:t>
      </w:r>
      <w:r>
        <w:t>. Start the scan to discover sensitive outputs across completed cases.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710661"/>
            <wp:docPr id="6" name="Picture 6" descr="Hypercube Find All Changes reports output sensitivity across the completed experi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cube-2552-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1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20"/>
        <w:jc w:val="center"/>
      </w:pPr>
      <w:r>
        <w:t>Figure 6. Hypercube Find All Changes reports output sensitivity across the completed experiment.</w:t>
      </w:r>
    </w:p>
    <w:p>
      <w:pPr>
        <w:keepLines/>
      </w:pPr>
      <w:r>
        <w:rPr>
          <w:b/>
          <w:color w:val="0B5FA5"/>
        </w:rPr>
        <w:t xml:space="preserve">12. </w:t>
      </w:r>
      <w:r>
        <w:t>Search and rank the output list, or use the Scenarios view to compare cases across eligible outputs. Select an output to inspect its scenario-ranking details without another scan.</w:t>
      </w:r>
    </w:p>
    <w:p>
      <w:pPr>
        <w:keepLines/>
      </w:pPr>
      <w:r>
        <w:t>Find All Changes has its own Year and Aggregation controls, independent of the single-output response matrix. Sum measures totals, Mean the arithmetic average, and Median the middle row or location. Rankings measure sensitivity, not desirability.</w:t>
      </w:r>
    </w:p>
    <w:p>
      <w:pPr>
        <w:keepLines/>
      </w:pPr>
      <w:r>
        <w:t>A large or uncached scan can take time. Watch the progress and cancel if needed. Safe fingerprinted summaries can be reused; household, vehicle, and worker rows use aggregate distributions where IDs cannot be safely matched across runs.</w:t>
      </w:r>
    </w:p>
    <w:p>
      <w:r>
        <w:br w:type="page"/>
      </w:r>
    </w:p>
    <w:p>
      <w:pPr>
        <w:pStyle w:val="Heading1"/>
      </w:pPr>
      <w:r>
        <w:t>Explore the response matrix</w:t>
      </w:r>
    </w:p>
    <w:p>
      <w:pPr>
        <w:keepLines/>
      </w:pPr>
      <w:r>
        <w:rPr>
          <w:b/>
          <w:color w:val="0B5FA5"/>
        </w:rPr>
        <w:t xml:space="preserve">13. </w:t>
      </w:r>
      <w:r>
        <w:t xml:space="preserve">In </w:t>
      </w:r>
      <w:r>
        <w:rPr>
          <w:b/>
        </w:rPr>
        <w:t>Output and calculation</w:t>
      </w:r>
      <w:r>
        <w:t xml:space="preserve">, select </w:t>
      </w:r>
      <w:r>
        <w:rPr>
          <w:b/>
        </w:rPr>
        <w:t>2045</w:t>
      </w:r>
      <w:r>
        <w:t xml:space="preserve">, </w:t>
      </w:r>
      <w:r>
        <w:rPr>
          <w:b/>
        </w:rPr>
        <w:t>Household</w:t>
      </w:r>
      <w:r>
        <w:t xml:space="preserve">, </w:t>
      </w:r>
      <w:r>
        <w:rPr>
          <w:b/>
        </w:rPr>
        <w:t>AveVehCostPM</w:t>
      </w:r>
      <w:r>
        <w:t xml:space="preserve">, </w:t>
      </w:r>
      <w:r>
        <w:rPr>
          <w:b/>
        </w:rPr>
        <w:t>Percent change from baseline</w:t>
      </w:r>
      <w:r>
        <w:t xml:space="preserve">, and a deliberate aggregation. The recorded Windows control selection is </w:t>
      </w:r>
      <w:r>
        <w:rPr>
          <w:b/>
        </w:rPr>
        <w:t>Median</w:t>
      </w:r>
      <w:r>
        <w:t xml:space="preserve">. Choose </w:t>
      </w:r>
      <w:r>
        <w:rPr>
          <w:b/>
        </w:rPr>
        <w:t>All locations</w:t>
      </w:r>
      <w:r>
        <w:t xml:space="preserve">, X axis </w:t>
      </w:r>
      <w:r>
        <w:rPr>
          <w:b/>
        </w:rPr>
        <w:t>FuelCost.2024</w:t>
      </w:r>
      <w:r>
        <w:t xml:space="preserve">, and Y axis </w:t>
      </w:r>
      <w:r>
        <w:rPr>
          <w:b/>
        </w:rPr>
        <w:t>FuelTax.2024</w:t>
      </w:r>
      <w:r>
        <w:t xml:space="preserve">, then </w:t>
      </w:r>
      <w:r>
        <w:rPr>
          <w:b/>
        </w:rPr>
        <w:t>Update Analysis</w:t>
      </w:r>
      <w:r>
        <w:t>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710661"/>
            <wp:docPr id="7" name="Picture 7" descr="The response matrix contains one cell for each of the nine generated combin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cube-2930-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1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20"/>
        <w:jc w:val="center"/>
      </w:pPr>
      <w:r>
        <w:t>Figure 7. The response matrix contains one cell for each of the nine generated combinations.</w:t>
      </w:r>
    </w:p>
    <w:p>
      <w:pPr>
        <w:keepLines/>
      </w:pPr>
      <w:r>
        <w:rPr>
          <w:b/>
          <w:color w:val="0B5FA5"/>
        </w:rPr>
        <w:t xml:space="preserve">14. </w:t>
      </w:r>
      <w:r>
        <w:t>Select one cell for details or two cells for an in-place difference. Check the displayed case, values, metric, and units. A positive percentage describes an increase in the selected output; it does not establish that the policy is better.</w:t>
      </w:r>
    </w:p>
    <w:p>
      <w:pPr>
        <w:keepLines/>
      </w:pPr>
      <w:r/>
      <w:r>
        <w:rPr>
          <w:b/>
        </w:rPr>
        <w:t>Scenario ranking</w:t>
      </w:r>
      <w:r>
        <w:t xml:space="preserve"> offers a sortable alternative to the matrix. Zero-reference percentage changes are unavailable rather than infinite. Changing aggregation changes the question being answered, so use the same calculation when comparing figures.</w:t>
      </w:r>
    </w:p>
    <w:p>
      <w:pPr>
        <w:keepLines/>
      </w:pPr>
      <w:r>
        <w:t xml:space="preserve">Select a case before using </w:t>
      </w:r>
      <w:r>
        <w:rPr>
          <w:b/>
        </w:rPr>
        <w:t>Open Map</w:t>
      </w:r>
      <w:r>
        <w:t>. The map is a geographic drilldown of the selected case and output, rather than a new model run.</w:t>
      </w:r>
    </w:p>
    <w:p>
      <w:r>
        <w:br w:type="page"/>
      </w:r>
    </w:p>
    <w:p>
      <w:pPr>
        <w:pStyle w:val="Heading1"/>
      </w:pPr>
      <w:r>
        <w:t>Inspect a case on the map</w:t>
      </w:r>
    </w:p>
    <w:p>
      <w:pPr>
        <w:keepLines/>
      </w:pPr>
      <w:r>
        <w:rPr>
          <w:b/>
          <w:color w:val="0B5FA5"/>
        </w:rPr>
        <w:t xml:space="preserve">15. </w:t>
      </w:r>
      <w:r>
        <w:t xml:space="preserve">Select a matrix cell and choose </w:t>
      </w:r>
      <w:r>
        <w:rPr>
          <w:b/>
        </w:rPr>
        <w:t>Open Map</w:t>
      </w:r>
      <w:r>
        <w:t>. Confirm the case and common baseline, output table and variable, year, geography, aggregation, and metric in the map controls before generating the view.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710661"/>
            <wp:docPr id="8" name="Picture 8" descr="The selected Hypercube case can be inspected over the model package’s geograph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cube-2920-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1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20"/>
        <w:jc w:val="center"/>
      </w:pPr>
      <w:r>
        <w:t>Figure 8. The selected Hypercube case can be inspected over the model package’s geography.</w:t>
      </w:r>
    </w:p>
    <w:p>
      <w:pPr>
        <w:keepLines/>
      </w:pPr>
      <w:r>
        <w:rPr>
          <w:b/>
          <w:color w:val="0B5FA5"/>
        </w:rPr>
        <w:t xml:space="preserve">16. </w:t>
      </w:r>
      <w:r>
        <w:t xml:space="preserve">Inspect the legend and zones, then export the displayed analysis as </w:t>
      </w:r>
      <w:r>
        <w:rPr>
          <w:b/>
        </w:rPr>
        <w:t>PNG</w:t>
      </w:r>
      <w:r>
        <w:t xml:space="preserve">, </w:t>
      </w:r>
      <w:r>
        <w:rPr>
          <w:b/>
        </w:rPr>
        <w:t>SVG</w:t>
      </w:r>
      <w:r>
        <w:t xml:space="preserve">, </w:t>
      </w:r>
      <w:r>
        <w:rPr>
          <w:b/>
        </w:rPr>
        <w:t>PDF</w:t>
      </w:r>
      <w:r>
        <w:t xml:space="preserve">, </w:t>
      </w:r>
      <w:r>
        <w:rPr>
          <w:b/>
        </w:rPr>
        <w:t>CSV</w:t>
      </w:r>
      <w:r>
        <w:t xml:space="preserve">, or </w:t>
      </w:r>
      <w:r>
        <w:rPr>
          <w:b/>
        </w:rPr>
        <w:t>Excel</w:t>
      </w:r>
      <w:r>
        <w:t xml:space="preserve"> where offered. Check the exported title, case labels, year, units, aggregation, and scope.</w:t>
      </w:r>
    </w:p>
    <w:p>
      <w:pPr>
        <w:keepLines/>
      </w:pPr>
      <w:r>
        <w:t>Spatial results depend on the package’s geometry and the output’s location information. If a view initially shows a different default variable, reselect the intended output. Keep the map’s geographic averaging distinct from the matrix’s selected aggregation.</w:t>
      </w:r>
    </w:p>
    <w:p>
      <w:pPr>
        <w:keepLines/>
      </w:pPr>
      <w:r>
        <w:t>Analysis exports contain the displayed figure or data. They do not contain the complete resolved inputs and generated model-output tree. Use the separate Export workflow on the next page when sharing a reproducible case package.</w:t>
      </w:r>
    </w:p>
    <w:p>
      <w:r>
        <w:br w:type="page"/>
      </w:r>
    </w:p>
    <w:p>
      <w:pPr>
        <w:pStyle w:val="Heading1"/>
      </w:pPr>
      <w:r>
        <w:t>Export analysis or a case package</w:t>
      </w:r>
    </w:p>
    <w:p>
      <w:pPr>
        <w:keepLines/>
      </w:pPr>
      <w:r>
        <w:rPr>
          <w:b/>
          <w:color w:val="0B5FA5"/>
        </w:rPr>
        <w:t xml:space="preserve">17. </w:t>
      </w:r>
      <w:r>
        <w:t xml:space="preserve">For a response matrix or ranking, choose its </w:t>
      </w:r>
      <w:r>
        <w:rPr>
          <w:b/>
        </w:rPr>
        <w:t>PNG</w:t>
      </w:r>
      <w:r>
        <w:t xml:space="preserve">, </w:t>
      </w:r>
      <w:r>
        <w:rPr>
          <w:b/>
        </w:rPr>
        <w:t>SVG</w:t>
      </w:r>
      <w:r>
        <w:t xml:space="preserve">, </w:t>
      </w:r>
      <w:r>
        <w:rPr>
          <w:b/>
        </w:rPr>
        <w:t>PDF</w:t>
      </w:r>
      <w:r>
        <w:t xml:space="preserve">, </w:t>
      </w:r>
      <w:r>
        <w:rPr>
          <w:b/>
        </w:rPr>
        <w:t>CSV</w:t>
      </w:r>
      <w:r>
        <w:t xml:space="preserve">, or </w:t>
      </w:r>
      <w:r>
        <w:rPr>
          <w:b/>
        </w:rPr>
        <w:t>Excel</w:t>
      </w:r>
      <w:r>
        <w:t xml:space="preserve"> export. Review the generated file and retain its calculation settings with the result.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710661"/>
            <wp:docPr id="9" name="Picture 9" descr="Scenario ranking provides analysis export controls; a case ZIP uses the separate Export workf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cube-2940-8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1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20"/>
        <w:jc w:val="center"/>
      </w:pPr>
      <w:r>
        <w:t>Figure 9. Scenario ranking provides analysis export controls; a case ZIP uses the separate Export workflow.</w:t>
      </w:r>
    </w:p>
    <w:p>
      <w:pPr>
        <w:keepLines/>
      </w:pPr>
      <w:r>
        <w:rPr>
          <w:b/>
          <w:color w:val="0B5FA5"/>
        </w:rPr>
        <w:t xml:space="preserve">18. </w:t>
      </w:r>
      <w:r>
        <w:t xml:space="preserve">For a complete case package, open </w:t>
      </w:r>
      <w:r>
        <w:rPr>
          <w:b/>
        </w:rPr>
        <w:t>5 Hypercube → Export</w:t>
      </w:r>
      <w:r>
        <w:t>. Choose the common baseline or up to three verified completed cases per batch. Workbench queues each item separately and opens one Windows save dialog for each ZIP.</w:t>
      </w:r>
    </w:p>
    <w:p>
      <w:pPr>
        <w:keepLines/>
      </w:pPr>
      <w:r>
        <w:rPr>
          <w:b/>
          <w:color w:val="0B5FA5"/>
        </w:rPr>
        <w:t xml:space="preserve">19. </w:t>
      </w:r>
      <w:r>
        <w:t>Wait through preparation, temporary CSV generation, compression, and saving. Choose an export destination you can find in File Explorer. Check each ZIP’s manifest and included input/output files before sharing it.</w:t>
      </w:r>
    </w:p>
    <w:p>
      <w:pPr>
        <w:keepLines/>
      </w:pPr>
      <w:r>
        <w:t>A case ZIP contains the complete resolved input CSV set, generated output CSVs, and a manifest with project, case, axes, runtime, and fingerprints. It does not include the Datastore. Temporary generated CSVs are cleaned up after completion or cancellation. Keep a complete workspace backup separately if you need the authoritative results and internal state.</w:t>
      </w:r>
    </w:p>
    <w:sectPr w:rsidR="00715451" w:rsidSect="00034616">
      <w:headerReference w:type="default" r:id="rId52"/>
      <w:footerReference w:type="default" r:id="rId53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EF885B" w14:textId="77777777" w:rsidR="007E3C61" w:rsidRDefault="007E3C61">
      <w:pPr>
        <w:spacing w:after="0" w:line="240" w:lineRule="auto"/>
      </w:pPr>
      <w:r>
        <w:separator/>
      </w:r>
    </w:p>
  </w:endnote>
  <w:endnote w:type="continuationSeparator" w:id="0">
    <w:p w14:paraId="1DE6E648" w14:textId="77777777" w:rsidR="007E3C61" w:rsidRDefault="007E3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BFB2F" w14:textId="77777777" w:rsidR="00715451" w:rsidRDefault="00000000">
    <w:pPr>
      <w:pStyle w:val="Footer"/>
      <w:jc w:val="right"/>
    </w:pPr>
    <w:r>
      <w:t xml:space="preserve">Windows 2.0 guide    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A66FE5" w14:textId="77777777" w:rsidR="007E3C61" w:rsidRDefault="007E3C61">
      <w:pPr>
        <w:spacing w:after="0" w:line="240" w:lineRule="auto"/>
      </w:pPr>
      <w:r>
        <w:separator/>
      </w:r>
    </w:p>
  </w:footnote>
  <w:footnote w:type="continuationSeparator" w:id="0">
    <w:p w14:paraId="61223964" w14:textId="77777777" w:rsidR="007E3C61" w:rsidRDefault="007E3C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DC2825" w14:textId="77777777" w:rsidR="00715451" w:rsidRDefault="00000000">
    <w:pPr>
      <w:pStyle w:val="Caption"/>
    </w:pPr>
    <w:r>
      <w:t>VisionEval Workbench 2.0 • Windows 11 x64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485107">
    <w:abstractNumId w:val="8"/>
  </w:num>
  <w:num w:numId="2" w16cid:durableId="857625913">
    <w:abstractNumId w:val="6"/>
  </w:num>
  <w:num w:numId="3" w16cid:durableId="1791364277">
    <w:abstractNumId w:val="5"/>
  </w:num>
  <w:num w:numId="4" w16cid:durableId="561477707">
    <w:abstractNumId w:val="4"/>
  </w:num>
  <w:num w:numId="5" w16cid:durableId="302738193">
    <w:abstractNumId w:val="7"/>
  </w:num>
  <w:num w:numId="6" w16cid:durableId="1515221854">
    <w:abstractNumId w:val="3"/>
  </w:num>
  <w:num w:numId="7" w16cid:durableId="1695417666">
    <w:abstractNumId w:val="2"/>
  </w:num>
  <w:num w:numId="8" w16cid:durableId="264272305">
    <w:abstractNumId w:val="1"/>
  </w:num>
  <w:num w:numId="9" w16cid:durableId="1368024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29"/>
    <w:rsid w:val="0006063C"/>
    <w:rsid w:val="000F6AC5"/>
    <w:rsid w:val="0015074B"/>
    <w:rsid w:val="0026146C"/>
    <w:rsid w:val="0029639D"/>
    <w:rsid w:val="00326F90"/>
    <w:rsid w:val="00327989"/>
    <w:rsid w:val="00475CFD"/>
    <w:rsid w:val="004B41C3"/>
    <w:rsid w:val="006674C4"/>
    <w:rsid w:val="00684E9D"/>
    <w:rsid w:val="00715451"/>
    <w:rsid w:val="00783550"/>
    <w:rsid w:val="007C6BD9"/>
    <w:rsid w:val="007E3C61"/>
    <w:rsid w:val="009B7655"/>
    <w:rsid w:val="009C277F"/>
    <w:rsid w:val="00AA1D8D"/>
    <w:rsid w:val="00B47730"/>
    <w:rsid w:val="00BB4CBA"/>
    <w:rsid w:val="00CB0664"/>
    <w:rsid w:val="00CE1092"/>
    <w:rsid w:val="00D37882"/>
    <w:rsid w:val="00D54F60"/>
    <w:rsid w:val="00E15BCB"/>
    <w:rsid w:val="00ED179F"/>
    <w:rsid w:val="00F44AB4"/>
    <w:rsid w:val="00FA11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E1AB8"/>
  <w14:defaultImageDpi w14:val="300"/>
  <w15:docId w15:val="{92FF4362-0A58-9147-B6B1-6AFC10E2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232B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80"/>
      <w:outlineLvl w:val="0"/>
    </w:pPr>
    <w:rPr>
      <w:rFonts w:asciiTheme="majorHAnsi" w:eastAsiaTheme="majorEastAsia" w:hAnsiTheme="majorHAnsi" w:cstheme="majorBidi"/>
      <w:b/>
      <w:bCs/>
      <w:color w:val="173A5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B5FA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173A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/>
    </w:pPr>
    <w:rPr>
      <w:rFonts w:asciiTheme="majorHAnsi" w:eastAsiaTheme="majorEastAsia" w:hAnsiTheme="majorHAnsi" w:cstheme="majorBidi"/>
      <w:i/>
      <w:iCs/>
      <w:color w:val="0B5FA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B555F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8" Type="http://schemas.openxmlformats.org/officeDocument/2006/relationships/hyperlink" Target="https://www.youtube.com/watch?v=fzh1WA3Bkms" TargetMode="External"/><Relationship Id="rId9" Type="http://schemas.openxmlformats.org/officeDocument/2006/relationships/hyperlink" Target="https://sites.google.com/view/ve-workbench/documentation/windows-resources" TargetMode="External"/><Relationship Id="rId10" Type="http://schemas.openxmlformats.org/officeDocument/2006/relationships/hyperlink" Target="https://github.com/nikolasleeb/VisionEval-Workbench/releases/download/v2.0.0/planrva-2.0.zip" TargetMode="External"/><Relationship Id="rId11" Type="http://schemas.openxmlformats.org/officeDocument/2006/relationships/hyperlink" Target="https://github.com/nikolasleeb/VisionEval-Workbench/raw/refs/heads/main/windows/docs/user/VisionEval-Workbench-2.0-Windows-User-Guide.pdf" TargetMode="External"/><Relationship Id="rId12" Type="http://schemas.openxmlformats.org/officeDocument/2006/relationships/image" Target="media/image50.jpg"/><Relationship Id="rId13" Type="http://schemas.openxmlformats.org/officeDocument/2006/relationships/image" Target="media/image51.jpg"/><Relationship Id="rId14" Type="http://schemas.openxmlformats.org/officeDocument/2006/relationships/image" Target="media/image52.jpg"/><Relationship Id="rId15" Type="http://schemas.openxmlformats.org/officeDocument/2006/relationships/image" Target="media/image53.jpg"/><Relationship Id="rId16" Type="http://schemas.openxmlformats.org/officeDocument/2006/relationships/image" Target="media/image54.jpg"/><Relationship Id="rId17" Type="http://schemas.openxmlformats.org/officeDocument/2006/relationships/image" Target="media/image55.jpg"/><Relationship Id="rId18" Type="http://schemas.openxmlformats.org/officeDocument/2006/relationships/image" Target="media/image56.jpg"/><Relationship Id="rId19" Type="http://schemas.openxmlformats.org/officeDocument/2006/relationships/image" Target="media/image57.jpg"/><Relationship Id="rId20" Type="http://schemas.openxmlformats.org/officeDocument/2006/relationships/image" Target="media/image5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3190</Words>
  <Characters>18183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2.0 Hypercube walkthrough</dc:title>
  <dc:subject>VisionEval Workbench 2.0 Windows illustrated tutorial</dc:subject>
  <dc:creator>VisionEval Workbench</dc:creator>
  <cp:keywords>VisionEval, Workbench, Windows, 2.0</cp:keywords>
  <dc:description/>
  <cp:lastModifiedBy>Lee-Bishop, Nikolas - (nikolaslee)</cp:lastModifiedBy>
  <cp:revision>1</cp:revision>
  <dcterms:created xsi:type="dcterms:W3CDTF">2026-08-18T14:09:00Z</dcterms:created>
  <dcterms:modified xsi:type="dcterms:W3CDTF">2026-08-18T14:09:00Z</dcterms:modified>
  <cp:category/>
</cp:coreProperties>
</file>