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D6383" w14:textId="77777777" w:rsidR="00CF76AB" w:rsidRDefault="005C21DD" w:rsidP="005C21DD">
      <w:pPr>
        <w:jc w:val="center"/>
        <w:rPr>
          <w:rFonts w:ascii="Calibri" w:hAnsi="Calibri" w:cs="Calibri"/>
          <w:b/>
          <w:bCs/>
        </w:rPr>
      </w:pPr>
      <w:r w:rsidRPr="00EB0F0D">
        <w:rPr>
          <w:rFonts w:ascii="Calibri" w:hAnsi="Calibri" w:cs="Calibri"/>
          <w:b/>
          <w:bCs/>
        </w:rPr>
        <w:t xml:space="preserve">File </w:t>
      </w:r>
      <w:r w:rsidR="00CF76AB" w:rsidRPr="00CF76AB">
        <w:rPr>
          <w:rFonts w:ascii="Calibri" w:hAnsi="Calibri" w:cs="Calibri"/>
          <w:b/>
          <w:bCs/>
        </w:rPr>
        <w:t>02_azone_charging_availability</w:t>
      </w:r>
      <w:r w:rsidR="00CF76AB" w:rsidRPr="00CF76AB">
        <w:rPr>
          <w:rFonts w:ascii="Calibri" w:hAnsi="Calibri" w:cs="Calibri"/>
          <w:b/>
          <w:bCs/>
        </w:rPr>
        <w:t xml:space="preserve"> </w:t>
      </w:r>
    </w:p>
    <w:p w14:paraId="47F8069C" w14:textId="6CA831D4" w:rsidR="005C21DD" w:rsidRPr="00EB0F0D" w:rsidRDefault="005C21DD" w:rsidP="005C21DD">
      <w:pPr>
        <w:jc w:val="center"/>
        <w:rPr>
          <w:rFonts w:ascii="Calibri" w:hAnsi="Calibri" w:cs="Calibri"/>
          <w:b/>
          <w:bCs/>
        </w:rPr>
      </w:pPr>
      <w:r w:rsidRPr="00EB0F0D">
        <w:rPr>
          <w:rFonts w:ascii="Calibri" w:hAnsi="Calibri" w:cs="Calibri"/>
          <w:b/>
          <w:bCs/>
        </w:rPr>
        <w:t>April 1</w:t>
      </w:r>
      <w:r w:rsidR="00CF76AB">
        <w:rPr>
          <w:rFonts w:ascii="Calibri" w:hAnsi="Calibri" w:cs="Calibri"/>
          <w:b/>
          <w:bCs/>
        </w:rPr>
        <w:t>2</w:t>
      </w:r>
      <w:r w:rsidRPr="00EB0F0D">
        <w:rPr>
          <w:rFonts w:ascii="Calibri" w:hAnsi="Calibri" w:cs="Calibri"/>
          <w:b/>
          <w:bCs/>
        </w:rPr>
        <w:t>, 2026</w:t>
      </w:r>
    </w:p>
    <w:p w14:paraId="08505478" w14:textId="77777777" w:rsidR="005C21DD" w:rsidRPr="00EB0F0D" w:rsidRDefault="005C21DD" w:rsidP="005C21DD">
      <w:pPr>
        <w:tabs>
          <w:tab w:val="num" w:pos="720"/>
        </w:tabs>
        <w:spacing w:line="240" w:lineRule="auto"/>
        <w:rPr>
          <w:rFonts w:ascii="Calibri" w:hAnsi="Calibri" w:cs="Calibri"/>
          <w:b/>
          <w:bCs/>
        </w:rPr>
      </w:pPr>
      <w:r w:rsidRPr="00EB0F0D">
        <w:rPr>
          <w:rFonts w:ascii="Calibri" w:hAnsi="Calibri" w:cs="Calibri"/>
          <w:b/>
          <w:bCs/>
        </w:rPr>
        <w:t>Definition of the Input File</w:t>
      </w:r>
    </w:p>
    <w:p w14:paraId="11DA4858" w14:textId="77777777" w:rsidR="00CF76AB" w:rsidRDefault="005C21DD" w:rsidP="00CF76AB">
      <w:pPr>
        <w:tabs>
          <w:tab w:val="num" w:pos="720"/>
        </w:tabs>
        <w:rPr>
          <w:rFonts w:ascii="Calibri" w:hAnsi="Calibri" w:cs="Calibri"/>
        </w:rPr>
      </w:pPr>
      <w:r w:rsidRPr="00EB0F0D">
        <w:rPr>
          <w:rFonts w:ascii="Calibri" w:hAnsi="Calibri" w:cs="Calibri"/>
        </w:rPr>
        <w:tab/>
        <w:t>VisionEval (</w:t>
      </w:r>
      <w:hyperlink r:id="rId7" w:history="1">
        <w:r w:rsidRPr="00EB0F0D">
          <w:rPr>
            <w:rStyle w:val="Hyperlink"/>
            <w:rFonts w:ascii="Calibri" w:hAnsi="Calibri" w:cs="Calibri"/>
          </w:rPr>
          <w:t>https://visioneval.github.io/docs/model-inputs.html</w:t>
        </w:r>
      </w:hyperlink>
      <w:r w:rsidRPr="00EB0F0D">
        <w:rPr>
          <w:rFonts w:ascii="Calibri" w:hAnsi="Calibri" w:cs="Calibri"/>
        </w:rPr>
        <w:t xml:space="preserve">) explains that this file contains information on </w:t>
      </w:r>
      <w:r w:rsidR="00CF76AB">
        <w:rPr>
          <w:rFonts w:ascii="Calibri" w:hAnsi="Calibri" w:cs="Calibri"/>
        </w:rPr>
        <w:t>charging availability with respect to three proportions.  The guidance notes two very different indications for the first proportion and the latter two.</w:t>
      </w:r>
    </w:p>
    <w:p w14:paraId="50044C12" w14:textId="77777777" w:rsidR="00CF76AB" w:rsidRDefault="00CF76AB" w:rsidP="00CF76AB">
      <w:pPr>
        <w:pStyle w:val="ListParagraph"/>
        <w:numPr>
          <w:ilvl w:val="0"/>
          <w:numId w:val="4"/>
        </w:numPr>
        <w:rPr>
          <w:rFonts w:ascii="Calibri" w:hAnsi="Calibri" w:cs="Calibri"/>
        </w:rPr>
      </w:pPr>
      <w:r w:rsidRPr="00CF76AB">
        <w:rPr>
          <w:rFonts w:ascii="Calibri" w:hAnsi="Calibri" w:cs="Calibri"/>
        </w:rPr>
        <w:t>PropSFChargingAvail</w:t>
      </w:r>
      <w:r w:rsidRPr="00CF76AB">
        <w:rPr>
          <w:rFonts w:ascii="Calibri" w:hAnsi="Calibri" w:cs="Calibri"/>
        </w:rPr>
        <w:t xml:space="preserve"> is the proportion of </w:t>
      </w:r>
      <w:r w:rsidRPr="00CF76AB">
        <w:rPr>
          <w:rFonts w:ascii="Calibri" w:hAnsi="Calibri" w:cs="Calibri"/>
        </w:rPr>
        <w:t>single-family dwelling</w:t>
      </w:r>
      <w:r w:rsidRPr="00CF76AB">
        <w:rPr>
          <w:rFonts w:ascii="Calibri" w:hAnsi="Calibri" w:cs="Calibri"/>
        </w:rPr>
        <w:t xml:space="preserve"> units where EV </w:t>
      </w:r>
      <w:r w:rsidRPr="00CF76AB">
        <w:rPr>
          <w:rFonts w:ascii="Calibri" w:hAnsi="Calibri" w:cs="Calibri"/>
        </w:rPr>
        <w:t xml:space="preserve">charging facilities </w:t>
      </w:r>
      <w:r w:rsidRPr="00CF76AB">
        <w:rPr>
          <w:rFonts w:ascii="Calibri" w:hAnsi="Calibri" w:cs="Calibri"/>
        </w:rPr>
        <w:t xml:space="preserve">exist or </w:t>
      </w:r>
      <w:r w:rsidRPr="00CF76AB">
        <w:rPr>
          <w:rFonts w:ascii="Calibri" w:hAnsi="Calibri" w:cs="Calibri"/>
          <w:i/>
          <w:iCs/>
        </w:rPr>
        <w:t xml:space="preserve">can be </w:t>
      </w:r>
      <w:r w:rsidRPr="00CF76AB">
        <w:rPr>
          <w:rFonts w:ascii="Calibri" w:hAnsi="Calibri" w:cs="Calibri"/>
          <w:i/>
          <w:iCs/>
        </w:rPr>
        <w:t>installed</w:t>
      </w:r>
      <w:r w:rsidRPr="00CF76AB">
        <w:rPr>
          <w:rFonts w:ascii="Calibri" w:hAnsi="Calibri" w:cs="Calibri"/>
        </w:rPr>
        <w:t xml:space="preserve"> </w:t>
      </w:r>
    </w:p>
    <w:p w14:paraId="7C4CF764" w14:textId="2BE8F302" w:rsidR="00CF76AB" w:rsidRPr="00CF76AB" w:rsidRDefault="00CF76AB" w:rsidP="00CF76AB">
      <w:pPr>
        <w:pStyle w:val="ListParagraph"/>
        <w:numPr>
          <w:ilvl w:val="0"/>
          <w:numId w:val="4"/>
        </w:numPr>
        <w:rPr>
          <w:rFonts w:ascii="Calibri" w:hAnsi="Calibri" w:cs="Calibri"/>
        </w:rPr>
      </w:pPr>
      <w:r w:rsidRPr="00CF76AB">
        <w:rPr>
          <w:rFonts w:ascii="Calibri" w:hAnsi="Calibri" w:cs="Calibri"/>
        </w:rPr>
        <w:t xml:space="preserve">By </w:t>
      </w:r>
      <w:r w:rsidR="00F20118" w:rsidRPr="00CF76AB">
        <w:rPr>
          <w:rFonts w:ascii="Calibri" w:hAnsi="Calibri" w:cs="Calibri"/>
        </w:rPr>
        <w:t>contrast</w:t>
      </w:r>
      <w:r w:rsidRPr="00CF76AB">
        <w:rPr>
          <w:rFonts w:ascii="Calibri" w:hAnsi="Calibri" w:cs="Calibri"/>
        </w:rPr>
        <w:t xml:space="preserve">, the other two proportions, </w:t>
      </w:r>
      <w:r w:rsidRPr="00CF76AB">
        <w:rPr>
          <w:rFonts w:ascii="Calibri" w:hAnsi="Calibri" w:cs="Calibri"/>
        </w:rPr>
        <w:t>PropMFChargingAvail</w:t>
      </w:r>
      <w:r w:rsidRPr="00CF76AB">
        <w:rPr>
          <w:rFonts w:ascii="Calibri" w:hAnsi="Calibri" w:cs="Calibri"/>
        </w:rPr>
        <w:t xml:space="preserve"> and </w:t>
      </w:r>
      <w:r w:rsidRPr="00CF76AB">
        <w:rPr>
          <w:rFonts w:ascii="Calibri" w:hAnsi="Calibri" w:cs="Calibri"/>
        </w:rPr>
        <w:t>PropGQChargingAvail</w:t>
      </w:r>
      <w:r w:rsidRPr="00CF76AB">
        <w:rPr>
          <w:rFonts w:ascii="Calibri" w:hAnsi="Calibri" w:cs="Calibri"/>
        </w:rPr>
        <w:t>, are the p</w:t>
      </w:r>
      <w:r w:rsidRPr="00CF76AB">
        <w:rPr>
          <w:rFonts w:ascii="Calibri" w:hAnsi="Calibri" w:cs="Calibri"/>
        </w:rPr>
        <w:t>roportion of multifamily dwelling units</w:t>
      </w:r>
      <w:r w:rsidRPr="00CF76AB">
        <w:rPr>
          <w:rFonts w:ascii="Calibri" w:hAnsi="Calibri" w:cs="Calibri"/>
        </w:rPr>
        <w:t xml:space="preserve"> and </w:t>
      </w:r>
      <w:r w:rsidRPr="00CF76AB">
        <w:rPr>
          <w:rFonts w:ascii="Calibri" w:hAnsi="Calibri" w:cs="Calibri"/>
        </w:rPr>
        <w:t>group quarters dwelling units</w:t>
      </w:r>
      <w:r w:rsidRPr="00CF76AB">
        <w:rPr>
          <w:rFonts w:ascii="Calibri" w:hAnsi="Calibri" w:cs="Calibri"/>
        </w:rPr>
        <w:t xml:space="preserve"> that </w:t>
      </w:r>
      <w:r w:rsidRPr="00CF76AB">
        <w:rPr>
          <w:rFonts w:ascii="Calibri" w:hAnsi="Calibri" w:cs="Calibri"/>
          <w:i/>
          <w:iCs/>
        </w:rPr>
        <w:t>already have</w:t>
      </w:r>
      <w:r w:rsidRPr="00CF76AB">
        <w:rPr>
          <w:rFonts w:ascii="Calibri" w:hAnsi="Calibri" w:cs="Calibri"/>
        </w:rPr>
        <w:t xml:space="preserve"> </w:t>
      </w:r>
      <w:r w:rsidRPr="00CF76AB">
        <w:rPr>
          <w:rFonts w:ascii="Calibri" w:hAnsi="Calibri" w:cs="Calibri"/>
        </w:rPr>
        <w:t>charging facilities available</w:t>
      </w:r>
      <w:r>
        <w:rPr>
          <w:rFonts w:ascii="Calibri" w:hAnsi="Calibri" w:cs="Calibri"/>
        </w:rPr>
        <w:t>.</w:t>
      </w:r>
    </w:p>
    <w:p w14:paraId="7AE58D00" w14:textId="112F2692" w:rsidR="005C21DD" w:rsidRPr="00EB0F0D" w:rsidRDefault="005C21DD" w:rsidP="005C21DD">
      <w:pPr>
        <w:ind w:firstLine="720"/>
        <w:rPr>
          <w:rFonts w:ascii="Calibri" w:eastAsia="Calibri" w:hAnsi="Calibri" w:cs="Calibri"/>
          <w:color w:val="000000" w:themeColor="text1"/>
        </w:rPr>
      </w:pPr>
      <w:r w:rsidRPr="00EB0F0D">
        <w:rPr>
          <w:rFonts w:ascii="Calibri" w:eastAsia="Calibri" w:hAnsi="Calibri" w:cs="Calibri"/>
          <w:color w:val="000000" w:themeColor="text1"/>
        </w:rPr>
        <w:t xml:space="preserve">For example, the data below </w:t>
      </w:r>
      <w:proofErr w:type="gramStart"/>
      <w:r w:rsidRPr="00EB0F0D">
        <w:rPr>
          <w:rFonts w:ascii="Calibri" w:eastAsia="Calibri" w:hAnsi="Calibri" w:cs="Calibri"/>
          <w:color w:val="000000" w:themeColor="text1"/>
        </w:rPr>
        <w:t>suggest</w:t>
      </w:r>
      <w:proofErr w:type="gramEnd"/>
      <w:r w:rsidRPr="00EB0F0D">
        <w:rPr>
          <w:rFonts w:ascii="Calibri" w:eastAsia="Calibri" w:hAnsi="Calibri" w:cs="Calibri"/>
          <w:color w:val="000000" w:themeColor="text1"/>
        </w:rPr>
        <w:t xml:space="preserve"> that</w:t>
      </w:r>
      <w:r w:rsidR="00671D88">
        <w:rPr>
          <w:rFonts w:ascii="Calibri" w:eastAsia="Calibri" w:hAnsi="Calibri" w:cs="Calibri"/>
          <w:color w:val="000000" w:themeColor="text1"/>
        </w:rPr>
        <w:t xml:space="preserve"> 58% of single family detached dwelling units</w:t>
      </w:r>
      <w:r w:rsidRPr="00EB0F0D">
        <w:rPr>
          <w:rFonts w:ascii="Calibri" w:eastAsia="Calibri" w:hAnsi="Calibri" w:cs="Calibri"/>
          <w:color w:val="000000" w:themeColor="text1"/>
        </w:rPr>
        <w:t xml:space="preserve"> in Albemarle County and Charlottesville City </w:t>
      </w:r>
      <w:r w:rsidR="00671D88">
        <w:rPr>
          <w:rFonts w:ascii="Calibri" w:eastAsia="Calibri" w:hAnsi="Calibri" w:cs="Calibri"/>
          <w:color w:val="000000" w:themeColor="text1"/>
        </w:rPr>
        <w:t xml:space="preserve">can support charging of electric vehicles, compared to 30% of </w:t>
      </w:r>
      <w:r w:rsidR="00F20118">
        <w:rPr>
          <w:rFonts w:ascii="Calibri" w:eastAsia="Calibri" w:hAnsi="Calibri" w:cs="Calibri"/>
          <w:color w:val="000000" w:themeColor="text1"/>
        </w:rPr>
        <w:t>apartments</w:t>
      </w:r>
      <w:r w:rsidR="00671D88">
        <w:rPr>
          <w:rFonts w:ascii="Calibri" w:eastAsia="Calibri" w:hAnsi="Calibri" w:cs="Calibri"/>
          <w:color w:val="000000" w:themeColor="text1"/>
        </w:rPr>
        <w:t xml:space="preserve"> and 25% of college dormitories or other types of group quarters.  The baseline case is that these percentages will not change by 2045.</w:t>
      </w:r>
    </w:p>
    <w:p w14:paraId="35512A1C" w14:textId="4E3E1B79" w:rsidR="005C21DD" w:rsidRPr="00EB0F0D" w:rsidRDefault="00671D88" w:rsidP="005C21DD">
      <w:pPr>
        <w:rPr>
          <w:rFonts w:ascii="Calibri" w:hAnsi="Calibri" w:cs="Calibri"/>
        </w:rPr>
      </w:pPr>
      <w:r w:rsidRPr="00671D88">
        <w:rPr>
          <w:rFonts w:ascii="Calibri" w:hAnsi="Calibri" w:cs="Calibri"/>
        </w:rPr>
        <w:drawing>
          <wp:inline distT="0" distB="0" distL="0" distR="0" wp14:anchorId="3FB0CDA5" wp14:editId="7CCE00DD">
            <wp:extent cx="5220152" cy="937341"/>
            <wp:effectExtent l="0" t="0" r="0" b="0"/>
            <wp:docPr id="1029936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936620" name=""/>
                    <pic:cNvPicPr/>
                  </pic:nvPicPr>
                  <pic:blipFill>
                    <a:blip r:embed="rId8"/>
                    <a:stretch>
                      <a:fillRect/>
                    </a:stretch>
                  </pic:blipFill>
                  <pic:spPr>
                    <a:xfrm>
                      <a:off x="0" y="0"/>
                      <a:ext cx="5220152" cy="937341"/>
                    </a:xfrm>
                    <a:prstGeom prst="rect">
                      <a:avLst/>
                    </a:prstGeom>
                  </pic:spPr>
                </pic:pic>
              </a:graphicData>
            </a:graphic>
          </wp:inline>
        </w:drawing>
      </w:r>
    </w:p>
    <w:p w14:paraId="55900B48" w14:textId="77777777" w:rsidR="005C21DD" w:rsidRPr="00EB0F0D" w:rsidRDefault="005C21DD" w:rsidP="005C21DD">
      <w:pPr>
        <w:tabs>
          <w:tab w:val="num" w:pos="720"/>
        </w:tabs>
        <w:spacing w:line="240" w:lineRule="auto"/>
        <w:rPr>
          <w:rFonts w:ascii="Calibri" w:hAnsi="Calibri" w:cs="Calibri"/>
          <w:b/>
          <w:bCs/>
          <w:noProof/>
        </w:rPr>
      </w:pPr>
      <w:r w:rsidRPr="00EB0F0D">
        <w:rPr>
          <w:rFonts w:ascii="Calibri" w:hAnsi="Calibri" w:cs="Calibri"/>
          <w:b/>
          <w:bCs/>
          <w:noProof/>
        </w:rPr>
        <w:t>Possible Scenario</w:t>
      </w:r>
    </w:p>
    <w:p w14:paraId="3238081F" w14:textId="77777777" w:rsidR="00671D88" w:rsidRDefault="005C21DD" w:rsidP="005C21DD">
      <w:pPr>
        <w:tabs>
          <w:tab w:val="num" w:pos="720"/>
        </w:tabs>
        <w:spacing w:line="240" w:lineRule="auto"/>
        <w:rPr>
          <w:rFonts w:ascii="Calibri" w:hAnsi="Calibri" w:cs="Calibri"/>
          <w:noProof/>
        </w:rPr>
      </w:pPr>
      <w:r w:rsidRPr="00EB0F0D">
        <w:rPr>
          <w:rFonts w:ascii="Calibri" w:hAnsi="Calibri" w:cs="Calibri"/>
          <w:noProof/>
        </w:rPr>
        <w:tab/>
        <w:t xml:space="preserve">One possible scenario in VisionEval based on this input file is to examine how </w:t>
      </w:r>
      <w:r w:rsidR="00EB0F0D" w:rsidRPr="00EB0F0D">
        <w:rPr>
          <w:rFonts w:ascii="Calibri" w:hAnsi="Calibri" w:cs="Calibri"/>
          <w:noProof/>
        </w:rPr>
        <w:t xml:space="preserve">changes in </w:t>
      </w:r>
      <w:r w:rsidR="00CF76AB">
        <w:rPr>
          <w:rFonts w:ascii="Calibri" w:hAnsi="Calibri" w:cs="Calibri"/>
          <w:noProof/>
        </w:rPr>
        <w:t xml:space="preserve">charging availability may affect fuel consumption, emissions, or DVMT (if it is the case that VMT in an electric vehicle differs from VMT in a conventional vehicle).  </w:t>
      </w:r>
      <w:r w:rsidR="00EB0F0D" w:rsidRPr="00EB0F0D">
        <w:rPr>
          <w:rFonts w:ascii="Calibri" w:hAnsi="Calibri" w:cs="Calibri"/>
        </w:rPr>
        <w:t>The document Task 7.2 Simplified Scenario Development guide, available at </w:t>
      </w:r>
      <w:hyperlink r:id="rId9" w:tgtFrame="_blank" w:history="1">
        <w:r w:rsidR="00EB0F0D" w:rsidRPr="00EB0F0D">
          <w:rPr>
            <w:rStyle w:val="Hyperlink"/>
            <w:rFonts w:ascii="Calibri" w:hAnsi="Calibri" w:cs="Calibri"/>
          </w:rPr>
          <w:t>A Playbook for Simplified Approaches for Creating Scenarios in VisionEval</w:t>
        </w:r>
      </w:hyperlink>
      <w:r w:rsidR="00EB0F0D" w:rsidRPr="00EB0F0D">
        <w:rPr>
          <w:rFonts w:ascii="Calibri" w:hAnsi="Calibri" w:cs="Calibri"/>
        </w:rPr>
        <w:t>, explains that “</w:t>
      </w:r>
      <w:r w:rsidR="00CF76AB" w:rsidRPr="00CF76AB">
        <w:rPr>
          <w:rFonts w:ascii="Calibri" w:hAnsi="Calibri" w:cs="Calibri"/>
          <w:noProof/>
        </w:rPr>
        <w:t>Users can explore policies that may expand or reduce EV ownership in the model region, and how those may impact emissions or DVMT goals. Additionally, users can explore how changes in the energy profile or policies may impact EV emissions and charging.</w:t>
      </w:r>
      <w:r w:rsidR="00EB0F0D" w:rsidRPr="00EB0F0D">
        <w:rPr>
          <w:rFonts w:ascii="Calibri" w:hAnsi="Calibri" w:cs="Calibri"/>
          <w:noProof/>
        </w:rPr>
        <w:t>”</w:t>
      </w:r>
      <w:r w:rsidR="00671D88">
        <w:rPr>
          <w:rFonts w:ascii="Calibri" w:hAnsi="Calibri" w:cs="Calibri"/>
          <w:noProof/>
        </w:rPr>
        <w:t xml:space="preserve">  </w:t>
      </w:r>
    </w:p>
    <w:p w14:paraId="54E3F53D" w14:textId="77F7DEE2" w:rsidR="00EB0F0D" w:rsidRDefault="00671D88" w:rsidP="005C21DD">
      <w:pPr>
        <w:tabs>
          <w:tab w:val="num" w:pos="720"/>
        </w:tabs>
        <w:spacing w:line="240" w:lineRule="auto"/>
        <w:rPr>
          <w:rFonts w:ascii="Calibri" w:hAnsi="Calibri" w:cs="Calibri"/>
          <w:noProof/>
        </w:rPr>
      </w:pPr>
      <w:r>
        <w:rPr>
          <w:rFonts w:ascii="Calibri" w:hAnsi="Calibri" w:cs="Calibri"/>
          <w:noProof/>
        </w:rPr>
        <w:tab/>
        <w:t xml:space="preserve">For example, </w:t>
      </w:r>
      <w:r w:rsidR="00F20118">
        <w:rPr>
          <w:rFonts w:ascii="Calibri" w:hAnsi="Calibri" w:cs="Calibri"/>
          <w:noProof/>
        </w:rPr>
        <w:t>the U.S. Department of Energy (</w:t>
      </w:r>
      <w:hyperlink r:id="rId10" w:history="1">
        <w:r w:rsidR="00F20118" w:rsidRPr="00E533E7">
          <w:rPr>
            <w:rStyle w:val="Hyperlink"/>
            <w:rFonts w:ascii="Calibri" w:hAnsi="Calibri" w:cs="Calibri"/>
            <w:noProof/>
          </w:rPr>
          <w:t>https://afdc.energy.gov/fuels/electricity-charging-multi</w:t>
        </w:r>
      </w:hyperlink>
      <w:r w:rsidR="00F20118">
        <w:rPr>
          <w:rFonts w:ascii="Calibri" w:hAnsi="Calibri" w:cs="Calibri"/>
          <w:noProof/>
        </w:rPr>
        <w:t xml:space="preserve">) reports that homeowners associations and building managers can take steps to support charging stations.  A scenario could envision that if these steps were taken such that the proportion of multifamily units with charging stations increased from 30% to some other value, what would be the impact on emissions or fuel consumed? </w:t>
      </w:r>
    </w:p>
    <w:p w14:paraId="5F6769C6" w14:textId="77777777" w:rsidR="00671D88" w:rsidRDefault="00671D88" w:rsidP="005C21DD">
      <w:pPr>
        <w:tabs>
          <w:tab w:val="num" w:pos="720"/>
        </w:tabs>
        <w:spacing w:line="240" w:lineRule="auto"/>
        <w:rPr>
          <w:rFonts w:ascii="Calibri" w:hAnsi="Calibri" w:cs="Calibri"/>
          <w:noProof/>
        </w:rPr>
      </w:pPr>
    </w:p>
    <w:p w14:paraId="03D3C081" w14:textId="73BE7A96" w:rsidR="002E71F7" w:rsidRPr="00EB0F0D" w:rsidRDefault="002E71F7" w:rsidP="444B22A9">
      <w:pPr>
        <w:rPr>
          <w:rFonts w:ascii="Calibri" w:eastAsia="Calibri" w:hAnsi="Calibri" w:cs="Calibri"/>
          <w:b/>
          <w:bCs/>
          <w:color w:val="000000" w:themeColor="text1"/>
        </w:rPr>
      </w:pPr>
      <w:r w:rsidRPr="00EB0F0D">
        <w:rPr>
          <w:rFonts w:ascii="Calibri" w:eastAsia="Calibri" w:hAnsi="Calibri" w:cs="Calibri"/>
          <w:b/>
          <w:bCs/>
          <w:color w:val="000000" w:themeColor="text1"/>
        </w:rPr>
        <w:t>Method Used for Virginia</w:t>
      </w:r>
    </w:p>
    <w:p w14:paraId="4BC67099" w14:textId="55DBBD1B" w:rsidR="002E71F7" w:rsidRDefault="002E71F7" w:rsidP="444B22A9">
      <w:pPr>
        <w:rPr>
          <w:rFonts w:ascii="Calibri" w:eastAsia="Calibri" w:hAnsi="Calibri" w:cs="Calibri"/>
          <w:i/>
          <w:iCs/>
          <w:color w:val="000000" w:themeColor="text1"/>
        </w:rPr>
      </w:pPr>
      <w:r w:rsidRPr="00EB0F0D">
        <w:rPr>
          <w:rFonts w:ascii="Calibri" w:eastAsia="Calibri" w:hAnsi="Calibri" w:cs="Calibri"/>
          <w:i/>
          <w:iCs/>
          <w:color w:val="000000" w:themeColor="text1"/>
        </w:rPr>
        <w:t>Base Year</w:t>
      </w:r>
    </w:p>
    <w:p w14:paraId="0A123FBD" w14:textId="18570A72" w:rsidR="0038407B" w:rsidRDefault="0038407B" w:rsidP="444B22A9">
      <w:pPr>
        <w:rPr>
          <w:rFonts w:ascii="Calibri" w:eastAsia="Calibri" w:hAnsi="Calibri" w:cs="Calibri"/>
          <w:color w:val="000000" w:themeColor="text1"/>
        </w:rPr>
      </w:pPr>
      <w:r>
        <w:rPr>
          <w:rFonts w:ascii="Calibri" w:eastAsia="Calibri" w:hAnsi="Calibri" w:cs="Calibri"/>
          <w:color w:val="000000" w:themeColor="text1"/>
        </w:rPr>
        <w:lastRenderedPageBreak/>
        <w:t xml:space="preserve">There are a variety of literature sources regarding EV charging </w:t>
      </w:r>
      <w:proofErr w:type="gramStart"/>
      <w:r>
        <w:rPr>
          <w:rFonts w:ascii="Calibri" w:eastAsia="Calibri" w:hAnsi="Calibri" w:cs="Calibri"/>
          <w:color w:val="000000" w:themeColor="text1"/>
        </w:rPr>
        <w:t>facilities</w:t>
      </w:r>
      <w:proofErr w:type="gramEnd"/>
      <w:r>
        <w:rPr>
          <w:rFonts w:ascii="Calibri" w:eastAsia="Calibri" w:hAnsi="Calibri" w:cs="Calibri"/>
          <w:color w:val="000000" w:themeColor="text1"/>
        </w:rPr>
        <w:t xml:space="preserve"> but the research team did not find sources that </w:t>
      </w:r>
      <w:proofErr w:type="gramStart"/>
      <w:r>
        <w:rPr>
          <w:rFonts w:ascii="Calibri" w:eastAsia="Calibri" w:hAnsi="Calibri" w:cs="Calibri"/>
          <w:color w:val="000000" w:themeColor="text1"/>
        </w:rPr>
        <w:t>gives</w:t>
      </w:r>
      <w:proofErr w:type="gramEnd"/>
      <w:r>
        <w:rPr>
          <w:rFonts w:ascii="Calibri" w:eastAsia="Calibri" w:hAnsi="Calibri" w:cs="Calibri"/>
          <w:color w:val="000000" w:themeColor="text1"/>
        </w:rPr>
        <w:t xml:space="preserve"> these numbers for individual cities.  Rather, the following approach was used:</w:t>
      </w:r>
    </w:p>
    <w:p w14:paraId="190E3F43" w14:textId="03D5AF58" w:rsidR="006C7EC4" w:rsidRDefault="006C7EC4" w:rsidP="006C7EC4">
      <w:pPr>
        <w:pStyle w:val="ListParagraph"/>
        <w:numPr>
          <w:ilvl w:val="0"/>
          <w:numId w:val="6"/>
        </w:numPr>
        <w:rPr>
          <w:rFonts w:ascii="Calibri" w:eastAsia="Calibri" w:hAnsi="Calibri" w:cs="Calibri"/>
          <w:color w:val="000000" w:themeColor="text1"/>
        </w:rPr>
      </w:pPr>
      <w:r>
        <w:rPr>
          <w:rFonts w:ascii="Calibri" w:eastAsia="Calibri" w:hAnsi="Calibri" w:cs="Calibri"/>
          <w:color w:val="000000" w:themeColor="text1"/>
        </w:rPr>
        <w:t xml:space="preserve">For </w:t>
      </w:r>
      <w:r w:rsidR="00F20118">
        <w:rPr>
          <w:rFonts w:ascii="Calibri" w:eastAsia="Calibri" w:hAnsi="Calibri" w:cs="Calibri"/>
          <w:color w:val="000000" w:themeColor="text1"/>
        </w:rPr>
        <w:t>single</w:t>
      </w:r>
      <w:r>
        <w:rPr>
          <w:rFonts w:ascii="Calibri" w:eastAsia="Calibri" w:hAnsi="Calibri" w:cs="Calibri"/>
          <w:color w:val="000000" w:themeColor="text1"/>
        </w:rPr>
        <w:t xml:space="preserve"> family dwelling units, the research team used a figure of 58%, which was reported by </w:t>
      </w:r>
      <w:r w:rsidR="00723B6A">
        <w:rPr>
          <w:rFonts w:ascii="Calibri" w:eastAsia="Calibri" w:hAnsi="Calibri" w:cs="Calibri"/>
          <w:color w:val="000000" w:themeColor="text1"/>
        </w:rPr>
        <w:t>Inside EVs (2021)</w:t>
      </w:r>
      <w:r>
        <w:rPr>
          <w:rFonts w:ascii="Calibri" w:eastAsia="Calibri" w:hAnsi="Calibri" w:cs="Calibri"/>
          <w:color w:val="000000" w:themeColor="text1"/>
        </w:rPr>
        <w:t xml:space="preserve"> as the number of houses that could support a charger </w:t>
      </w:r>
      <w:proofErr w:type="gramStart"/>
      <w:r>
        <w:rPr>
          <w:rFonts w:ascii="Calibri" w:eastAsia="Calibri" w:hAnsi="Calibri" w:cs="Calibri"/>
          <w:color w:val="000000" w:themeColor="text1"/>
        </w:rPr>
        <w:t>based on the fact that</w:t>
      </w:r>
      <w:proofErr w:type="gramEnd"/>
      <w:r>
        <w:rPr>
          <w:rFonts w:ascii="Calibri" w:eastAsia="Calibri" w:hAnsi="Calibri" w:cs="Calibri"/>
          <w:color w:val="000000" w:themeColor="text1"/>
        </w:rPr>
        <w:t xml:space="preserve"> they have a garage.  Having a garage does not necessarily mean a house can support a charger as the </w:t>
      </w:r>
      <w:r w:rsidR="00F20118">
        <w:rPr>
          <w:rFonts w:ascii="Calibri" w:eastAsia="Calibri" w:hAnsi="Calibri" w:cs="Calibri"/>
          <w:color w:val="000000" w:themeColor="text1"/>
        </w:rPr>
        <w:t>wiring</w:t>
      </w:r>
      <w:r>
        <w:rPr>
          <w:rFonts w:ascii="Calibri" w:eastAsia="Calibri" w:hAnsi="Calibri" w:cs="Calibri"/>
          <w:color w:val="000000" w:themeColor="text1"/>
        </w:rPr>
        <w:t xml:space="preserve"> in the home must be ready (and indeed an outdoor plug without a garage can support a charger with proper wiring).</w:t>
      </w:r>
    </w:p>
    <w:p w14:paraId="3ADFCC98" w14:textId="77777777" w:rsidR="006C7EC4" w:rsidRDefault="006C7EC4" w:rsidP="006C7EC4">
      <w:pPr>
        <w:pStyle w:val="ListParagraph"/>
        <w:ind w:left="360"/>
        <w:rPr>
          <w:rFonts w:ascii="Calibri" w:eastAsia="Calibri" w:hAnsi="Calibri" w:cs="Calibri"/>
          <w:color w:val="000000" w:themeColor="text1"/>
        </w:rPr>
      </w:pPr>
    </w:p>
    <w:p w14:paraId="18FBEA05" w14:textId="07F9E68C" w:rsidR="0038407B" w:rsidRDefault="0038407B" w:rsidP="006C7EC4">
      <w:pPr>
        <w:pStyle w:val="ListParagraph"/>
        <w:numPr>
          <w:ilvl w:val="0"/>
          <w:numId w:val="6"/>
        </w:numPr>
        <w:rPr>
          <w:rFonts w:ascii="Calibri" w:eastAsia="Calibri" w:hAnsi="Calibri" w:cs="Calibri"/>
          <w:color w:val="000000" w:themeColor="text1"/>
        </w:rPr>
      </w:pPr>
      <w:r>
        <w:rPr>
          <w:rFonts w:ascii="Calibri" w:eastAsia="Calibri" w:hAnsi="Calibri" w:cs="Calibri"/>
          <w:color w:val="000000" w:themeColor="text1"/>
        </w:rPr>
        <w:t xml:space="preserve">For multifamily charging the research team placed this percentage for all Azones at </w:t>
      </w:r>
      <w:r w:rsidR="006C7EC4">
        <w:rPr>
          <w:rFonts w:ascii="Calibri" w:eastAsia="Calibri" w:hAnsi="Calibri" w:cs="Calibri"/>
          <w:color w:val="000000" w:themeColor="text1"/>
        </w:rPr>
        <w:t>30</w:t>
      </w:r>
      <w:r>
        <w:rPr>
          <w:rFonts w:ascii="Calibri" w:eastAsia="Calibri" w:hAnsi="Calibri" w:cs="Calibri"/>
          <w:color w:val="000000" w:themeColor="text1"/>
        </w:rPr>
        <w:t xml:space="preserve">%.  This was based on a report by Kuby et al. (2025), which stated that </w:t>
      </w:r>
      <w:r w:rsidR="006C7EC4">
        <w:rPr>
          <w:rFonts w:ascii="Calibri" w:eastAsia="Calibri" w:hAnsi="Calibri" w:cs="Calibri"/>
          <w:color w:val="000000" w:themeColor="text1"/>
        </w:rPr>
        <w:t xml:space="preserve">two other studies had estimated that “the </w:t>
      </w:r>
      <w:r w:rsidRPr="0038407B">
        <w:rPr>
          <w:rFonts w:ascii="Calibri" w:eastAsia="Calibri" w:hAnsi="Calibri" w:cs="Calibri"/>
          <w:color w:val="000000" w:themeColor="text1"/>
        </w:rPr>
        <w:t xml:space="preserve">percentage of MFH </w:t>
      </w:r>
      <w:r w:rsidR="006C7EC4">
        <w:rPr>
          <w:rFonts w:ascii="Calibri" w:eastAsia="Calibri" w:hAnsi="Calibri" w:cs="Calibri"/>
          <w:color w:val="000000" w:themeColor="text1"/>
        </w:rPr>
        <w:t xml:space="preserve">[multi-family housing] </w:t>
      </w:r>
      <w:r w:rsidRPr="0038407B">
        <w:rPr>
          <w:rFonts w:ascii="Calibri" w:eastAsia="Calibri" w:hAnsi="Calibri" w:cs="Calibri"/>
          <w:color w:val="000000" w:themeColor="text1"/>
        </w:rPr>
        <w:t>residents with access to 120V and awareness that they could charge an EV with it is 2–5%, although more optimistic scenarios increase this percentage to 19–48 %.</w:t>
      </w:r>
      <w:r w:rsidR="006C7EC4">
        <w:rPr>
          <w:rFonts w:ascii="Calibri" w:eastAsia="Calibri" w:hAnsi="Calibri" w:cs="Calibri"/>
          <w:color w:val="000000" w:themeColor="text1"/>
        </w:rPr>
        <w:t>”  Based solely on Kuby et al. (2025), one could argue that any percentage between 19% and 48% could be justified; the research team chose 30% as a lower range midpoint value.</w:t>
      </w:r>
    </w:p>
    <w:p w14:paraId="545262C7" w14:textId="77777777" w:rsidR="00671D88" w:rsidRPr="00671D88" w:rsidRDefault="00671D88" w:rsidP="00671D88">
      <w:pPr>
        <w:pStyle w:val="ListParagraph"/>
        <w:rPr>
          <w:rFonts w:ascii="Calibri" w:eastAsia="Calibri" w:hAnsi="Calibri" w:cs="Calibri"/>
          <w:color w:val="000000" w:themeColor="text1"/>
        </w:rPr>
      </w:pPr>
    </w:p>
    <w:p w14:paraId="04693CE9" w14:textId="5F2D1DBB" w:rsidR="00671D88" w:rsidRDefault="00671D88" w:rsidP="006C7EC4">
      <w:pPr>
        <w:pStyle w:val="ListParagraph"/>
        <w:numPr>
          <w:ilvl w:val="0"/>
          <w:numId w:val="6"/>
        </w:numPr>
        <w:rPr>
          <w:rFonts w:ascii="Calibri" w:eastAsia="Calibri" w:hAnsi="Calibri" w:cs="Calibri"/>
          <w:color w:val="000000" w:themeColor="text1"/>
        </w:rPr>
      </w:pPr>
      <w:r>
        <w:rPr>
          <w:rFonts w:ascii="Calibri" w:eastAsia="Calibri" w:hAnsi="Calibri" w:cs="Calibri"/>
          <w:color w:val="000000" w:themeColor="text1"/>
        </w:rPr>
        <w:t>For group quarters (e.g., dormitories, skilled facilities, the research team used a value of 25% as a baseline case.)  This answer will vary both by location and by the number of chargers at a given location (e.g., level 1 versus level 2 chargers and number of vehicles per charger).  An answer of higher than 40% could be supported based on a review of the University of Illinois (undated) for college dormitories alone.</w:t>
      </w:r>
    </w:p>
    <w:p w14:paraId="4EDA913B" w14:textId="0396AD9C" w:rsidR="0038407B" w:rsidRPr="00A8552E" w:rsidRDefault="0038407B" w:rsidP="444B22A9">
      <w:pPr>
        <w:rPr>
          <w:rFonts w:ascii="Calibri" w:eastAsia="Calibri" w:hAnsi="Calibri" w:cs="Calibri"/>
          <w:color w:val="000000" w:themeColor="text1"/>
        </w:rPr>
      </w:pPr>
    </w:p>
    <w:p w14:paraId="06401E8E" w14:textId="067118E9" w:rsidR="002E71F7" w:rsidRPr="00EB0F0D" w:rsidRDefault="002E71F7" w:rsidP="002E71F7">
      <w:pPr>
        <w:rPr>
          <w:rFonts w:ascii="Calibri" w:eastAsia="Calibri" w:hAnsi="Calibri" w:cs="Calibri"/>
          <w:i/>
          <w:iCs/>
          <w:color w:val="000000" w:themeColor="text1"/>
        </w:rPr>
      </w:pPr>
      <w:r w:rsidRPr="00EB0F0D">
        <w:rPr>
          <w:rFonts w:ascii="Calibri" w:eastAsia="Calibri" w:hAnsi="Calibri" w:cs="Calibri"/>
          <w:i/>
          <w:iCs/>
          <w:color w:val="000000" w:themeColor="text1"/>
        </w:rPr>
        <w:t>Forecast Year</w:t>
      </w:r>
    </w:p>
    <w:p w14:paraId="3425811E" w14:textId="5CBD1D2A" w:rsidR="00EB0F0D" w:rsidRPr="00CF76AB" w:rsidRDefault="00CF76AB" w:rsidP="00CF76AB">
      <w:pPr>
        <w:rPr>
          <w:rFonts w:ascii="Calibri" w:eastAsia="Calibri" w:hAnsi="Calibri" w:cs="Calibri"/>
        </w:rPr>
      </w:pPr>
      <w:r>
        <w:rPr>
          <w:rFonts w:ascii="Calibri" w:eastAsia="Calibri" w:hAnsi="Calibri" w:cs="Calibri"/>
        </w:rPr>
        <w:tab/>
        <w:t xml:space="preserve">At the time of some Virginia VisionEval work published in </w:t>
      </w:r>
      <w:r w:rsidR="00A8552E">
        <w:rPr>
          <w:rFonts w:ascii="Calibri" w:eastAsia="Calibri" w:hAnsi="Calibri" w:cs="Calibri"/>
        </w:rPr>
        <w:t>2022 (</w:t>
      </w:r>
      <w:hyperlink r:id="rId11" w:history="1">
        <w:r w:rsidR="00A8552E" w:rsidRPr="00E533E7">
          <w:rPr>
            <w:rStyle w:val="Hyperlink"/>
            <w:rFonts w:ascii="Calibri" w:eastAsia="Calibri" w:hAnsi="Calibri" w:cs="Calibri"/>
          </w:rPr>
          <w:t>https://vtrc.virginia.gov/media/vtrc/vtrc-pdf/vtrc-pdf/22-R21.pdf</w:t>
        </w:r>
      </w:hyperlink>
      <w:r w:rsidR="00A8552E">
        <w:rPr>
          <w:rFonts w:ascii="Calibri" w:eastAsia="Calibri" w:hAnsi="Calibri" w:cs="Calibri"/>
        </w:rPr>
        <w:t xml:space="preserve">), researchers used sources such as the </w:t>
      </w:r>
      <w:r w:rsidR="00F20118">
        <w:rPr>
          <w:rFonts w:ascii="Calibri" w:eastAsia="Calibri" w:hAnsi="Calibri" w:cs="Calibri"/>
        </w:rPr>
        <w:t>Department</w:t>
      </w:r>
      <w:r w:rsidR="00A8552E">
        <w:rPr>
          <w:rFonts w:ascii="Calibri" w:eastAsia="Calibri" w:hAnsi="Calibri" w:cs="Calibri"/>
        </w:rPr>
        <w:t xml:space="preserve"> of Energy and the U.S. Energy Information Administration to make forecasts of electric vehicle use, and certainly such forecasts could be used to estimate charging availability in 2045.  However, events that have transpired suggest that one possibly should not assume that charging infrastructure will necessarily increase.  </w:t>
      </w:r>
      <w:proofErr w:type="gramStart"/>
      <w:r w:rsidR="00A8552E">
        <w:rPr>
          <w:rFonts w:ascii="Calibri" w:eastAsia="Calibri" w:hAnsi="Calibri" w:cs="Calibri"/>
        </w:rPr>
        <w:t>Thus</w:t>
      </w:r>
      <w:proofErr w:type="gramEnd"/>
      <w:r w:rsidR="00A8552E">
        <w:rPr>
          <w:rFonts w:ascii="Calibri" w:eastAsia="Calibri" w:hAnsi="Calibri" w:cs="Calibri"/>
        </w:rPr>
        <w:t xml:space="preserve"> regional planners may have the 2045 business as usual scenario represent some increase in charging </w:t>
      </w:r>
      <w:r w:rsidR="00F20118">
        <w:rPr>
          <w:rFonts w:ascii="Calibri" w:eastAsia="Calibri" w:hAnsi="Calibri" w:cs="Calibri"/>
        </w:rPr>
        <w:t>availability</w:t>
      </w:r>
      <w:r w:rsidR="00A8552E">
        <w:rPr>
          <w:rFonts w:ascii="Calibri" w:eastAsia="Calibri" w:hAnsi="Calibri" w:cs="Calibri"/>
        </w:rPr>
        <w:t xml:space="preserve"> since 2024—or it may be reasonable to presume that the values in 2045 are the same as those in 2024 (and thus a </w:t>
      </w:r>
      <w:r w:rsidR="00F20118">
        <w:rPr>
          <w:rFonts w:ascii="Calibri" w:eastAsia="Calibri" w:hAnsi="Calibri" w:cs="Calibri"/>
        </w:rPr>
        <w:t>scenario</w:t>
      </w:r>
      <w:r w:rsidR="00A8552E">
        <w:rPr>
          <w:rFonts w:ascii="Calibri" w:eastAsia="Calibri" w:hAnsi="Calibri" w:cs="Calibri"/>
        </w:rPr>
        <w:t xml:space="preserve"> could be to look at how increases in such availability affects EV use).  For this statewide file, the research team made the base case that 2045 values are the same as 2024 values.</w:t>
      </w:r>
    </w:p>
    <w:p w14:paraId="15C43E09" w14:textId="2A80E838" w:rsidR="1E12EB73" w:rsidRPr="00EB0F0D" w:rsidRDefault="1E12EB73" w:rsidP="56F2192B">
      <w:pPr>
        <w:rPr>
          <w:rFonts w:ascii="Calibri" w:eastAsia="Calibri" w:hAnsi="Calibri" w:cs="Calibri"/>
        </w:rPr>
      </w:pPr>
    </w:p>
    <w:p w14:paraId="5A3B2F26" w14:textId="63F76F05" w:rsidR="1E12EB73" w:rsidRDefault="005C21DD" w:rsidP="56F2192B">
      <w:pPr>
        <w:rPr>
          <w:rFonts w:ascii="Calibri" w:hAnsi="Calibri" w:cs="Calibri"/>
          <w:b/>
          <w:bCs/>
        </w:rPr>
      </w:pPr>
      <w:r w:rsidRPr="00EB0F0D">
        <w:rPr>
          <w:rFonts w:ascii="Calibri" w:hAnsi="Calibri" w:cs="Calibri"/>
          <w:b/>
          <w:bCs/>
        </w:rPr>
        <w:t>Appendix</w:t>
      </w:r>
    </w:p>
    <w:p w14:paraId="79E52617" w14:textId="77777777" w:rsidR="006C7EC4" w:rsidRPr="006C7EC4" w:rsidRDefault="006C7EC4" w:rsidP="006C7EC4">
      <w:pPr>
        <w:rPr>
          <w:rFonts w:ascii="Calibri" w:eastAsia="Calibri" w:hAnsi="Calibri" w:cs="Calibri"/>
          <w:color w:val="000000" w:themeColor="text1"/>
        </w:rPr>
      </w:pPr>
      <w:r w:rsidRPr="006C7EC4">
        <w:rPr>
          <w:rFonts w:ascii="Calibri" w:eastAsia="Calibri" w:hAnsi="Calibri" w:cs="Calibri"/>
          <w:color w:val="000000" w:themeColor="text1"/>
        </w:rPr>
        <w:t>Kuby</w:t>
      </w:r>
      <w:r>
        <w:rPr>
          <w:rFonts w:ascii="Calibri" w:eastAsia="Calibri" w:hAnsi="Calibri" w:cs="Calibri"/>
          <w:color w:val="000000" w:themeColor="text1"/>
        </w:rPr>
        <w:t xml:space="preserve">, M., </w:t>
      </w:r>
      <w:r w:rsidRPr="006C7EC4">
        <w:rPr>
          <w:rFonts w:ascii="Calibri" w:eastAsia="Calibri" w:hAnsi="Calibri" w:cs="Calibri"/>
          <w:color w:val="000000" w:themeColor="text1"/>
        </w:rPr>
        <w:t>Cordova-Cruzatty</w:t>
      </w:r>
      <w:r>
        <w:rPr>
          <w:rFonts w:ascii="Calibri" w:eastAsia="Calibri" w:hAnsi="Calibri" w:cs="Calibri"/>
          <w:color w:val="000000" w:themeColor="text1"/>
        </w:rPr>
        <w:t xml:space="preserve">, A., </w:t>
      </w:r>
      <w:r w:rsidRPr="006C7EC4">
        <w:rPr>
          <w:rFonts w:ascii="Calibri" w:eastAsia="Calibri" w:hAnsi="Calibri" w:cs="Calibri"/>
          <w:color w:val="000000" w:themeColor="text1"/>
        </w:rPr>
        <w:t>Parker</w:t>
      </w:r>
      <w:r>
        <w:rPr>
          <w:rFonts w:ascii="Calibri" w:eastAsia="Calibri" w:hAnsi="Calibri" w:cs="Calibri"/>
          <w:color w:val="000000" w:themeColor="text1"/>
        </w:rPr>
        <w:t xml:space="preserve">, N.C., and King, </w:t>
      </w:r>
      <w:r w:rsidRPr="006C7EC4">
        <w:rPr>
          <w:rFonts w:ascii="Calibri" w:eastAsia="Calibri" w:hAnsi="Calibri" w:cs="Calibri"/>
          <w:color w:val="000000" w:themeColor="text1"/>
        </w:rPr>
        <w:t>D.A. King</w:t>
      </w:r>
      <w:r>
        <w:rPr>
          <w:rFonts w:ascii="Calibri" w:eastAsia="Calibri" w:hAnsi="Calibri" w:cs="Calibri"/>
          <w:color w:val="000000" w:themeColor="text1"/>
        </w:rPr>
        <w:t xml:space="preserve">.  </w:t>
      </w:r>
      <w:r w:rsidRPr="006C7EC4">
        <w:rPr>
          <w:rFonts w:ascii="Calibri" w:eastAsia="Calibri" w:hAnsi="Calibri" w:cs="Calibri"/>
          <w:color w:val="000000" w:themeColor="text1"/>
        </w:rPr>
        <w:t xml:space="preserve">EV Charging </w:t>
      </w:r>
      <w:r>
        <w:rPr>
          <w:rFonts w:ascii="Calibri" w:eastAsia="Calibri" w:hAnsi="Calibri" w:cs="Calibri"/>
          <w:color w:val="000000" w:themeColor="text1"/>
        </w:rPr>
        <w:t>f</w:t>
      </w:r>
      <w:r w:rsidRPr="006C7EC4">
        <w:rPr>
          <w:rFonts w:ascii="Calibri" w:eastAsia="Calibri" w:hAnsi="Calibri" w:cs="Calibri"/>
          <w:color w:val="000000" w:themeColor="text1"/>
        </w:rPr>
        <w:t xml:space="preserve">or Multifamily Housing: Review </w:t>
      </w:r>
      <w:r>
        <w:rPr>
          <w:rFonts w:ascii="Calibri" w:eastAsia="Calibri" w:hAnsi="Calibri" w:cs="Calibri"/>
          <w:color w:val="000000" w:themeColor="text1"/>
        </w:rPr>
        <w:t>o</w:t>
      </w:r>
      <w:r w:rsidRPr="006C7EC4">
        <w:rPr>
          <w:rFonts w:ascii="Calibri" w:eastAsia="Calibri" w:hAnsi="Calibri" w:cs="Calibri"/>
          <w:color w:val="000000" w:themeColor="text1"/>
        </w:rPr>
        <w:t>f Evidence, Methods,</w:t>
      </w:r>
      <w:r>
        <w:rPr>
          <w:rFonts w:ascii="Calibri" w:eastAsia="Calibri" w:hAnsi="Calibri" w:cs="Calibri"/>
          <w:color w:val="000000" w:themeColor="text1"/>
        </w:rPr>
        <w:t xml:space="preserve"> </w:t>
      </w:r>
      <w:r w:rsidRPr="006C7EC4">
        <w:rPr>
          <w:rFonts w:ascii="Calibri" w:eastAsia="Calibri" w:hAnsi="Calibri" w:cs="Calibri"/>
          <w:color w:val="000000" w:themeColor="text1"/>
        </w:rPr>
        <w:t xml:space="preserve">Barriers, </w:t>
      </w:r>
      <w:r>
        <w:rPr>
          <w:rFonts w:ascii="Calibri" w:eastAsia="Calibri" w:hAnsi="Calibri" w:cs="Calibri"/>
          <w:color w:val="000000" w:themeColor="text1"/>
        </w:rPr>
        <w:t>a</w:t>
      </w:r>
      <w:r w:rsidRPr="006C7EC4">
        <w:rPr>
          <w:rFonts w:ascii="Calibri" w:eastAsia="Calibri" w:hAnsi="Calibri" w:cs="Calibri"/>
          <w:color w:val="000000" w:themeColor="text1"/>
        </w:rPr>
        <w:t>nd Opportunities</w:t>
      </w:r>
      <w:r>
        <w:rPr>
          <w:rFonts w:ascii="Calibri" w:eastAsia="Calibri" w:hAnsi="Calibri" w:cs="Calibri"/>
          <w:color w:val="000000" w:themeColor="text1"/>
        </w:rPr>
        <w:t xml:space="preserve">, </w:t>
      </w:r>
      <w:r w:rsidRPr="006C7EC4">
        <w:rPr>
          <w:rFonts w:ascii="Calibri" w:eastAsia="Calibri" w:hAnsi="Calibri" w:cs="Calibri"/>
          <w:i/>
          <w:iCs/>
          <w:color w:val="000000" w:themeColor="text1"/>
        </w:rPr>
        <w:t>Renewable and Sustainable Energy Reviews</w:t>
      </w:r>
      <w:r>
        <w:rPr>
          <w:rFonts w:ascii="Calibri" w:eastAsia="Calibri" w:hAnsi="Calibri" w:cs="Calibri"/>
          <w:color w:val="000000" w:themeColor="text1"/>
        </w:rPr>
        <w:t xml:space="preserve">, </w:t>
      </w:r>
      <w:r w:rsidRPr="006C7EC4">
        <w:rPr>
          <w:rFonts w:ascii="Calibri" w:eastAsia="Calibri" w:hAnsi="Calibri" w:cs="Calibri"/>
          <w:color w:val="000000" w:themeColor="text1"/>
        </w:rPr>
        <w:t>Volume 210, March 2025, 115253</w:t>
      </w:r>
      <w:r>
        <w:rPr>
          <w:rFonts w:ascii="Calibri" w:eastAsia="Calibri" w:hAnsi="Calibri" w:cs="Calibri"/>
          <w:color w:val="000000" w:themeColor="text1"/>
        </w:rPr>
        <w:t xml:space="preserve">.  </w:t>
      </w:r>
    </w:p>
    <w:p w14:paraId="66F33936" w14:textId="03ED3624" w:rsidR="006C7EC4" w:rsidRDefault="00723B6A" w:rsidP="006C7EC4">
      <w:pPr>
        <w:rPr>
          <w:rFonts w:ascii="Calibri" w:eastAsia="Calibri" w:hAnsi="Calibri" w:cs="Calibri"/>
          <w:color w:val="000000" w:themeColor="text1"/>
        </w:rPr>
      </w:pPr>
      <w:r>
        <w:rPr>
          <w:rFonts w:ascii="Calibri" w:eastAsia="Calibri" w:hAnsi="Calibri" w:cs="Calibri"/>
          <w:color w:val="000000" w:themeColor="text1"/>
        </w:rPr>
        <w:t xml:space="preserve">Inside EVs.  </w:t>
      </w:r>
      <w:r w:rsidRPr="00723B6A">
        <w:rPr>
          <w:rFonts w:ascii="Calibri" w:eastAsia="Calibri" w:hAnsi="Calibri" w:cs="Calibri"/>
          <w:color w:val="000000" w:themeColor="text1"/>
        </w:rPr>
        <w:t xml:space="preserve">US: New Report Reveals Share </w:t>
      </w:r>
      <w:proofErr w:type="gramStart"/>
      <w:r w:rsidRPr="00723B6A">
        <w:rPr>
          <w:rFonts w:ascii="Calibri" w:eastAsia="Calibri" w:hAnsi="Calibri" w:cs="Calibri"/>
          <w:color w:val="000000" w:themeColor="text1"/>
        </w:rPr>
        <w:t>Of</w:t>
      </w:r>
      <w:proofErr w:type="gramEnd"/>
      <w:r w:rsidRPr="00723B6A">
        <w:rPr>
          <w:rFonts w:ascii="Calibri" w:eastAsia="Calibri" w:hAnsi="Calibri" w:cs="Calibri"/>
          <w:color w:val="000000" w:themeColor="text1"/>
        </w:rPr>
        <w:t xml:space="preserve"> Housing Units </w:t>
      </w:r>
      <w:proofErr w:type="gramStart"/>
      <w:r w:rsidRPr="00723B6A">
        <w:rPr>
          <w:rFonts w:ascii="Calibri" w:eastAsia="Calibri" w:hAnsi="Calibri" w:cs="Calibri"/>
          <w:color w:val="000000" w:themeColor="text1"/>
        </w:rPr>
        <w:t>With</w:t>
      </w:r>
      <w:proofErr w:type="gramEnd"/>
      <w:r w:rsidRPr="00723B6A">
        <w:rPr>
          <w:rFonts w:ascii="Calibri" w:eastAsia="Calibri" w:hAnsi="Calibri" w:cs="Calibri"/>
          <w:color w:val="000000" w:themeColor="text1"/>
        </w:rPr>
        <w:t xml:space="preserve"> </w:t>
      </w:r>
      <w:proofErr w:type="gramStart"/>
      <w:r w:rsidRPr="00723B6A">
        <w:rPr>
          <w:rFonts w:ascii="Calibri" w:eastAsia="Calibri" w:hAnsi="Calibri" w:cs="Calibri"/>
          <w:color w:val="000000" w:themeColor="text1"/>
        </w:rPr>
        <w:t>A</w:t>
      </w:r>
      <w:proofErr w:type="gramEnd"/>
      <w:r w:rsidRPr="00723B6A">
        <w:rPr>
          <w:rFonts w:ascii="Calibri" w:eastAsia="Calibri" w:hAnsi="Calibri" w:cs="Calibri"/>
          <w:color w:val="000000" w:themeColor="text1"/>
        </w:rPr>
        <w:t xml:space="preserve"> Garage </w:t>
      </w:r>
      <w:proofErr w:type="gramStart"/>
      <w:r w:rsidRPr="00723B6A">
        <w:rPr>
          <w:rFonts w:ascii="Calibri" w:eastAsia="Calibri" w:hAnsi="Calibri" w:cs="Calibri"/>
          <w:color w:val="000000" w:themeColor="text1"/>
        </w:rPr>
        <w:t>Or</w:t>
      </w:r>
      <w:proofErr w:type="gramEnd"/>
      <w:r w:rsidRPr="00723B6A">
        <w:rPr>
          <w:rFonts w:ascii="Calibri" w:eastAsia="Calibri" w:hAnsi="Calibri" w:cs="Calibri"/>
          <w:color w:val="000000" w:themeColor="text1"/>
        </w:rPr>
        <w:t xml:space="preserve"> Carport</w:t>
      </w:r>
      <w:r>
        <w:rPr>
          <w:rFonts w:ascii="Calibri" w:eastAsia="Calibri" w:hAnsi="Calibri" w:cs="Calibri"/>
          <w:color w:val="000000" w:themeColor="text1"/>
        </w:rPr>
        <w:t xml:space="preserve">, 2021.  </w:t>
      </w:r>
      <w:r w:rsidRPr="00723B6A">
        <w:rPr>
          <w:rFonts w:ascii="Calibri" w:eastAsia="Calibri" w:hAnsi="Calibri" w:cs="Calibri"/>
          <w:color w:val="000000" w:themeColor="text1"/>
        </w:rPr>
        <w:t>https://insideevs.com/news/627379/us-share-housing-units-garage-carport/</w:t>
      </w:r>
      <w:r>
        <w:rPr>
          <w:rFonts w:ascii="Calibri" w:eastAsia="Calibri" w:hAnsi="Calibri" w:cs="Calibri"/>
          <w:color w:val="000000" w:themeColor="text1"/>
        </w:rPr>
        <w:t>.  Accessed April 12, 2026</w:t>
      </w:r>
    </w:p>
    <w:p w14:paraId="04888313" w14:textId="565F846B" w:rsidR="00671D88" w:rsidRDefault="00671D88" w:rsidP="006C7EC4">
      <w:pPr>
        <w:rPr>
          <w:rFonts w:ascii="Calibri" w:eastAsia="Calibri" w:hAnsi="Calibri" w:cs="Calibri"/>
          <w:color w:val="000000" w:themeColor="text1"/>
        </w:rPr>
      </w:pPr>
      <w:r>
        <w:rPr>
          <w:rFonts w:ascii="Calibri" w:eastAsia="Calibri" w:hAnsi="Calibri" w:cs="Calibri"/>
          <w:color w:val="000000" w:themeColor="text1"/>
        </w:rPr>
        <w:lastRenderedPageBreak/>
        <w:t xml:space="preserve">University of Illinois.  </w:t>
      </w:r>
      <w:r w:rsidRPr="00671D88">
        <w:rPr>
          <w:rFonts w:ascii="Calibri" w:eastAsia="Calibri" w:hAnsi="Calibri" w:cs="Calibri"/>
          <w:color w:val="000000" w:themeColor="text1"/>
        </w:rPr>
        <w:t>EV Infrastructure Study of Peer Universities</w:t>
      </w:r>
      <w:r>
        <w:rPr>
          <w:rFonts w:ascii="Calibri" w:eastAsia="Calibri" w:hAnsi="Calibri" w:cs="Calibri"/>
          <w:color w:val="000000" w:themeColor="text1"/>
        </w:rPr>
        <w:t xml:space="preserve">, undated.  </w:t>
      </w:r>
      <w:r w:rsidRPr="00671D88">
        <w:rPr>
          <w:rFonts w:ascii="Calibri" w:eastAsia="Calibri" w:hAnsi="Calibri" w:cs="Calibri"/>
          <w:color w:val="000000" w:themeColor="text1"/>
        </w:rPr>
        <w:t>https://icap.sustainability.illinois.edu/files/projectupdate/10758/EV%20Infrastructure%20Report.pdf</w:t>
      </w:r>
      <w:r>
        <w:rPr>
          <w:rFonts w:ascii="Calibri" w:eastAsia="Calibri" w:hAnsi="Calibri" w:cs="Calibri"/>
          <w:color w:val="000000" w:themeColor="text1"/>
        </w:rPr>
        <w:t xml:space="preserve">.  </w:t>
      </w:r>
      <w:r>
        <w:rPr>
          <w:rFonts w:ascii="Calibri" w:eastAsia="Calibri" w:hAnsi="Calibri" w:cs="Calibri"/>
          <w:color w:val="000000" w:themeColor="text1"/>
        </w:rPr>
        <w:t>Accessed April 12, 2026</w:t>
      </w:r>
      <w:r>
        <w:rPr>
          <w:rFonts w:ascii="Calibri" w:eastAsia="Calibri" w:hAnsi="Calibri" w:cs="Calibri"/>
          <w:color w:val="000000" w:themeColor="text1"/>
        </w:rPr>
        <w:t>.</w:t>
      </w:r>
    </w:p>
    <w:p w14:paraId="700C6680" w14:textId="77777777" w:rsidR="00723B6A" w:rsidRDefault="00723B6A" w:rsidP="006C7EC4">
      <w:pPr>
        <w:rPr>
          <w:rFonts w:ascii="Calibri" w:eastAsia="Calibri" w:hAnsi="Calibri" w:cs="Calibri"/>
          <w:color w:val="000000" w:themeColor="text1"/>
        </w:rPr>
      </w:pPr>
      <w:proofErr w:type="gramStart"/>
      <w:r>
        <w:rPr>
          <w:rFonts w:ascii="Calibri" w:eastAsia="Calibri" w:hAnsi="Calibri" w:cs="Calibri"/>
          <w:color w:val="000000" w:themeColor="text1"/>
        </w:rPr>
        <w:t>Others</w:t>
      </w:r>
      <w:proofErr w:type="gramEnd"/>
      <w:r>
        <w:rPr>
          <w:rFonts w:ascii="Calibri" w:eastAsia="Calibri" w:hAnsi="Calibri" w:cs="Calibri"/>
          <w:color w:val="000000" w:themeColor="text1"/>
        </w:rPr>
        <w:t xml:space="preserve"> sites</w:t>
      </w:r>
    </w:p>
    <w:p w14:paraId="1BE6CC5F" w14:textId="3E44CA29" w:rsidR="006C7EC4" w:rsidRPr="00723B6A" w:rsidRDefault="006C7EC4" w:rsidP="00723B6A">
      <w:pPr>
        <w:pStyle w:val="ListParagraph"/>
        <w:numPr>
          <w:ilvl w:val="0"/>
          <w:numId w:val="7"/>
        </w:numPr>
        <w:rPr>
          <w:rFonts w:ascii="Calibri" w:eastAsia="Calibri" w:hAnsi="Calibri" w:cs="Calibri"/>
          <w:color w:val="000000" w:themeColor="text1"/>
        </w:rPr>
      </w:pPr>
      <w:r w:rsidRPr="00723B6A">
        <w:rPr>
          <w:rFonts w:ascii="Calibri" w:eastAsia="Calibri" w:hAnsi="Calibri" w:cs="Calibri"/>
          <w:color w:val="000000" w:themeColor="text1"/>
        </w:rPr>
        <w:t>https://www.energystar.gov/sites/default/files/2024-02/Factsheet%20-%20EV%20Chargers%20for%20Residential%20Buildings%202024.pdf</w:t>
      </w:r>
    </w:p>
    <w:p w14:paraId="7849EC69" w14:textId="136B99C1" w:rsidR="006C7EC4" w:rsidRPr="00723B6A" w:rsidRDefault="006C7EC4" w:rsidP="00723B6A">
      <w:pPr>
        <w:pStyle w:val="ListParagraph"/>
        <w:numPr>
          <w:ilvl w:val="0"/>
          <w:numId w:val="7"/>
        </w:numPr>
        <w:rPr>
          <w:rFonts w:ascii="Calibri" w:eastAsia="Calibri" w:hAnsi="Calibri" w:cs="Calibri"/>
          <w:color w:val="000000" w:themeColor="text1"/>
        </w:rPr>
      </w:pPr>
      <w:hyperlink r:id="rId12" w:history="1">
        <w:r w:rsidRPr="00723B6A">
          <w:rPr>
            <w:rStyle w:val="Hyperlink"/>
            <w:rFonts w:ascii="Calibri" w:eastAsia="Calibri" w:hAnsi="Calibri" w:cs="Calibri"/>
          </w:rPr>
          <w:t>https://insideevs</w:t>
        </w:r>
        <w:r w:rsidRPr="00723B6A">
          <w:rPr>
            <w:rStyle w:val="Hyperlink"/>
            <w:rFonts w:ascii="Calibri" w:eastAsia="Calibri" w:hAnsi="Calibri" w:cs="Calibri"/>
          </w:rPr>
          <w:t>.</w:t>
        </w:r>
        <w:r w:rsidRPr="00723B6A">
          <w:rPr>
            <w:rStyle w:val="Hyperlink"/>
            <w:rFonts w:ascii="Calibri" w:eastAsia="Calibri" w:hAnsi="Calibri" w:cs="Calibri"/>
          </w:rPr>
          <w:t>com/news/627379/us-share-housing-units-garage-carport/</w:t>
        </w:r>
      </w:hyperlink>
      <w:hyperlink r:id="rId13" w:history="1">
        <w:r w:rsidRPr="00723B6A">
          <w:rPr>
            <w:rStyle w:val="Hyperlink"/>
            <w:rFonts w:ascii="Calibri" w:eastAsia="Calibri" w:hAnsi="Calibri" w:cs="Calibri"/>
          </w:rPr>
          <w:t>pl_2024.05.24_ev-chargers_report.pdf</w:t>
        </w:r>
      </w:hyperlink>
    </w:p>
    <w:p w14:paraId="4FA50651" w14:textId="7C581E2D" w:rsidR="006C7EC4" w:rsidRPr="00723B6A" w:rsidRDefault="006C7EC4" w:rsidP="00723B6A">
      <w:pPr>
        <w:pStyle w:val="ListParagraph"/>
        <w:numPr>
          <w:ilvl w:val="0"/>
          <w:numId w:val="7"/>
        </w:numPr>
        <w:rPr>
          <w:rFonts w:ascii="Calibri" w:eastAsia="Calibri" w:hAnsi="Calibri" w:cs="Calibri"/>
          <w:color w:val="000000" w:themeColor="text1"/>
        </w:rPr>
      </w:pPr>
      <w:hyperlink r:id="rId14" w:history="1">
        <w:r w:rsidRPr="00723B6A">
          <w:rPr>
            <w:rStyle w:val="Hyperlink"/>
            <w:rFonts w:ascii="Calibri" w:eastAsia="Calibri" w:hAnsi="Calibri" w:cs="Calibri"/>
          </w:rPr>
          <w:t>https://w</w:t>
        </w:r>
        <w:r w:rsidRPr="00723B6A">
          <w:rPr>
            <w:rStyle w:val="Hyperlink"/>
            <w:rFonts w:ascii="Calibri" w:eastAsia="Calibri" w:hAnsi="Calibri" w:cs="Calibri"/>
          </w:rPr>
          <w:t>w</w:t>
        </w:r>
        <w:r w:rsidRPr="00723B6A">
          <w:rPr>
            <w:rStyle w:val="Hyperlink"/>
            <w:rFonts w:ascii="Calibri" w:eastAsia="Calibri" w:hAnsi="Calibri" w:cs="Calibri"/>
          </w:rPr>
          <w:t>w.anl.gov/ev-facts/charging-infrastructure</w:t>
        </w:r>
      </w:hyperlink>
    </w:p>
    <w:p w14:paraId="7699808A" w14:textId="08F02127" w:rsidR="006C7EC4" w:rsidRPr="00723B6A" w:rsidRDefault="006C7EC4" w:rsidP="00723B6A">
      <w:pPr>
        <w:pStyle w:val="ListParagraph"/>
        <w:numPr>
          <w:ilvl w:val="0"/>
          <w:numId w:val="7"/>
        </w:numPr>
        <w:rPr>
          <w:rFonts w:ascii="Calibri" w:hAnsi="Calibri" w:cs="Calibri"/>
          <w:b/>
          <w:bCs/>
        </w:rPr>
      </w:pPr>
      <w:hyperlink r:id="rId15" w:history="1">
        <w:r w:rsidRPr="00723B6A">
          <w:rPr>
            <w:rStyle w:val="Hyperlink"/>
            <w:rFonts w:ascii="Calibri" w:eastAsia="Calibri" w:hAnsi="Calibri" w:cs="Calibri"/>
          </w:rPr>
          <w:t>The</w:t>
        </w:r>
        <w:r w:rsidRPr="00723B6A">
          <w:rPr>
            <w:rStyle w:val="Hyperlink"/>
            <w:rFonts w:ascii="Calibri" w:eastAsia="Calibri" w:hAnsi="Calibri" w:cs="Calibri"/>
          </w:rPr>
          <w:t xml:space="preserve"> </w:t>
        </w:r>
        <w:r w:rsidRPr="00723B6A">
          <w:rPr>
            <w:rStyle w:val="Hyperlink"/>
            <w:rFonts w:ascii="Calibri" w:eastAsia="Calibri" w:hAnsi="Calibri" w:cs="Calibri"/>
          </w:rPr>
          <w:t xml:space="preserve">State </w:t>
        </w:r>
        <w:proofErr w:type="gramStart"/>
        <w:r w:rsidRPr="00723B6A">
          <w:rPr>
            <w:rStyle w:val="Hyperlink"/>
            <w:rFonts w:ascii="Calibri" w:eastAsia="Calibri" w:hAnsi="Calibri" w:cs="Calibri"/>
          </w:rPr>
          <w:t>Of</w:t>
        </w:r>
        <w:proofErr w:type="gramEnd"/>
        <w:r w:rsidRPr="00723B6A">
          <w:rPr>
            <w:rStyle w:val="Hyperlink"/>
            <w:rFonts w:ascii="Calibri" w:eastAsia="Calibri" w:hAnsi="Calibri" w:cs="Calibri"/>
          </w:rPr>
          <w:t xml:space="preserve"> Electric Vehicle Charging </w:t>
        </w:r>
        <w:proofErr w:type="gramStart"/>
        <w:r w:rsidRPr="00723B6A">
          <w:rPr>
            <w:rStyle w:val="Hyperlink"/>
            <w:rFonts w:ascii="Calibri" w:eastAsia="Calibri" w:hAnsi="Calibri" w:cs="Calibri"/>
          </w:rPr>
          <w:t>For</w:t>
        </w:r>
        <w:proofErr w:type="gramEnd"/>
        <w:r w:rsidRPr="00723B6A">
          <w:rPr>
            <w:rStyle w:val="Hyperlink"/>
            <w:rFonts w:ascii="Calibri" w:eastAsia="Calibri" w:hAnsi="Calibri" w:cs="Calibri"/>
          </w:rPr>
          <w:t xml:space="preserve"> Multifamily Housing • Energy Innovation</w:t>
        </w:r>
      </w:hyperlink>
    </w:p>
    <w:p w14:paraId="1F58D1E9" w14:textId="1D8AAE23" w:rsidR="00723B6A" w:rsidRDefault="00723B6A" w:rsidP="00723B6A">
      <w:pPr>
        <w:pStyle w:val="ListParagraph"/>
        <w:numPr>
          <w:ilvl w:val="0"/>
          <w:numId w:val="7"/>
        </w:numPr>
        <w:rPr>
          <w:rFonts w:ascii="Calibri" w:hAnsi="Calibri" w:cs="Calibri"/>
          <w:b/>
          <w:bCs/>
        </w:rPr>
      </w:pPr>
      <w:hyperlink r:id="rId16" w:history="1">
        <w:r w:rsidRPr="00723B6A">
          <w:rPr>
            <w:rStyle w:val="Hyperlink"/>
            <w:rFonts w:ascii="Calibri" w:hAnsi="Calibri" w:cs="Calibri"/>
            <w:b/>
            <w:bCs/>
          </w:rPr>
          <w:t>Electric Vehicle Charging Infrastructure Trends from the Alternative Fueling Station Locator: First Quarter 2024</w:t>
        </w:r>
      </w:hyperlink>
    </w:p>
    <w:p w14:paraId="63E6D345" w14:textId="5200F35A" w:rsidR="00723B6A" w:rsidRDefault="00723B6A" w:rsidP="00723B6A">
      <w:pPr>
        <w:pStyle w:val="ListParagraph"/>
        <w:numPr>
          <w:ilvl w:val="0"/>
          <w:numId w:val="7"/>
        </w:numPr>
        <w:rPr>
          <w:rFonts w:ascii="Calibri" w:hAnsi="Calibri" w:cs="Calibri"/>
          <w:b/>
          <w:bCs/>
        </w:rPr>
      </w:pPr>
      <w:hyperlink r:id="rId17" w:history="1">
        <w:r w:rsidRPr="00723B6A">
          <w:rPr>
            <w:rStyle w:val="Hyperlink"/>
            <w:rFonts w:ascii="Calibri" w:hAnsi="Calibri" w:cs="Calibri"/>
            <w:b/>
            <w:bCs/>
          </w:rPr>
          <w:t>There's No Place Like Home: Residential Parking, Electrical Access, and Implications for the Future of Electric Vehicle Charging Infrastructure</w:t>
        </w:r>
      </w:hyperlink>
    </w:p>
    <w:p w14:paraId="3BF65AB6" w14:textId="555A9AED" w:rsidR="00723B6A" w:rsidRDefault="00723B6A" w:rsidP="00723B6A">
      <w:pPr>
        <w:pStyle w:val="ListParagraph"/>
        <w:numPr>
          <w:ilvl w:val="0"/>
          <w:numId w:val="7"/>
        </w:numPr>
        <w:rPr>
          <w:rFonts w:ascii="Calibri" w:hAnsi="Calibri" w:cs="Calibri"/>
          <w:b/>
          <w:bCs/>
        </w:rPr>
      </w:pPr>
      <w:hyperlink r:id="rId18" w:history="1">
        <w:r w:rsidRPr="00723B6A">
          <w:rPr>
            <w:rStyle w:val="Hyperlink"/>
            <w:rFonts w:ascii="Calibri" w:hAnsi="Calibri" w:cs="Calibri"/>
            <w:b/>
            <w:bCs/>
          </w:rPr>
          <w:t>Alternative Fuels Data Center: Electric Vehicle Charging for Multifamily Housing</w:t>
        </w:r>
      </w:hyperlink>
    </w:p>
    <w:p w14:paraId="447388A7" w14:textId="65042920" w:rsidR="00723B6A" w:rsidRPr="00723B6A" w:rsidRDefault="00723B6A" w:rsidP="00723B6A">
      <w:pPr>
        <w:pStyle w:val="ListParagraph"/>
        <w:numPr>
          <w:ilvl w:val="0"/>
          <w:numId w:val="7"/>
        </w:numPr>
        <w:rPr>
          <w:rFonts w:ascii="Calibri" w:hAnsi="Calibri" w:cs="Calibri"/>
          <w:b/>
          <w:bCs/>
        </w:rPr>
      </w:pPr>
      <w:hyperlink r:id="rId19" w:history="1">
        <w:r w:rsidRPr="00723B6A">
          <w:rPr>
            <w:rStyle w:val="Hyperlink"/>
            <w:rFonts w:ascii="Calibri" w:hAnsi="Calibri" w:cs="Calibri"/>
            <w:b/>
            <w:bCs/>
          </w:rPr>
          <w:t>Equity and reliability of public electric vehicle charging stations in the United States - PMC</w:t>
        </w:r>
      </w:hyperlink>
    </w:p>
    <w:sectPr w:rsidR="00723B6A" w:rsidRPr="00723B6A" w:rsidSect="002E71F7">
      <w:footerReference w:type="default" r:id="rId20"/>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6FF3E9" w14:textId="77777777" w:rsidR="005C21DD" w:rsidRDefault="005C21DD" w:rsidP="005C21DD">
      <w:pPr>
        <w:spacing w:after="0" w:line="240" w:lineRule="auto"/>
      </w:pPr>
      <w:r>
        <w:separator/>
      </w:r>
    </w:p>
  </w:endnote>
  <w:endnote w:type="continuationSeparator" w:id="0">
    <w:p w14:paraId="7266687C" w14:textId="77777777" w:rsidR="005C21DD" w:rsidRDefault="005C21DD" w:rsidP="005C21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7237906"/>
      <w:docPartObj>
        <w:docPartGallery w:val="Page Numbers (Bottom of Page)"/>
        <w:docPartUnique/>
      </w:docPartObj>
    </w:sdtPr>
    <w:sdtEndPr>
      <w:rPr>
        <w:noProof/>
      </w:rPr>
    </w:sdtEndPr>
    <w:sdtContent>
      <w:p w14:paraId="0FC827BF" w14:textId="6072856F" w:rsidR="00F20118" w:rsidRDefault="00F20118" w:rsidP="00F2011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C0BF446" w14:textId="77777777" w:rsidR="005C21DD" w:rsidRDefault="005C21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746F03" w14:textId="77777777" w:rsidR="005C21DD" w:rsidRDefault="005C21DD" w:rsidP="005C21DD">
      <w:pPr>
        <w:spacing w:after="0" w:line="240" w:lineRule="auto"/>
      </w:pPr>
      <w:r>
        <w:separator/>
      </w:r>
    </w:p>
  </w:footnote>
  <w:footnote w:type="continuationSeparator" w:id="0">
    <w:p w14:paraId="04A0FB4A" w14:textId="77777777" w:rsidR="005C21DD" w:rsidRDefault="005C21DD" w:rsidP="005C21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ED238"/>
    <w:multiLevelType w:val="hybridMultilevel"/>
    <w:tmpl w:val="444217D8"/>
    <w:lvl w:ilvl="0" w:tplc="0F20828C">
      <w:start w:val="1"/>
      <w:numFmt w:val="bullet"/>
      <w:lvlText w:val=""/>
      <w:lvlJc w:val="left"/>
      <w:pPr>
        <w:ind w:left="720" w:hanging="360"/>
      </w:pPr>
      <w:rPr>
        <w:rFonts w:ascii="Symbol" w:hAnsi="Symbol" w:hint="default"/>
      </w:rPr>
    </w:lvl>
    <w:lvl w:ilvl="1" w:tplc="CB60A73C">
      <w:start w:val="1"/>
      <w:numFmt w:val="bullet"/>
      <w:lvlText w:val="o"/>
      <w:lvlJc w:val="left"/>
      <w:pPr>
        <w:ind w:left="1440" w:hanging="360"/>
      </w:pPr>
      <w:rPr>
        <w:rFonts w:ascii="Courier New" w:hAnsi="Courier New" w:hint="default"/>
      </w:rPr>
    </w:lvl>
    <w:lvl w:ilvl="2" w:tplc="444A3954">
      <w:start w:val="1"/>
      <w:numFmt w:val="bullet"/>
      <w:lvlText w:val=""/>
      <w:lvlJc w:val="left"/>
      <w:pPr>
        <w:ind w:left="2160" w:hanging="360"/>
      </w:pPr>
      <w:rPr>
        <w:rFonts w:ascii="Wingdings" w:hAnsi="Wingdings" w:hint="default"/>
      </w:rPr>
    </w:lvl>
    <w:lvl w:ilvl="3" w:tplc="D82805D8">
      <w:start w:val="1"/>
      <w:numFmt w:val="bullet"/>
      <w:lvlText w:val=""/>
      <w:lvlJc w:val="left"/>
      <w:pPr>
        <w:ind w:left="2880" w:hanging="360"/>
      </w:pPr>
      <w:rPr>
        <w:rFonts w:ascii="Symbol" w:hAnsi="Symbol" w:hint="default"/>
      </w:rPr>
    </w:lvl>
    <w:lvl w:ilvl="4" w:tplc="793201FA">
      <w:start w:val="1"/>
      <w:numFmt w:val="bullet"/>
      <w:lvlText w:val="o"/>
      <w:lvlJc w:val="left"/>
      <w:pPr>
        <w:ind w:left="3600" w:hanging="360"/>
      </w:pPr>
      <w:rPr>
        <w:rFonts w:ascii="Courier New" w:hAnsi="Courier New" w:hint="default"/>
      </w:rPr>
    </w:lvl>
    <w:lvl w:ilvl="5" w:tplc="5044C8C4">
      <w:start w:val="1"/>
      <w:numFmt w:val="bullet"/>
      <w:lvlText w:val=""/>
      <w:lvlJc w:val="left"/>
      <w:pPr>
        <w:ind w:left="4320" w:hanging="360"/>
      </w:pPr>
      <w:rPr>
        <w:rFonts w:ascii="Wingdings" w:hAnsi="Wingdings" w:hint="default"/>
      </w:rPr>
    </w:lvl>
    <w:lvl w:ilvl="6" w:tplc="9FAAE818">
      <w:start w:val="1"/>
      <w:numFmt w:val="bullet"/>
      <w:lvlText w:val=""/>
      <w:lvlJc w:val="left"/>
      <w:pPr>
        <w:ind w:left="5040" w:hanging="360"/>
      </w:pPr>
      <w:rPr>
        <w:rFonts w:ascii="Symbol" w:hAnsi="Symbol" w:hint="default"/>
      </w:rPr>
    </w:lvl>
    <w:lvl w:ilvl="7" w:tplc="6DA60F36">
      <w:start w:val="1"/>
      <w:numFmt w:val="bullet"/>
      <w:lvlText w:val="o"/>
      <w:lvlJc w:val="left"/>
      <w:pPr>
        <w:ind w:left="5760" w:hanging="360"/>
      </w:pPr>
      <w:rPr>
        <w:rFonts w:ascii="Courier New" w:hAnsi="Courier New" w:hint="default"/>
      </w:rPr>
    </w:lvl>
    <w:lvl w:ilvl="8" w:tplc="F9F03780">
      <w:start w:val="1"/>
      <w:numFmt w:val="bullet"/>
      <w:lvlText w:val=""/>
      <w:lvlJc w:val="left"/>
      <w:pPr>
        <w:ind w:left="6480" w:hanging="360"/>
      </w:pPr>
      <w:rPr>
        <w:rFonts w:ascii="Wingdings" w:hAnsi="Wingdings" w:hint="default"/>
      </w:rPr>
    </w:lvl>
  </w:abstractNum>
  <w:abstractNum w:abstractNumId="1" w15:restartNumberingAfterBreak="0">
    <w:nsid w:val="17C054C1"/>
    <w:multiLevelType w:val="hybridMultilevel"/>
    <w:tmpl w:val="74403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C80366"/>
    <w:multiLevelType w:val="hybridMultilevel"/>
    <w:tmpl w:val="28BE66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B056E1"/>
    <w:multiLevelType w:val="hybridMultilevel"/>
    <w:tmpl w:val="8BE09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3A2549F"/>
    <w:multiLevelType w:val="hybridMultilevel"/>
    <w:tmpl w:val="258010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5EE53DFE"/>
    <w:multiLevelType w:val="multilevel"/>
    <w:tmpl w:val="CF92CDA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E0670B"/>
    <w:multiLevelType w:val="hybridMultilevel"/>
    <w:tmpl w:val="C5365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21030310">
    <w:abstractNumId w:val="0"/>
  </w:num>
  <w:num w:numId="2" w16cid:durableId="955255567">
    <w:abstractNumId w:val="6"/>
  </w:num>
  <w:num w:numId="3" w16cid:durableId="2050521623">
    <w:abstractNumId w:val="2"/>
  </w:num>
  <w:num w:numId="4" w16cid:durableId="122962880">
    <w:abstractNumId w:val="5"/>
  </w:num>
  <w:num w:numId="5" w16cid:durableId="1104494943">
    <w:abstractNumId w:val="1"/>
  </w:num>
  <w:num w:numId="6" w16cid:durableId="993483730">
    <w:abstractNumId w:val="4"/>
  </w:num>
  <w:num w:numId="7" w16cid:durableId="9379117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EE6D834"/>
    <w:rsid w:val="002644F3"/>
    <w:rsid w:val="002E71F7"/>
    <w:rsid w:val="0038407B"/>
    <w:rsid w:val="00451B19"/>
    <w:rsid w:val="005C21DD"/>
    <w:rsid w:val="00671D88"/>
    <w:rsid w:val="006A6825"/>
    <w:rsid w:val="006C7EC4"/>
    <w:rsid w:val="00723B6A"/>
    <w:rsid w:val="00A8552E"/>
    <w:rsid w:val="00CF76AB"/>
    <w:rsid w:val="00EB0F0D"/>
    <w:rsid w:val="00F20118"/>
    <w:rsid w:val="00FA4822"/>
    <w:rsid w:val="0180075C"/>
    <w:rsid w:val="01B600CC"/>
    <w:rsid w:val="03251124"/>
    <w:rsid w:val="03C7FDAD"/>
    <w:rsid w:val="046D4E8E"/>
    <w:rsid w:val="04A31E27"/>
    <w:rsid w:val="05454C0B"/>
    <w:rsid w:val="066BDC84"/>
    <w:rsid w:val="0781FB3F"/>
    <w:rsid w:val="093B25E8"/>
    <w:rsid w:val="0A8ACD6D"/>
    <w:rsid w:val="0C13B9F5"/>
    <w:rsid w:val="0D1EED17"/>
    <w:rsid w:val="0E5D5DD1"/>
    <w:rsid w:val="0F09E234"/>
    <w:rsid w:val="0FC74E6A"/>
    <w:rsid w:val="10870569"/>
    <w:rsid w:val="1378AA5D"/>
    <w:rsid w:val="154C85C9"/>
    <w:rsid w:val="15CB259E"/>
    <w:rsid w:val="16550097"/>
    <w:rsid w:val="16DCFB29"/>
    <w:rsid w:val="16DDFF85"/>
    <w:rsid w:val="1C16376F"/>
    <w:rsid w:val="1C590D01"/>
    <w:rsid w:val="1D1D8D31"/>
    <w:rsid w:val="1E12EB73"/>
    <w:rsid w:val="1E3A16B3"/>
    <w:rsid w:val="1F120E46"/>
    <w:rsid w:val="1F56D9E5"/>
    <w:rsid w:val="1FA33550"/>
    <w:rsid w:val="2429EC95"/>
    <w:rsid w:val="26215B37"/>
    <w:rsid w:val="26A25724"/>
    <w:rsid w:val="26B485CD"/>
    <w:rsid w:val="27EB202C"/>
    <w:rsid w:val="27F44387"/>
    <w:rsid w:val="295E3BE7"/>
    <w:rsid w:val="29FDAA7D"/>
    <w:rsid w:val="2B8C320C"/>
    <w:rsid w:val="2D4FDCF9"/>
    <w:rsid w:val="2DC1D662"/>
    <w:rsid w:val="2F8CEB50"/>
    <w:rsid w:val="2FC7671F"/>
    <w:rsid w:val="30D6914C"/>
    <w:rsid w:val="334363E3"/>
    <w:rsid w:val="334697DB"/>
    <w:rsid w:val="33970C65"/>
    <w:rsid w:val="34F18B01"/>
    <w:rsid w:val="35BE93F1"/>
    <w:rsid w:val="36049158"/>
    <w:rsid w:val="36538DD1"/>
    <w:rsid w:val="3B9D3B10"/>
    <w:rsid w:val="3D563AEC"/>
    <w:rsid w:val="3EE6D834"/>
    <w:rsid w:val="3FBCEC76"/>
    <w:rsid w:val="40711E9B"/>
    <w:rsid w:val="409DED21"/>
    <w:rsid w:val="41373F2C"/>
    <w:rsid w:val="41E11EEE"/>
    <w:rsid w:val="4246FBA0"/>
    <w:rsid w:val="43CFE10A"/>
    <w:rsid w:val="444B22A9"/>
    <w:rsid w:val="457E03D7"/>
    <w:rsid w:val="459EDCBD"/>
    <w:rsid w:val="4718EDE6"/>
    <w:rsid w:val="4730014C"/>
    <w:rsid w:val="4A0F8DBC"/>
    <w:rsid w:val="4A4FAF9A"/>
    <w:rsid w:val="4B9C6B70"/>
    <w:rsid w:val="4D7DC3E2"/>
    <w:rsid w:val="4DAD8BD8"/>
    <w:rsid w:val="4E4FF7A0"/>
    <w:rsid w:val="4E5AE5A6"/>
    <w:rsid w:val="4E945767"/>
    <w:rsid w:val="4F21BBC4"/>
    <w:rsid w:val="50051E5D"/>
    <w:rsid w:val="5349041C"/>
    <w:rsid w:val="54D6C668"/>
    <w:rsid w:val="5567F09D"/>
    <w:rsid w:val="56F2192B"/>
    <w:rsid w:val="57DF1C98"/>
    <w:rsid w:val="58802E5B"/>
    <w:rsid w:val="59B2C5EF"/>
    <w:rsid w:val="5B0F133C"/>
    <w:rsid w:val="5BCBF395"/>
    <w:rsid w:val="5D06A9FF"/>
    <w:rsid w:val="5EA5BDAF"/>
    <w:rsid w:val="5F53773A"/>
    <w:rsid w:val="5FD51D44"/>
    <w:rsid w:val="5FDB1379"/>
    <w:rsid w:val="61720E17"/>
    <w:rsid w:val="64404485"/>
    <w:rsid w:val="6488C365"/>
    <w:rsid w:val="66B84BCC"/>
    <w:rsid w:val="67377F3E"/>
    <w:rsid w:val="685DB17C"/>
    <w:rsid w:val="6A33FB8E"/>
    <w:rsid w:val="6B5002D4"/>
    <w:rsid w:val="6BE7E27C"/>
    <w:rsid w:val="7069F6C3"/>
    <w:rsid w:val="71235A2A"/>
    <w:rsid w:val="712B68BB"/>
    <w:rsid w:val="7428C29E"/>
    <w:rsid w:val="752F7C0E"/>
    <w:rsid w:val="75659D87"/>
    <w:rsid w:val="784D8CD6"/>
    <w:rsid w:val="7B3675C7"/>
    <w:rsid w:val="7F8E9A45"/>
    <w:rsid w:val="7FA85A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6D834"/>
  <w15:chartTrackingRefBased/>
  <w15:docId w15:val="{E3934C07-2089-4A22-8527-990BC5B1C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71F7"/>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29FDAA7D"/>
    <w:pPr>
      <w:ind w:left="720"/>
      <w:contextualSpacing/>
    </w:pPr>
  </w:style>
  <w:style w:type="character" w:styleId="Hyperlink">
    <w:name w:val="Hyperlink"/>
    <w:basedOn w:val="DefaultParagraphFont"/>
    <w:uiPriority w:val="99"/>
    <w:unhideWhenUsed/>
    <w:rsid w:val="29FDAA7D"/>
    <w:rPr>
      <w:color w:val="467886"/>
      <w:u w:val="single"/>
    </w:rPr>
  </w:style>
  <w:style w:type="paragraph" w:styleId="Header">
    <w:name w:val="header"/>
    <w:basedOn w:val="Normal"/>
    <w:link w:val="HeaderChar"/>
    <w:uiPriority w:val="99"/>
    <w:unhideWhenUsed/>
    <w:rsid w:val="005C21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21DD"/>
  </w:style>
  <w:style w:type="paragraph" w:styleId="Footer">
    <w:name w:val="footer"/>
    <w:basedOn w:val="Normal"/>
    <w:link w:val="FooterChar"/>
    <w:uiPriority w:val="99"/>
    <w:unhideWhenUsed/>
    <w:rsid w:val="005C21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21DD"/>
  </w:style>
  <w:style w:type="character" w:styleId="UnresolvedMention">
    <w:name w:val="Unresolved Mention"/>
    <w:basedOn w:val="DefaultParagraphFont"/>
    <w:uiPriority w:val="99"/>
    <w:semiHidden/>
    <w:unhideWhenUsed/>
    <w:rsid w:val="005C21DD"/>
    <w:rPr>
      <w:color w:val="605E5C"/>
      <w:shd w:val="clear" w:color="auto" w:fill="E1DFDD"/>
    </w:rPr>
  </w:style>
  <w:style w:type="character" w:styleId="FollowedHyperlink">
    <w:name w:val="FollowedHyperlink"/>
    <w:basedOn w:val="DefaultParagraphFont"/>
    <w:uiPriority w:val="99"/>
    <w:semiHidden/>
    <w:unhideWhenUsed/>
    <w:rsid w:val="00CF76A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pewresearch.org/wp-content/uploads/sites/20/2024/05/pl_2024.05.24_ev-chargers_report.pdf" TargetMode="External"/><Relationship Id="rId18" Type="http://schemas.openxmlformats.org/officeDocument/2006/relationships/hyperlink" Target="https://afdc.energy.gov/fuels/electricity-charging-multi"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visioneval.github.io/docs/model-inputs.html" TargetMode="External"/><Relationship Id="rId12" Type="http://schemas.openxmlformats.org/officeDocument/2006/relationships/hyperlink" Target="https://insideevs.com/news/627379/us-share-housing-units-garage-carport/" TargetMode="External"/><Relationship Id="rId17" Type="http://schemas.openxmlformats.org/officeDocument/2006/relationships/hyperlink" Target="https://docs.nrel.gov/docs/fy22osti/81065.pdf" TargetMode="External"/><Relationship Id="rId2" Type="http://schemas.openxmlformats.org/officeDocument/2006/relationships/styles" Target="styles.xml"/><Relationship Id="rId16" Type="http://schemas.openxmlformats.org/officeDocument/2006/relationships/hyperlink" Target="https://afdc.energy.gov/files/u/publication/electric_vehicle_charging_infrastructure_trends_first_quarter_2024.pdf"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vtrc.virginia.gov/media/vtrc/vtrc-pdf/vtrc-pdf/22-R21.pdf" TargetMode="External"/><Relationship Id="rId5" Type="http://schemas.openxmlformats.org/officeDocument/2006/relationships/footnotes" Target="footnotes.xml"/><Relationship Id="rId15" Type="http://schemas.openxmlformats.org/officeDocument/2006/relationships/hyperlink" Target="https://energyinnovation.org/report/the-state-of-electric-vehicle-charging-for-multifamily-housing/" TargetMode="External"/><Relationship Id="rId10" Type="http://schemas.openxmlformats.org/officeDocument/2006/relationships/hyperlink" Target="https://afdc.energy.gov/fuels/electricity-charging-multi" TargetMode="External"/><Relationship Id="rId19" Type="http://schemas.openxmlformats.org/officeDocument/2006/relationships/hyperlink" Target="https://pmc.ncbi.nlm.nih.gov/articles/PMC12177045/" TargetMode="External"/><Relationship Id="rId4" Type="http://schemas.openxmlformats.org/officeDocument/2006/relationships/webSettings" Target="webSettings.xml"/><Relationship Id="rId9" Type="http://schemas.openxmlformats.org/officeDocument/2006/relationships/hyperlink" Target="https://virginia.box.com/s/irjud9jhn28x5w6kq0gjz1ytm484wu74" TargetMode="External"/><Relationship Id="rId14" Type="http://schemas.openxmlformats.org/officeDocument/2006/relationships/hyperlink" Target="https://www.anl.gov/ev-facts/charging-infrastructure"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TotalTime>
  <Pages>3</Pages>
  <Words>1133</Words>
  <Characters>6109</Characters>
  <Application>Microsoft Office Word</Application>
  <DocSecurity>0</DocSecurity>
  <Lines>103</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Finkbeiner, Julia (uqf7ea)</dc:creator>
  <cp:keywords/>
  <dc:description/>
  <cp:lastModifiedBy>Miller, John S. (VDOT)</cp:lastModifiedBy>
  <cp:revision>5</cp:revision>
  <dcterms:created xsi:type="dcterms:W3CDTF">2026-04-10T20:14:00Z</dcterms:created>
  <dcterms:modified xsi:type="dcterms:W3CDTF">2026-04-12T17:45:00Z</dcterms:modified>
</cp:coreProperties>
</file>