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E7F9" w14:textId="698D0B32" w:rsidR="2B68821D" w:rsidRPr="00952CF1" w:rsidRDefault="00A822CD" w:rsidP="00952CF1">
      <w:pPr>
        <w:tabs>
          <w:tab w:val="num" w:pos="720"/>
        </w:tabs>
        <w:spacing w:after="0" w:line="240" w:lineRule="auto"/>
        <w:jc w:val="center"/>
        <w:rPr>
          <w:rFonts w:ascii="Calibri" w:hAnsi="Calibri" w:cs="Calibri"/>
          <w:color w:val="000000" w:themeColor="text1"/>
        </w:rPr>
      </w:pPr>
      <w:r w:rsidRPr="00952CF1">
        <w:rPr>
          <w:rFonts w:ascii="Calibri" w:hAnsi="Calibri" w:cs="Calibri"/>
          <w:b/>
          <w:bCs/>
          <w:color w:val="FF0000"/>
        </w:rPr>
        <w:t xml:space="preserve">Optional </w:t>
      </w:r>
      <w:r w:rsidR="2B68821D" w:rsidRPr="00952CF1">
        <w:rPr>
          <w:rFonts w:ascii="Calibri" w:hAnsi="Calibri" w:cs="Calibri"/>
          <w:b/>
          <w:bCs/>
          <w:color w:val="000000" w:themeColor="text1"/>
        </w:rPr>
        <w:t xml:space="preserve">File </w:t>
      </w:r>
      <w:r w:rsidR="0897686D" w:rsidRPr="00952CF1">
        <w:rPr>
          <w:rFonts w:ascii="Calibri" w:hAnsi="Calibri" w:cs="Calibri"/>
          <w:b/>
          <w:bCs/>
          <w:color w:val="000000" w:themeColor="text1"/>
        </w:rPr>
        <w:t>03_azone_electricity_carbon_intensity</w:t>
      </w:r>
    </w:p>
    <w:p w14:paraId="732FFAF7" w14:textId="61C075D0" w:rsidR="0897686D" w:rsidRPr="00952CF1" w:rsidRDefault="00354439" w:rsidP="00952CF1">
      <w:pPr>
        <w:tabs>
          <w:tab w:val="num" w:pos="720"/>
        </w:tabs>
        <w:spacing w:after="0" w:line="240" w:lineRule="auto"/>
        <w:jc w:val="center"/>
        <w:rPr>
          <w:rFonts w:ascii="Calibri" w:hAnsi="Calibri" w:cs="Calibri"/>
          <w:b/>
          <w:bCs/>
          <w:color w:val="000000" w:themeColor="text1"/>
        </w:rPr>
      </w:pPr>
      <w:r w:rsidRPr="00952CF1">
        <w:rPr>
          <w:rFonts w:ascii="Calibri" w:hAnsi="Calibri" w:cs="Calibri"/>
          <w:b/>
          <w:bCs/>
          <w:color w:val="000000" w:themeColor="text1"/>
        </w:rPr>
        <w:t>May 31, 2026</w:t>
      </w:r>
    </w:p>
    <w:p w14:paraId="268575E0" w14:textId="77777777" w:rsidR="00354439" w:rsidRPr="00952CF1" w:rsidRDefault="00354439" w:rsidP="00952CF1">
      <w:pPr>
        <w:tabs>
          <w:tab w:val="num" w:pos="720"/>
        </w:tabs>
        <w:spacing w:after="0" w:line="240" w:lineRule="auto"/>
        <w:jc w:val="center"/>
        <w:rPr>
          <w:rFonts w:ascii="Calibri" w:hAnsi="Calibri" w:cs="Calibri"/>
          <w:b/>
          <w:bCs/>
          <w:color w:val="000000" w:themeColor="text1"/>
        </w:rPr>
      </w:pPr>
    </w:p>
    <w:p w14:paraId="453A44AC" w14:textId="6416E567" w:rsidR="2B68821D" w:rsidRPr="00952CF1" w:rsidRDefault="2B68821D" w:rsidP="00952CF1">
      <w:pPr>
        <w:tabs>
          <w:tab w:val="num" w:pos="720"/>
        </w:tabs>
        <w:spacing w:after="0" w:line="240" w:lineRule="auto"/>
        <w:rPr>
          <w:rFonts w:ascii="Calibri" w:hAnsi="Calibri" w:cs="Calibri"/>
          <w:color w:val="000000" w:themeColor="text1"/>
        </w:rPr>
      </w:pPr>
      <w:r w:rsidRPr="00952CF1">
        <w:rPr>
          <w:rFonts w:ascii="Calibri" w:hAnsi="Calibri" w:cs="Calibri"/>
          <w:b/>
          <w:bCs/>
          <w:color w:val="000000" w:themeColor="text1"/>
        </w:rPr>
        <w:t>Definition of the Input File</w:t>
      </w:r>
    </w:p>
    <w:p w14:paraId="70BBAD36" w14:textId="6D7BFC89" w:rsidR="63B6030D" w:rsidRPr="00952CF1" w:rsidRDefault="63B6030D" w:rsidP="00952CF1">
      <w:pPr>
        <w:spacing w:after="0" w:line="240" w:lineRule="auto"/>
        <w:rPr>
          <w:rFonts w:ascii="Calibri" w:hAnsi="Calibri" w:cs="Calibri"/>
        </w:rPr>
      </w:pPr>
    </w:p>
    <w:p w14:paraId="0D82E65B" w14:textId="66708A2F" w:rsidR="577BFA11" w:rsidRPr="00952CF1" w:rsidRDefault="577BFA11" w:rsidP="00952CF1">
      <w:pPr>
        <w:spacing w:after="0" w:line="240" w:lineRule="auto"/>
        <w:ind w:firstLine="720"/>
        <w:rPr>
          <w:rFonts w:ascii="Calibri" w:hAnsi="Calibri" w:cs="Calibri"/>
          <w:color w:val="1F1F1F"/>
        </w:rPr>
      </w:pPr>
      <w:r w:rsidRPr="00952CF1">
        <w:rPr>
          <w:rFonts w:ascii="Calibri" w:hAnsi="Calibri" w:cs="Calibri"/>
          <w:color w:val="1F1F1F"/>
        </w:rPr>
        <w:t>VisionEval (</w:t>
      </w:r>
      <w:hyperlink r:id="rId5">
        <w:r w:rsidRPr="00952CF1">
          <w:rPr>
            <w:rStyle w:val="Hyperlink"/>
            <w:rFonts w:ascii="Calibri" w:hAnsi="Calibri" w:cs="Calibri"/>
            <w:color w:val="0B57D0"/>
          </w:rPr>
          <w:t>https://visioneval.github.io/docs/model-inputs.html</w:t>
        </w:r>
      </w:hyperlink>
      <w:r w:rsidRPr="00952CF1">
        <w:rPr>
          <w:rFonts w:ascii="Calibri" w:hAnsi="Calibri" w:cs="Calibri"/>
          <w:color w:val="1F1F1F"/>
        </w:rPr>
        <w:t xml:space="preserve">) </w:t>
      </w:r>
      <w:r w:rsidR="00A822CD" w:rsidRPr="00952CF1">
        <w:rPr>
          <w:rFonts w:ascii="Calibri" w:hAnsi="Calibri" w:cs="Calibri"/>
          <w:color w:val="1F1F1F"/>
        </w:rPr>
        <w:t xml:space="preserve">uses </w:t>
      </w:r>
      <w:r w:rsidRPr="00952CF1">
        <w:rPr>
          <w:rFonts w:ascii="Calibri" w:hAnsi="Calibri" w:cs="Calibri"/>
          <w:color w:val="1F1F1F"/>
        </w:rPr>
        <w:t>th</w:t>
      </w:r>
      <w:r w:rsidR="00A822CD" w:rsidRPr="00952CF1">
        <w:rPr>
          <w:rFonts w:ascii="Calibri" w:hAnsi="Calibri" w:cs="Calibri"/>
          <w:color w:val="1F1F1F"/>
        </w:rPr>
        <w:t>is</w:t>
      </w:r>
      <w:r w:rsidRPr="00952CF1">
        <w:rPr>
          <w:rFonts w:ascii="Calibri" w:hAnsi="Calibri" w:cs="Calibri"/>
          <w:color w:val="1F1F1F"/>
        </w:rPr>
        <w:t xml:space="preserve"> </w:t>
      </w:r>
      <w:r w:rsidR="00A822CD" w:rsidRPr="00952CF1">
        <w:rPr>
          <w:rFonts w:ascii="Calibri" w:hAnsi="Calibri" w:cs="Calibri"/>
          <w:color w:val="1F1F1F"/>
        </w:rPr>
        <w:t xml:space="preserve">optional </w:t>
      </w:r>
      <w:r w:rsidRPr="00952CF1">
        <w:rPr>
          <w:rFonts w:ascii="Calibri" w:hAnsi="Calibri" w:cs="Calibri"/>
          <w:color w:val="1F1F1F"/>
        </w:rPr>
        <w:t>file to define the greenhouse gas emissions associated with electricity consumption. This is measured in grams of CO₂ equivalent per megajoule (gCO₂e/MJ).</w:t>
      </w:r>
      <w:r w:rsidR="00A822CD" w:rsidRPr="00952CF1">
        <w:rPr>
          <w:rFonts w:ascii="Calibri" w:hAnsi="Calibri" w:cs="Calibri"/>
          <w:color w:val="1F1F1F"/>
        </w:rPr>
        <w:t xml:space="preserve">  This file is not required—the user can simply omit it from the base run if desired.</w:t>
      </w:r>
      <w:r w:rsidR="00D8147C" w:rsidRPr="00952CF1">
        <w:rPr>
          <w:rFonts w:ascii="Calibri" w:hAnsi="Calibri" w:cs="Calibri"/>
          <w:color w:val="1F1F1F"/>
        </w:rPr>
        <w:t xml:space="preserve">  If the user choose</w:t>
      </w:r>
      <w:r w:rsidR="00952CF1">
        <w:rPr>
          <w:rFonts w:ascii="Calibri" w:hAnsi="Calibri" w:cs="Calibri"/>
          <w:color w:val="1F1F1F"/>
        </w:rPr>
        <w:t>s</w:t>
      </w:r>
      <w:r w:rsidR="00D8147C" w:rsidRPr="00952CF1">
        <w:rPr>
          <w:rFonts w:ascii="Calibri" w:hAnsi="Calibri" w:cs="Calibri"/>
          <w:color w:val="1F1F1F"/>
        </w:rPr>
        <w:t xml:space="preserve"> to use this file, the primary advantage is to tailor the output to local conditions.  For example, the data below suggest that in year 2024, Albemarle will generate 87.3 gCO</w:t>
      </w:r>
      <w:r w:rsidR="00D8147C" w:rsidRPr="00952CF1">
        <w:rPr>
          <w:rFonts w:ascii="Calibri" w:hAnsi="Calibri" w:cs="Calibri"/>
          <w:color w:val="1F1F1F"/>
        </w:rPr>
        <w:t>₂e</w:t>
      </w:r>
      <w:r w:rsidR="00D8147C" w:rsidRPr="00952CF1">
        <w:rPr>
          <w:rFonts w:ascii="Calibri" w:hAnsi="Calibri" w:cs="Calibri"/>
          <w:color w:val="1F1F1F"/>
        </w:rPr>
        <w:t xml:space="preserve"> per MJ of electricity, but year 2045 will see this value drop to 70.8 gCO</w:t>
      </w:r>
      <w:r w:rsidR="00D8147C" w:rsidRPr="00952CF1">
        <w:rPr>
          <w:rFonts w:ascii="Calibri" w:hAnsi="Calibri" w:cs="Calibri"/>
          <w:color w:val="1F1F1F"/>
        </w:rPr>
        <w:t>₂e</w:t>
      </w:r>
      <w:r w:rsidR="00D8147C" w:rsidRPr="00952CF1">
        <w:rPr>
          <w:rFonts w:ascii="Calibri" w:hAnsi="Calibri" w:cs="Calibri"/>
          <w:color w:val="1F1F1F"/>
        </w:rPr>
        <w:t>.</w:t>
      </w:r>
    </w:p>
    <w:p w14:paraId="101E4279" w14:textId="77777777" w:rsidR="00D8147C" w:rsidRPr="00952CF1" w:rsidRDefault="00D8147C" w:rsidP="00952CF1">
      <w:pPr>
        <w:spacing w:after="0" w:line="240" w:lineRule="auto"/>
        <w:ind w:firstLine="720"/>
        <w:rPr>
          <w:rFonts w:ascii="Calibri" w:hAnsi="Calibri" w:cs="Calibri"/>
          <w:color w:val="1F1F1F"/>
        </w:rPr>
      </w:pPr>
    </w:p>
    <w:p w14:paraId="486184DB" w14:textId="670867A1" w:rsidR="00D8147C" w:rsidRPr="00952CF1" w:rsidRDefault="00D8147C" w:rsidP="00952CF1">
      <w:pPr>
        <w:spacing w:after="0" w:line="240" w:lineRule="auto"/>
        <w:ind w:firstLine="720"/>
        <w:rPr>
          <w:rFonts w:ascii="Calibri" w:hAnsi="Calibri" w:cs="Calibri"/>
          <w:color w:val="1F1F1F"/>
        </w:rPr>
      </w:pPr>
      <w:r w:rsidRPr="00952CF1">
        <w:rPr>
          <w:rFonts w:ascii="Calibri" w:hAnsi="Calibri" w:cs="Calibri"/>
          <w:color w:val="1F1F1F"/>
        </w:rPr>
        <w:drawing>
          <wp:inline distT="0" distB="0" distL="0" distR="0" wp14:anchorId="487C8971" wp14:editId="6CB19ADA">
            <wp:extent cx="2162477" cy="1352739"/>
            <wp:effectExtent l="0" t="0" r="9525" b="0"/>
            <wp:docPr id="107669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5519" name=""/>
                    <pic:cNvPicPr/>
                  </pic:nvPicPr>
                  <pic:blipFill>
                    <a:blip r:embed="rId6"/>
                    <a:stretch>
                      <a:fillRect/>
                    </a:stretch>
                  </pic:blipFill>
                  <pic:spPr>
                    <a:xfrm>
                      <a:off x="0" y="0"/>
                      <a:ext cx="2162477" cy="1352739"/>
                    </a:xfrm>
                    <a:prstGeom prst="rect">
                      <a:avLst/>
                    </a:prstGeom>
                  </pic:spPr>
                </pic:pic>
              </a:graphicData>
            </a:graphic>
          </wp:inline>
        </w:drawing>
      </w:r>
    </w:p>
    <w:p w14:paraId="7CD1DDB0" w14:textId="7A1A8732" w:rsidR="63B6030D" w:rsidRPr="00952CF1" w:rsidRDefault="63B6030D" w:rsidP="00952CF1">
      <w:pPr>
        <w:spacing w:after="0" w:line="240" w:lineRule="auto"/>
        <w:rPr>
          <w:rFonts w:ascii="Calibri" w:hAnsi="Calibri" w:cs="Calibri"/>
        </w:rPr>
      </w:pPr>
    </w:p>
    <w:p w14:paraId="1EA91CEF" w14:textId="135578EA" w:rsidR="577BFA11" w:rsidRPr="00952CF1" w:rsidRDefault="577BFA11" w:rsidP="00952CF1">
      <w:pPr>
        <w:pStyle w:val="Heading3"/>
        <w:spacing w:before="0" w:after="0" w:line="240" w:lineRule="auto"/>
        <w:rPr>
          <w:rFonts w:ascii="Calibri" w:eastAsiaTheme="minorEastAsia" w:hAnsi="Calibri" w:cs="Calibri"/>
          <w:b/>
          <w:bCs/>
          <w:color w:val="1F1F1F"/>
          <w:sz w:val="24"/>
          <w:szCs w:val="24"/>
        </w:rPr>
      </w:pPr>
      <w:r w:rsidRPr="00952CF1">
        <w:rPr>
          <w:rFonts w:ascii="Calibri" w:eastAsiaTheme="minorEastAsia" w:hAnsi="Calibri" w:cs="Calibri"/>
          <w:b/>
          <w:bCs/>
          <w:color w:val="1F1F1F"/>
          <w:sz w:val="24"/>
          <w:szCs w:val="24"/>
        </w:rPr>
        <w:t>Possible Scenario</w:t>
      </w:r>
    </w:p>
    <w:p w14:paraId="2186ECB8" w14:textId="77777777" w:rsidR="00D8147C" w:rsidRPr="00952CF1" w:rsidRDefault="00D8147C" w:rsidP="00952CF1">
      <w:pPr>
        <w:spacing w:after="0" w:line="240" w:lineRule="auto"/>
        <w:rPr>
          <w:rFonts w:ascii="Calibri" w:hAnsi="Calibri" w:cs="Calibri"/>
        </w:rPr>
      </w:pPr>
    </w:p>
    <w:p w14:paraId="344F36CD" w14:textId="32139E40" w:rsidR="577BFA11" w:rsidRDefault="577BFA11" w:rsidP="00952CF1">
      <w:pPr>
        <w:spacing w:after="0" w:line="240" w:lineRule="auto"/>
        <w:ind w:firstLine="720"/>
        <w:rPr>
          <w:rFonts w:ascii="Calibri" w:hAnsi="Calibri" w:cs="Calibri"/>
          <w:color w:val="1F1F1F"/>
        </w:rPr>
      </w:pPr>
      <w:r w:rsidRPr="00952CF1">
        <w:rPr>
          <w:rFonts w:ascii="Calibri" w:hAnsi="Calibri" w:cs="Calibri"/>
          <w:color w:val="1F1F1F"/>
        </w:rPr>
        <w:t>One primary scenario in VisionEval using this input is to examine how the decarbonization of the electrical grid influences the total greenhouse gas (GHG) reduction benefits of transitioning to electric vehicles.</w:t>
      </w:r>
    </w:p>
    <w:p w14:paraId="63852261" w14:textId="77777777" w:rsidR="00952CF1" w:rsidRPr="00952CF1" w:rsidRDefault="00952CF1" w:rsidP="00952CF1">
      <w:pPr>
        <w:spacing w:after="0" w:line="240" w:lineRule="auto"/>
        <w:ind w:firstLine="720"/>
        <w:rPr>
          <w:rFonts w:ascii="Calibri" w:hAnsi="Calibri" w:cs="Calibri"/>
          <w:color w:val="1F1F1F"/>
        </w:rPr>
      </w:pPr>
    </w:p>
    <w:p w14:paraId="695A57A0" w14:textId="730C1938" w:rsidR="577BFA11" w:rsidRPr="00952CF1" w:rsidRDefault="577BFA11" w:rsidP="00952CF1">
      <w:pPr>
        <w:spacing w:after="0" w:line="240" w:lineRule="auto"/>
        <w:ind w:firstLine="720"/>
        <w:rPr>
          <w:rFonts w:ascii="Calibri" w:hAnsi="Calibri" w:cs="Calibri"/>
          <w:color w:val="1F1F1F"/>
        </w:rPr>
      </w:pPr>
      <w:r w:rsidRPr="00952CF1">
        <w:rPr>
          <w:rFonts w:ascii="Calibri" w:hAnsi="Calibri" w:cs="Calibri"/>
          <w:color w:val="1F1F1F"/>
        </w:rPr>
        <w:t xml:space="preserve">As noted in </w:t>
      </w:r>
      <w:hyperlink r:id="rId7" w:tgtFrame="_blank" w:history="1">
        <w:r w:rsidR="00952CF1" w:rsidRPr="00952CF1">
          <w:rPr>
            <w:rStyle w:val="Hyperlink"/>
            <w:rFonts w:asciiTheme="majorHAnsi" w:hAnsiTheme="majorHAnsi" w:cstheme="majorHAnsi"/>
            <w:i/>
            <w:iCs/>
          </w:rPr>
          <w:t>A Playbook for Simplified Approaches for Creating Scenarios in VisionEval</w:t>
        </w:r>
      </w:hyperlink>
      <w:r w:rsidRPr="00952CF1">
        <w:rPr>
          <w:rFonts w:ascii="Calibri" w:hAnsi="Calibri" w:cs="Calibri"/>
          <w:color w:val="1F1F1F"/>
        </w:rPr>
        <w:t>, users can explore how aggressive renewable energy mandates (like those in the Virginia Clean Economy Act) impact the "upstream" emissions of transportation. Lowering the carbon intensity value reflects a cleaner grid, which maximizes the environmental benefits of high EV adoption rates.</w:t>
      </w:r>
      <w:r w:rsidR="00D8147C" w:rsidRPr="00952CF1">
        <w:rPr>
          <w:rFonts w:ascii="Calibri" w:hAnsi="Calibri" w:cs="Calibri"/>
          <w:color w:val="1F1F1F"/>
        </w:rPr>
        <w:t xml:space="preserve">  </w:t>
      </w:r>
    </w:p>
    <w:p w14:paraId="559B95B8" w14:textId="77777777" w:rsidR="00D8147C" w:rsidRPr="00952CF1" w:rsidRDefault="00D8147C" w:rsidP="00952CF1">
      <w:pPr>
        <w:spacing w:after="0" w:line="240" w:lineRule="auto"/>
        <w:rPr>
          <w:rFonts w:ascii="Calibri" w:hAnsi="Calibri" w:cs="Calibri"/>
          <w:color w:val="1F1F1F"/>
        </w:rPr>
      </w:pPr>
    </w:p>
    <w:p w14:paraId="6FD44FC9" w14:textId="2704CC83" w:rsidR="577BFA11" w:rsidRPr="00952CF1" w:rsidRDefault="577BFA11" w:rsidP="00952CF1">
      <w:pPr>
        <w:pStyle w:val="Heading3"/>
        <w:spacing w:before="0" w:after="0" w:line="240" w:lineRule="auto"/>
        <w:rPr>
          <w:rFonts w:ascii="Calibri" w:eastAsiaTheme="minorEastAsia" w:hAnsi="Calibri" w:cs="Calibri"/>
          <w:b/>
          <w:bCs/>
          <w:color w:val="1F1F1F"/>
          <w:sz w:val="24"/>
          <w:szCs w:val="24"/>
        </w:rPr>
      </w:pPr>
      <w:r w:rsidRPr="00952CF1">
        <w:rPr>
          <w:rFonts w:ascii="Calibri" w:eastAsiaTheme="minorEastAsia" w:hAnsi="Calibri" w:cs="Calibri"/>
          <w:b/>
          <w:bCs/>
          <w:color w:val="1F1F1F"/>
          <w:sz w:val="24"/>
          <w:szCs w:val="24"/>
        </w:rPr>
        <w:t xml:space="preserve">Method Used for Virginia </w:t>
      </w:r>
    </w:p>
    <w:p w14:paraId="5604B92C" w14:textId="77777777" w:rsidR="00D8147C" w:rsidRPr="00952CF1" w:rsidRDefault="00D8147C" w:rsidP="00952CF1">
      <w:pPr>
        <w:spacing w:after="0" w:line="240" w:lineRule="auto"/>
        <w:rPr>
          <w:rFonts w:ascii="Calibri" w:hAnsi="Calibri" w:cs="Calibri"/>
        </w:rPr>
      </w:pPr>
    </w:p>
    <w:p w14:paraId="06A7F3FC" w14:textId="48BE309D" w:rsidR="00AF1FE8" w:rsidRDefault="00F767B2" w:rsidP="00952CF1">
      <w:pPr>
        <w:spacing w:after="0" w:line="240" w:lineRule="auto"/>
        <w:rPr>
          <w:rFonts w:ascii="Calibri" w:hAnsi="Calibri" w:cs="Calibri"/>
        </w:rPr>
      </w:pPr>
      <w:r w:rsidRPr="00952CF1">
        <w:rPr>
          <w:rFonts w:ascii="Calibri" w:hAnsi="Calibri" w:cs="Calibri"/>
        </w:rPr>
        <w:tab/>
        <w:t xml:space="preserve">The EPA provides a greenhouse gas </w:t>
      </w:r>
      <w:r w:rsidR="002E0E9B" w:rsidRPr="00952CF1">
        <w:rPr>
          <w:rFonts w:ascii="Calibri" w:hAnsi="Calibri" w:cs="Calibri"/>
        </w:rPr>
        <w:t>equivalencies</w:t>
      </w:r>
      <w:r w:rsidRPr="00952CF1">
        <w:rPr>
          <w:rFonts w:ascii="Calibri" w:hAnsi="Calibri" w:cs="Calibri"/>
        </w:rPr>
        <w:t xml:space="preserve"> calculator (</w:t>
      </w:r>
      <w:hyperlink r:id="rId8" w:history="1">
        <w:r w:rsidRPr="00952CF1">
          <w:rPr>
            <w:rStyle w:val="Hyperlink"/>
            <w:rFonts w:ascii="Calibri" w:hAnsi="Calibri" w:cs="Calibri"/>
          </w:rPr>
          <w:t>https://www.epa.gov/energy/greenhouse-gas-equivalencies-calculator</w:t>
        </w:r>
      </w:hyperlink>
      <w:r w:rsidRPr="00952CF1">
        <w:rPr>
          <w:rFonts w:ascii="Calibri" w:hAnsi="Calibri" w:cs="Calibri"/>
        </w:rPr>
        <w:t xml:space="preserve">) for which one may enter a zip code and the number of kilowatt-hours used and one is returned the number of grams of CO2 equivalent. </w:t>
      </w:r>
      <w:r w:rsidR="00AF1FE8" w:rsidRPr="00952CF1">
        <w:rPr>
          <w:rFonts w:ascii="Calibri" w:hAnsi="Calibri" w:cs="Calibri"/>
        </w:rPr>
        <w:t xml:space="preserve">For each zip code, the research team entered 277.8 kwH as an input (which is equal to 1,000 MJ) and then as an output received the number of </w:t>
      </w:r>
      <w:r w:rsidR="00D8147C" w:rsidRPr="00952CF1">
        <w:rPr>
          <w:rFonts w:ascii="Calibri" w:hAnsi="Calibri" w:cs="Calibri"/>
        </w:rPr>
        <w:t>k</w:t>
      </w:r>
      <w:r w:rsidR="00D8147C" w:rsidRPr="00952CF1">
        <w:rPr>
          <w:rFonts w:ascii="Calibri" w:hAnsi="Calibri" w:cs="Calibri"/>
          <w:color w:val="1F1F1F"/>
        </w:rPr>
        <w:t>gCO₂e</w:t>
      </w:r>
      <w:r w:rsidR="00AF1FE8" w:rsidRPr="00952CF1">
        <w:rPr>
          <w:rFonts w:ascii="Calibri" w:hAnsi="Calibri" w:cs="Calibri"/>
        </w:rPr>
        <w:t xml:space="preserve">; </w:t>
      </w:r>
      <w:proofErr w:type="gramStart"/>
      <w:r w:rsidR="00AF1FE8" w:rsidRPr="00952CF1">
        <w:rPr>
          <w:rFonts w:ascii="Calibri" w:hAnsi="Calibri" w:cs="Calibri"/>
        </w:rPr>
        <w:t>thus</w:t>
      </w:r>
      <w:proofErr w:type="gramEnd"/>
      <w:r w:rsidR="00AF1FE8" w:rsidRPr="00952CF1">
        <w:rPr>
          <w:rFonts w:ascii="Calibri" w:hAnsi="Calibri" w:cs="Calibri"/>
        </w:rPr>
        <w:t xml:space="preserve"> this number represented the number of grams per </w:t>
      </w:r>
      <w:r w:rsidR="00D8147C" w:rsidRPr="00952CF1">
        <w:rPr>
          <w:rFonts w:ascii="Calibri" w:hAnsi="Calibri" w:cs="Calibri"/>
        </w:rPr>
        <w:t xml:space="preserve">1 </w:t>
      </w:r>
      <w:r w:rsidR="00AF1FE8" w:rsidRPr="00952CF1">
        <w:rPr>
          <w:rFonts w:ascii="Calibri" w:hAnsi="Calibri" w:cs="Calibri"/>
        </w:rPr>
        <w:t xml:space="preserve">MJ.  (For example, for zip code 22003, entering the value of 277.8 kwh (which is 1,000 MJ) yields 82.7 kg of </w:t>
      </w:r>
      <w:r w:rsidR="00D8147C" w:rsidRPr="00952CF1">
        <w:rPr>
          <w:rFonts w:ascii="Calibri" w:hAnsi="Calibri" w:cs="Calibri"/>
          <w:color w:val="1F1F1F"/>
        </w:rPr>
        <w:t>CO₂e</w:t>
      </w:r>
      <w:r w:rsidR="00AF1FE8" w:rsidRPr="00952CF1">
        <w:rPr>
          <w:rFonts w:ascii="Calibri" w:hAnsi="Calibri" w:cs="Calibri"/>
        </w:rPr>
        <w:t xml:space="preserve">; this means 87.2 g of </w:t>
      </w:r>
      <w:r w:rsidR="00D8147C" w:rsidRPr="00952CF1">
        <w:rPr>
          <w:rFonts w:ascii="Calibri" w:hAnsi="Calibri" w:cs="Calibri"/>
          <w:color w:val="1F1F1F"/>
        </w:rPr>
        <w:t>CO₂e</w:t>
      </w:r>
      <w:r w:rsidR="00AF1FE8" w:rsidRPr="00952CF1">
        <w:rPr>
          <w:rFonts w:ascii="Calibri" w:hAnsi="Calibri" w:cs="Calibri"/>
        </w:rPr>
        <w:t xml:space="preserve"> </w:t>
      </w:r>
      <w:r w:rsidR="00D8147C" w:rsidRPr="00952CF1">
        <w:rPr>
          <w:rFonts w:ascii="Calibri" w:hAnsi="Calibri" w:cs="Calibri"/>
        </w:rPr>
        <w:t>per</w:t>
      </w:r>
      <w:r w:rsidR="00AF1FE8" w:rsidRPr="00952CF1">
        <w:rPr>
          <w:rFonts w:ascii="Calibri" w:hAnsi="Calibri" w:cs="Calibri"/>
        </w:rPr>
        <w:t xml:space="preserve"> 1 MJ).</w:t>
      </w:r>
    </w:p>
    <w:p w14:paraId="06F355C9" w14:textId="77777777" w:rsidR="00952CF1" w:rsidRPr="00952CF1" w:rsidRDefault="00952CF1" w:rsidP="00952CF1">
      <w:pPr>
        <w:spacing w:after="0" w:line="240" w:lineRule="auto"/>
        <w:rPr>
          <w:rFonts w:ascii="Calibri" w:hAnsi="Calibri" w:cs="Calibri"/>
        </w:rPr>
      </w:pPr>
    </w:p>
    <w:p w14:paraId="2F42DCB5" w14:textId="31672248" w:rsidR="00AF1FE8" w:rsidRDefault="00DB13F5" w:rsidP="00952CF1">
      <w:pPr>
        <w:spacing w:after="0" w:line="240" w:lineRule="auto"/>
        <w:ind w:firstLine="720"/>
        <w:rPr>
          <w:rFonts w:ascii="Calibri" w:hAnsi="Calibri" w:cs="Calibri"/>
        </w:rPr>
      </w:pPr>
      <w:r w:rsidRPr="00952CF1">
        <w:rPr>
          <w:rFonts w:ascii="Calibri" w:hAnsi="Calibri" w:cs="Calibri"/>
        </w:rPr>
        <w:t xml:space="preserve">The file </w:t>
      </w:r>
      <w:hyperlink r:id="rId9" w:history="1">
        <w:r w:rsidR="00331B86" w:rsidRPr="00952CF1">
          <w:rPr>
            <w:rStyle w:val="Hyperlink"/>
            <w:rFonts w:ascii="Calibri" w:hAnsi="Calibri" w:cs="Calibri"/>
          </w:rPr>
          <w:t>https://genguide.com.ng/complete-list-of-all-virginia-zip-codes/</w:t>
        </w:r>
      </w:hyperlink>
      <w:r w:rsidR="00331B86" w:rsidRPr="00952CF1">
        <w:rPr>
          <w:rFonts w:ascii="Calibri" w:hAnsi="Calibri" w:cs="Calibri"/>
        </w:rPr>
        <w:t xml:space="preserve"> provides over 825 zip codes for Virginia’s cities and counties.  For each city or county, the team </w:t>
      </w:r>
      <w:proofErr w:type="gramStart"/>
      <w:r w:rsidR="00331B86" w:rsidRPr="00952CF1">
        <w:rPr>
          <w:rFonts w:ascii="Calibri" w:hAnsi="Calibri" w:cs="Calibri"/>
        </w:rPr>
        <w:t>choose</w:t>
      </w:r>
      <w:proofErr w:type="gramEnd"/>
      <w:r w:rsidR="00331B86" w:rsidRPr="00952CF1">
        <w:rPr>
          <w:rFonts w:ascii="Calibri" w:hAnsi="Calibri" w:cs="Calibri"/>
        </w:rPr>
        <w:t xml:space="preserve"> the zip code with the largest </w:t>
      </w:r>
      <w:r w:rsidR="002E0E9B" w:rsidRPr="00952CF1">
        <w:rPr>
          <w:rFonts w:ascii="Calibri" w:hAnsi="Calibri" w:cs="Calibri"/>
        </w:rPr>
        <w:t>population</w:t>
      </w:r>
      <w:r w:rsidR="00331B86" w:rsidRPr="00952CF1">
        <w:rPr>
          <w:rFonts w:ascii="Calibri" w:hAnsi="Calibri" w:cs="Calibri"/>
        </w:rPr>
        <w:t xml:space="preserve"> and </w:t>
      </w:r>
      <w:proofErr w:type="gramStart"/>
      <w:r w:rsidR="00331B86" w:rsidRPr="00952CF1">
        <w:rPr>
          <w:rFonts w:ascii="Calibri" w:hAnsi="Calibri" w:cs="Calibri"/>
        </w:rPr>
        <w:t>used</w:t>
      </w:r>
      <w:proofErr w:type="gramEnd"/>
      <w:r w:rsidR="00331B86" w:rsidRPr="00952CF1">
        <w:rPr>
          <w:rFonts w:ascii="Calibri" w:hAnsi="Calibri" w:cs="Calibri"/>
        </w:rPr>
        <w:t xml:space="preserve"> that in the calculator.</w:t>
      </w:r>
    </w:p>
    <w:p w14:paraId="5A3E8598" w14:textId="77777777" w:rsidR="00952CF1" w:rsidRPr="00952CF1" w:rsidRDefault="00952CF1" w:rsidP="00952CF1">
      <w:pPr>
        <w:spacing w:after="0" w:line="240" w:lineRule="auto"/>
        <w:ind w:firstLine="720"/>
        <w:rPr>
          <w:rFonts w:ascii="Calibri" w:hAnsi="Calibri" w:cs="Calibri"/>
        </w:rPr>
      </w:pPr>
    </w:p>
    <w:p w14:paraId="4FC41D3D" w14:textId="421B2B7C" w:rsidR="00354439" w:rsidRDefault="00331B86" w:rsidP="00952CF1">
      <w:pPr>
        <w:spacing w:after="0" w:line="240" w:lineRule="auto"/>
        <w:ind w:firstLine="720"/>
        <w:rPr>
          <w:rFonts w:ascii="Calibri" w:hAnsi="Calibri" w:cs="Calibri"/>
        </w:rPr>
      </w:pPr>
      <w:r w:rsidRPr="00952CF1">
        <w:rPr>
          <w:rFonts w:ascii="Calibri" w:hAnsi="Calibri" w:cs="Calibri"/>
        </w:rPr>
        <w:t xml:space="preserve">Almost </w:t>
      </w:r>
      <w:proofErr w:type="gramStart"/>
      <w:r w:rsidRPr="00952CF1">
        <w:rPr>
          <w:rFonts w:ascii="Calibri" w:hAnsi="Calibri" w:cs="Calibri"/>
        </w:rPr>
        <w:t>all of</w:t>
      </w:r>
      <w:proofErr w:type="gramEnd"/>
      <w:r w:rsidRPr="00952CF1">
        <w:rPr>
          <w:rFonts w:ascii="Calibri" w:hAnsi="Calibri" w:cs="Calibri"/>
        </w:rPr>
        <w:t xml:space="preserve"> the Azones had one of two values:  82.7 g of </w:t>
      </w:r>
      <w:r w:rsidR="00D8147C" w:rsidRPr="00952CF1">
        <w:rPr>
          <w:rFonts w:ascii="Calibri" w:hAnsi="Calibri" w:cs="Calibri"/>
          <w:color w:val="1F1F1F"/>
        </w:rPr>
        <w:t>CO₂e</w:t>
      </w:r>
      <w:r w:rsidRPr="00952CF1">
        <w:rPr>
          <w:rFonts w:ascii="Calibri" w:hAnsi="Calibri" w:cs="Calibri"/>
        </w:rPr>
        <w:t xml:space="preserve"> per MJ or 133 g of </w:t>
      </w:r>
      <w:r w:rsidR="00D8147C" w:rsidRPr="00952CF1">
        <w:rPr>
          <w:rFonts w:ascii="Calibri" w:hAnsi="Calibri" w:cs="Calibri"/>
          <w:color w:val="1F1F1F"/>
        </w:rPr>
        <w:t>CO₂e</w:t>
      </w:r>
      <w:r w:rsidRPr="00952CF1">
        <w:rPr>
          <w:rFonts w:ascii="Calibri" w:hAnsi="Calibri" w:cs="Calibri"/>
        </w:rPr>
        <w:t xml:space="preserve"> per MJ.  (T</w:t>
      </w:r>
      <w:r w:rsidR="00D8147C" w:rsidRPr="00952CF1">
        <w:rPr>
          <w:rFonts w:ascii="Calibri" w:hAnsi="Calibri" w:cs="Calibri"/>
        </w:rPr>
        <w:t>he three</w:t>
      </w:r>
      <w:r w:rsidRPr="00952CF1">
        <w:rPr>
          <w:rFonts w:ascii="Calibri" w:hAnsi="Calibri" w:cs="Calibri"/>
        </w:rPr>
        <w:t xml:space="preserve"> two exceptions were </w:t>
      </w:r>
      <w:r w:rsidR="00354439" w:rsidRPr="00952CF1">
        <w:rPr>
          <w:rFonts w:ascii="Calibri" w:hAnsi="Calibri" w:cs="Calibri"/>
        </w:rPr>
        <w:t xml:space="preserve">Lee County [124] and </w:t>
      </w:r>
      <w:r w:rsidR="00D8147C" w:rsidRPr="00952CF1">
        <w:rPr>
          <w:rFonts w:ascii="Calibri" w:hAnsi="Calibri" w:cs="Calibri"/>
        </w:rPr>
        <w:t xml:space="preserve">Accomack and </w:t>
      </w:r>
      <w:r w:rsidR="00354439" w:rsidRPr="00952CF1">
        <w:rPr>
          <w:rFonts w:ascii="Calibri" w:hAnsi="Calibri" w:cs="Calibri"/>
        </w:rPr>
        <w:t>Northampton Count</w:t>
      </w:r>
      <w:r w:rsidR="00D8147C" w:rsidRPr="00952CF1">
        <w:rPr>
          <w:rFonts w:ascii="Calibri" w:hAnsi="Calibri" w:cs="Calibri"/>
        </w:rPr>
        <w:t>ies</w:t>
      </w:r>
      <w:r w:rsidR="00354439" w:rsidRPr="00952CF1">
        <w:rPr>
          <w:rFonts w:ascii="Calibri" w:hAnsi="Calibri" w:cs="Calibri"/>
        </w:rPr>
        <w:t xml:space="preserve"> [87.3].  One reason for these differences appears to be that some regions in Virginia rely on natural gas power plants (see </w:t>
      </w:r>
      <w:hyperlink r:id="rId10" w:history="1">
        <w:r w:rsidR="00354439" w:rsidRPr="00952CF1">
          <w:rPr>
            <w:rStyle w:val="Hyperlink"/>
            <w:rFonts w:ascii="Calibri" w:hAnsi="Calibri" w:cs="Calibri"/>
          </w:rPr>
          <w:t>https://cleanview.co/power-projects/operating/natural-gas-power-plants/virginia</w:t>
        </w:r>
      </w:hyperlink>
      <w:r w:rsidR="00354439" w:rsidRPr="00952CF1">
        <w:rPr>
          <w:rFonts w:ascii="Calibri" w:hAnsi="Calibri" w:cs="Calibri"/>
        </w:rPr>
        <w:t xml:space="preserve">) whereas other regions in Virginia rely on coal plants (see </w:t>
      </w:r>
      <w:hyperlink r:id="rId11" w:history="1">
        <w:r w:rsidR="00354439" w:rsidRPr="00952CF1">
          <w:rPr>
            <w:rStyle w:val="Hyperlink"/>
            <w:rFonts w:ascii="Calibri" w:hAnsi="Calibri" w:cs="Calibri"/>
          </w:rPr>
          <w:t>https://cleanview.co/power-projects/operating/coal-power-plants/virginia</w:t>
        </w:r>
      </w:hyperlink>
      <w:r w:rsidR="00354439" w:rsidRPr="00952CF1">
        <w:rPr>
          <w:rFonts w:ascii="Calibri" w:hAnsi="Calibri" w:cs="Calibri"/>
        </w:rPr>
        <w:t>).  Another reason may be differences in the extent to which these sources rely on solar and/or wind in addition to fossil fuel sources.</w:t>
      </w:r>
    </w:p>
    <w:p w14:paraId="7EF75D93" w14:textId="77777777" w:rsidR="00952CF1" w:rsidRPr="00952CF1" w:rsidRDefault="00952CF1" w:rsidP="00952CF1">
      <w:pPr>
        <w:spacing w:after="0" w:line="240" w:lineRule="auto"/>
        <w:ind w:firstLine="720"/>
        <w:rPr>
          <w:rFonts w:ascii="Calibri" w:hAnsi="Calibri" w:cs="Calibri"/>
        </w:rPr>
      </w:pPr>
    </w:p>
    <w:p w14:paraId="7F9B06F7" w14:textId="760960CD" w:rsidR="005566B9" w:rsidRPr="00952CF1" w:rsidRDefault="00EA47A7" w:rsidP="00952CF1">
      <w:pPr>
        <w:spacing w:after="0" w:line="240" w:lineRule="auto"/>
        <w:ind w:firstLine="720"/>
        <w:rPr>
          <w:rFonts w:ascii="Calibri" w:hAnsi="Calibri" w:cs="Calibri"/>
        </w:rPr>
      </w:pPr>
      <w:r w:rsidRPr="00952CF1">
        <w:rPr>
          <w:rFonts w:ascii="Calibri" w:hAnsi="Calibri" w:cs="Calibri"/>
        </w:rPr>
        <w:t>Forecasting changes for year 2045 entails some uncertainty.  There are numerous online sources</w:t>
      </w:r>
      <w:r w:rsidR="00B50C27" w:rsidRPr="00952CF1">
        <w:rPr>
          <w:rFonts w:ascii="Calibri" w:hAnsi="Calibri" w:cs="Calibri"/>
        </w:rPr>
        <w:t>, one of which is from the Congressional Budget Office which in, 2022 (</w:t>
      </w:r>
      <w:r w:rsidRPr="00952CF1">
        <w:rPr>
          <w:rFonts w:ascii="Calibri" w:hAnsi="Calibri" w:cs="Calibri"/>
        </w:rPr>
        <w:t>https://www.cbo.gov/system/files/2022-12/58419-co2-emissions-elec-power.pdf</w:t>
      </w:r>
      <w:r w:rsidR="00B50C27" w:rsidRPr="00952CF1">
        <w:rPr>
          <w:rFonts w:ascii="Calibri" w:hAnsi="Calibri" w:cs="Calibri"/>
        </w:rPr>
        <w:t>) forecast on printed page 12 several possible reductions in greenhouse gases from the electric power sector to year 2050.  Two set</w:t>
      </w:r>
      <w:r w:rsidR="002E0E9B">
        <w:rPr>
          <w:rFonts w:ascii="Calibri" w:hAnsi="Calibri" w:cs="Calibri"/>
        </w:rPr>
        <w:t>s</w:t>
      </w:r>
      <w:r w:rsidR="00B50C27" w:rsidRPr="00952CF1">
        <w:rPr>
          <w:rFonts w:ascii="Calibri" w:hAnsi="Calibri" w:cs="Calibri"/>
        </w:rPr>
        <w:t xml:space="preserve"> of reductions (High, reference or midcase, and low) were given—one for the situation prior to the 2022 budget reconciliation act and one following that situation.  Factors influencing any actual reductions include shifts away from coal-fired plants, use of renewable sources such as solar and wind, and advances in battery technology; the graphs also underscore the relevance of public policy.  For 2045, the research team applied a reduction of 14.3%, based on a reading of the 2045 reference case (1.4 billion metric tons) to the 2024 case (1.2 billion metric tons) prior to the budget reconciliation.  For example, </w:t>
      </w:r>
      <w:r w:rsidR="001578E3" w:rsidRPr="00952CF1">
        <w:rPr>
          <w:rFonts w:ascii="Calibri" w:hAnsi="Calibri" w:cs="Calibri"/>
        </w:rPr>
        <w:t>a figure of 82.7 g CO2e per MJ was used in 2024 for Amelia County.  For 2045, this value is 70.9 g CO2e per MJ.</w:t>
      </w:r>
      <w:r w:rsidR="00952CF1" w:rsidRPr="00952CF1">
        <w:rPr>
          <w:rFonts w:ascii="Calibri" w:hAnsi="Calibri" w:cs="Calibri"/>
        </w:rPr>
        <w:t xml:space="preserve">  Users can adjust these assumptions for changes specific to their region; for example, for a region using a coal power plant at present but which is planning a transition to natural gas in the next decade, then a much larger reduction would be applicable.</w:t>
      </w:r>
    </w:p>
    <w:p w14:paraId="2710E537" w14:textId="77777777" w:rsidR="00D8147C" w:rsidRPr="00952CF1" w:rsidRDefault="00D8147C" w:rsidP="00952CF1">
      <w:pPr>
        <w:spacing w:after="0" w:line="240" w:lineRule="auto"/>
        <w:ind w:firstLine="720"/>
        <w:rPr>
          <w:rFonts w:ascii="Calibri" w:hAnsi="Calibri" w:cs="Calibri"/>
        </w:rPr>
      </w:pPr>
    </w:p>
    <w:p w14:paraId="06721578" w14:textId="09692BB1" w:rsidR="005566B9" w:rsidRDefault="002E0E9B" w:rsidP="00952CF1">
      <w:pPr>
        <w:spacing w:after="0" w:line="240" w:lineRule="auto"/>
        <w:rPr>
          <w:rFonts w:ascii="Calibri" w:hAnsi="Calibri" w:cs="Calibri"/>
          <w:b/>
          <w:bCs/>
        </w:rPr>
      </w:pPr>
      <w:r w:rsidRPr="00952CF1">
        <w:rPr>
          <w:rFonts w:ascii="Calibri" w:hAnsi="Calibri" w:cs="Calibri"/>
          <w:b/>
          <w:bCs/>
        </w:rPr>
        <w:t>Appendix</w:t>
      </w:r>
      <w:r w:rsidR="0051576C" w:rsidRPr="00952CF1">
        <w:rPr>
          <w:rFonts w:ascii="Calibri" w:hAnsi="Calibri" w:cs="Calibri"/>
          <w:b/>
          <w:bCs/>
        </w:rPr>
        <w:t>—Another Method</w:t>
      </w:r>
    </w:p>
    <w:p w14:paraId="2F61645C" w14:textId="77777777" w:rsidR="002E0E9B" w:rsidRPr="00952CF1" w:rsidRDefault="002E0E9B" w:rsidP="00952CF1">
      <w:pPr>
        <w:spacing w:after="0" w:line="240" w:lineRule="auto"/>
        <w:rPr>
          <w:rFonts w:ascii="Calibri" w:hAnsi="Calibri" w:cs="Calibri"/>
          <w:b/>
          <w:bCs/>
        </w:rPr>
      </w:pPr>
    </w:p>
    <w:p w14:paraId="2E2B4AFD" w14:textId="24C49880" w:rsidR="00A324D3" w:rsidRDefault="00A324D3" w:rsidP="00952CF1">
      <w:pPr>
        <w:spacing w:after="0" w:line="240" w:lineRule="auto"/>
        <w:ind w:firstLine="720"/>
        <w:rPr>
          <w:rFonts w:ascii="Calibri" w:hAnsi="Calibri" w:cs="Calibri"/>
        </w:rPr>
      </w:pPr>
      <w:r w:rsidRPr="00952CF1">
        <w:rPr>
          <w:rFonts w:ascii="Calibri" w:hAnsi="Calibri" w:cs="Calibri"/>
        </w:rPr>
        <w:t>(</w:t>
      </w:r>
      <w:r w:rsidRPr="00952CF1">
        <w:rPr>
          <w:rFonts w:ascii="Calibri" w:hAnsi="Calibri" w:cs="Calibri"/>
        </w:rPr>
        <w:t xml:space="preserve">Note that in the above calculations, </w:t>
      </w:r>
      <w:r w:rsidRPr="00952CF1">
        <w:rPr>
          <w:rFonts w:ascii="Calibri" w:hAnsi="Calibri" w:cs="Calibri"/>
        </w:rPr>
        <w:t xml:space="preserve"> single statewide value for the SERC egrid region covering North Carolina and Virginia, available at </w:t>
      </w:r>
      <w:hyperlink r:id="rId12" w:history="1">
        <w:r w:rsidRPr="00952CF1">
          <w:rPr>
            <w:rStyle w:val="Hyperlink"/>
            <w:rFonts w:ascii="Calibri" w:hAnsi="Calibri" w:cs="Calibri"/>
          </w:rPr>
          <w:t>https://www.epa.gov/energy/greenhouse-gas-equivalencies-calculator-calculations-and-references</w:t>
        </w:r>
      </w:hyperlink>
      <w:r w:rsidRPr="00952CF1">
        <w:rPr>
          <w:rFonts w:ascii="Calibri" w:hAnsi="Calibri" w:cs="Calibri"/>
        </w:rPr>
        <w:t xml:space="preserve">, indicates 623 pounds of </w:t>
      </w:r>
      <w:r w:rsidRPr="00952CF1">
        <w:rPr>
          <w:rFonts w:ascii="Calibri" w:hAnsi="Calibri" w:cs="Calibri"/>
          <w:color w:val="1F1F1F"/>
        </w:rPr>
        <w:t>CO₂e</w:t>
      </w:r>
      <w:r w:rsidRPr="00952CF1">
        <w:rPr>
          <w:rFonts w:ascii="Calibri" w:hAnsi="Calibri" w:cs="Calibri"/>
        </w:rPr>
        <w:t xml:space="preserve"> per mWH which is 623* 453.59237 grams of </w:t>
      </w:r>
      <w:r w:rsidRPr="00952CF1">
        <w:rPr>
          <w:rFonts w:ascii="Calibri" w:hAnsi="Calibri" w:cs="Calibri"/>
          <w:color w:val="1F1F1F"/>
        </w:rPr>
        <w:t>CO₂e</w:t>
      </w:r>
      <w:r w:rsidRPr="00952CF1">
        <w:rPr>
          <w:rFonts w:ascii="Calibri" w:hAnsi="Calibri" w:cs="Calibri"/>
        </w:rPr>
        <w:t xml:space="preserve"> per mWH or 623* 453.59237 grams of </w:t>
      </w:r>
      <w:r w:rsidRPr="00952CF1">
        <w:rPr>
          <w:rFonts w:ascii="Calibri" w:hAnsi="Calibri" w:cs="Calibri"/>
          <w:color w:val="1F1F1F"/>
        </w:rPr>
        <w:t>CO₂e</w:t>
      </w:r>
      <w:r w:rsidRPr="00952CF1">
        <w:rPr>
          <w:rFonts w:ascii="Calibri" w:hAnsi="Calibri" w:cs="Calibri"/>
        </w:rPr>
        <w:t xml:space="preserve"> per 3600 MJ which is 78.5 grams of </w:t>
      </w:r>
      <w:r w:rsidRPr="00952CF1">
        <w:rPr>
          <w:rFonts w:ascii="Calibri" w:hAnsi="Calibri" w:cs="Calibri"/>
          <w:color w:val="1F1F1F"/>
        </w:rPr>
        <w:t>CO₂e</w:t>
      </w:r>
      <w:r w:rsidRPr="00952CF1">
        <w:rPr>
          <w:rFonts w:ascii="Calibri" w:hAnsi="Calibri" w:cs="Calibri"/>
        </w:rPr>
        <w:t xml:space="preserve"> per MJ—a value that is lower than those shown in this file.  It appears that the reason is that the EPA </w:t>
      </w:r>
      <w:r w:rsidR="002E0E9B" w:rsidRPr="00952CF1">
        <w:rPr>
          <w:rFonts w:ascii="Calibri" w:hAnsi="Calibri" w:cs="Calibri"/>
        </w:rPr>
        <w:t>calculator</w:t>
      </w:r>
      <w:r w:rsidRPr="00952CF1">
        <w:rPr>
          <w:rFonts w:ascii="Calibri" w:hAnsi="Calibri" w:cs="Calibri"/>
        </w:rPr>
        <w:t xml:space="preserve"> provides a marginal value rather than an average value; thus users could elect to reduce the figures shown slightly but the more critical element appears to be determining which region’s figures are applicable—that is, the value for the region containing Cumberland is substantially different from the value for the region containing Dickenson).</w:t>
      </w:r>
    </w:p>
    <w:p w14:paraId="1B47D949" w14:textId="77777777" w:rsidR="002E0E9B" w:rsidRPr="00952CF1" w:rsidRDefault="002E0E9B" w:rsidP="00952CF1">
      <w:pPr>
        <w:spacing w:after="0" w:line="240" w:lineRule="auto"/>
        <w:ind w:firstLine="720"/>
        <w:rPr>
          <w:rFonts w:ascii="Calibri" w:hAnsi="Calibri" w:cs="Calibri"/>
        </w:rPr>
      </w:pPr>
    </w:p>
    <w:p w14:paraId="273B7D5E" w14:textId="1395F667" w:rsidR="00354439" w:rsidRPr="00952CF1" w:rsidRDefault="0051576C" w:rsidP="00952CF1">
      <w:pPr>
        <w:spacing w:after="0" w:line="240" w:lineRule="auto"/>
        <w:ind w:firstLine="720"/>
        <w:rPr>
          <w:rFonts w:ascii="Calibri" w:hAnsi="Calibri" w:cs="Calibri"/>
          <w:color w:val="1F1F1F"/>
        </w:rPr>
      </w:pPr>
      <w:r w:rsidRPr="00952CF1">
        <w:rPr>
          <w:rFonts w:ascii="Calibri" w:hAnsi="Calibri" w:cs="Calibri"/>
          <w:color w:val="1F1F1F"/>
        </w:rPr>
        <w:t>An alternative approach for future consideration is to explore the</w:t>
      </w:r>
      <w:r w:rsidR="577BFA11" w:rsidRPr="00952CF1">
        <w:rPr>
          <w:rFonts w:ascii="Calibri" w:hAnsi="Calibri" w:cs="Calibri"/>
          <w:color w:val="1F1F1F"/>
        </w:rPr>
        <w:t xml:space="preserve"> EPA AVERT Web Edition tool</w:t>
      </w:r>
      <w:r w:rsidRPr="00952CF1">
        <w:rPr>
          <w:rFonts w:ascii="Calibri" w:hAnsi="Calibri" w:cs="Calibri"/>
          <w:color w:val="1F1F1F"/>
        </w:rPr>
        <w:t>(</w:t>
      </w:r>
      <w:r w:rsidR="577BFA11" w:rsidRPr="00952CF1">
        <w:rPr>
          <w:rFonts w:ascii="Calibri" w:hAnsi="Calibri" w:cs="Calibri"/>
          <w:color w:val="1F1F1F"/>
        </w:rPr>
        <w:t xml:space="preserve"> </w:t>
      </w:r>
      <w:hyperlink r:id="rId13">
        <w:r w:rsidR="657B8C83" w:rsidRPr="00952CF1">
          <w:rPr>
            <w:rStyle w:val="Hyperlink"/>
            <w:rFonts w:ascii="Calibri" w:eastAsia="Times New Roman" w:hAnsi="Calibri" w:cs="Calibri"/>
          </w:rPr>
          <w:t>AVERT Web Edition | US EPA</w:t>
        </w:r>
      </w:hyperlink>
      <w:r w:rsidR="657B8C83" w:rsidRPr="00952CF1">
        <w:rPr>
          <w:rFonts w:ascii="Calibri" w:eastAsia="Times New Roman" w:hAnsi="Calibri" w:cs="Calibri"/>
        </w:rPr>
        <w:t xml:space="preserve"> </w:t>
      </w:r>
      <w:r w:rsidR="577BFA11" w:rsidRPr="00952CF1">
        <w:rPr>
          <w:rFonts w:ascii="Calibri" w:hAnsi="Calibri" w:cs="Calibri"/>
          <w:color w:val="1F1F1F"/>
        </w:rPr>
        <w:t xml:space="preserve">AVERT provides regionally specific emissions estimates from the electric grid. The data </w:t>
      </w:r>
      <w:r w:rsidR="00F767B2" w:rsidRPr="00952CF1">
        <w:rPr>
          <w:rFonts w:ascii="Calibri" w:hAnsi="Calibri" w:cs="Calibri"/>
          <w:color w:val="1F1F1F"/>
        </w:rPr>
        <w:t>may be</w:t>
      </w:r>
      <w:r w:rsidR="577BFA11" w:rsidRPr="00952CF1">
        <w:rPr>
          <w:rFonts w:ascii="Calibri" w:hAnsi="Calibri" w:cs="Calibri"/>
          <w:color w:val="1F1F1F"/>
        </w:rPr>
        <w:t xml:space="preserve"> developed as follows</w:t>
      </w:r>
      <w:r w:rsidR="00354439" w:rsidRPr="00952CF1">
        <w:rPr>
          <w:rFonts w:ascii="Calibri" w:hAnsi="Calibri" w:cs="Calibri"/>
          <w:color w:val="1F1F1F"/>
        </w:rPr>
        <w:t xml:space="preserve"> where one uses the Compound Annual Growth Rate (CAGR) which was calculated based on current grid data and projected decarbonization trends. These figures allow the model to estimate the carbon footprint of electric vehicle (EV) charging and household electricity use over time.</w:t>
      </w:r>
    </w:p>
    <w:p w14:paraId="31999255" w14:textId="08278170" w:rsidR="577BFA11" w:rsidRPr="00952CF1" w:rsidRDefault="577BFA11" w:rsidP="00952CF1">
      <w:pPr>
        <w:spacing w:after="0" w:line="240" w:lineRule="auto"/>
        <w:ind w:firstLine="720"/>
        <w:rPr>
          <w:rFonts w:ascii="Calibri" w:hAnsi="Calibri" w:cs="Calibri"/>
          <w:color w:val="1F1F1F"/>
        </w:rPr>
      </w:pPr>
      <w:r w:rsidRPr="00952CF1">
        <w:rPr>
          <w:rFonts w:ascii="Calibri" w:hAnsi="Calibri" w:cs="Calibri"/>
          <w:color w:val="1F1F1F"/>
        </w:rPr>
        <w:t>:</w:t>
      </w:r>
    </w:p>
    <w:p w14:paraId="5DD4A638" w14:textId="13706F51" w:rsidR="577BFA11" w:rsidRPr="00952CF1" w:rsidRDefault="577BFA11" w:rsidP="00952CF1">
      <w:pPr>
        <w:pStyle w:val="ListParagraph"/>
        <w:numPr>
          <w:ilvl w:val="0"/>
          <w:numId w:val="2"/>
        </w:numPr>
        <w:spacing w:after="0" w:line="240" w:lineRule="auto"/>
        <w:rPr>
          <w:rFonts w:ascii="Calibri" w:hAnsi="Calibri" w:cs="Calibri"/>
        </w:rPr>
      </w:pPr>
      <w:r w:rsidRPr="00952CF1">
        <w:rPr>
          <w:rFonts w:ascii="Calibri" w:hAnsi="Calibri" w:cs="Calibri"/>
          <w:color w:val="1F1F1F"/>
        </w:rPr>
        <w:t xml:space="preserve">Step 1: Identify the AVERT Region Virginia lies within the Eastern U.S. AVERT regions, primarily the Mid-Atlantic and Southeast grid zones. The selection reflects actual power consumed by households and </w:t>
      </w:r>
      <w:r w:rsidRPr="00952CF1">
        <w:rPr>
          <w:rFonts w:ascii="Calibri" w:hAnsi="Calibri" w:cs="Calibri"/>
          <w:color w:val="1F1F1F"/>
        </w:rPr>
        <w:lastRenderedPageBreak/>
        <w:t>businesses within the Commonwealth, accounting for local generation and regional imports.</w:t>
      </w:r>
      <w:r w:rsidR="3DE2F579" w:rsidRPr="00952CF1">
        <w:rPr>
          <w:rFonts w:ascii="Calibri" w:hAnsi="Calibri" w:cs="Calibri"/>
          <w:noProof/>
        </w:rPr>
        <w:drawing>
          <wp:inline distT="0" distB="0" distL="0" distR="0" wp14:anchorId="38297BC9" wp14:editId="0398510F">
            <wp:extent cx="5715000" cy="2428875"/>
            <wp:effectExtent l="0" t="0" r="0" b="0"/>
            <wp:docPr id="286714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4137" name="Picture 286714137"/>
                    <pic:cNvPicPr/>
                  </pic:nvPicPr>
                  <pic:blipFill>
                    <a:blip r:embed="rId14">
                      <a:extLst>
                        <a:ext uri="{28A0092B-C50C-407E-A947-70E740481C1C}">
                          <a14:useLocalDpi xmlns:a14="http://schemas.microsoft.com/office/drawing/2010/main"/>
                        </a:ext>
                      </a:extLst>
                    </a:blip>
                    <a:stretch>
                      <a:fillRect/>
                    </a:stretch>
                  </pic:blipFill>
                  <pic:spPr>
                    <a:xfrm>
                      <a:off x="0" y="0"/>
                      <a:ext cx="5715000" cy="2428875"/>
                    </a:xfrm>
                    <a:prstGeom prst="rect">
                      <a:avLst/>
                    </a:prstGeom>
                  </pic:spPr>
                </pic:pic>
              </a:graphicData>
            </a:graphic>
          </wp:inline>
        </w:drawing>
      </w:r>
    </w:p>
    <w:p w14:paraId="08D39FE0" w14:textId="06273B6A" w:rsidR="577BFA11" w:rsidRPr="00952CF1" w:rsidRDefault="577BFA11" w:rsidP="00952CF1">
      <w:pPr>
        <w:pStyle w:val="ListParagraph"/>
        <w:numPr>
          <w:ilvl w:val="0"/>
          <w:numId w:val="2"/>
        </w:numPr>
        <w:spacing w:after="0" w:line="240" w:lineRule="auto"/>
        <w:rPr>
          <w:rFonts w:ascii="Calibri" w:hAnsi="Calibri" w:cs="Calibri"/>
          <w:color w:val="1F1F1F"/>
        </w:rPr>
      </w:pPr>
      <w:r w:rsidRPr="00952CF1">
        <w:rPr>
          <w:rFonts w:ascii="Calibri" w:hAnsi="Calibri" w:cs="Calibri"/>
          <w:color w:val="1F1F1F"/>
        </w:rPr>
        <w:t xml:space="preserve">Step 2: Establish the Base Year (2024) Using 2024 emissions outputs normalized by energy delivered, </w:t>
      </w:r>
      <w:r w:rsidR="00F767B2" w:rsidRPr="00952CF1">
        <w:rPr>
          <w:rFonts w:ascii="Calibri" w:hAnsi="Calibri" w:cs="Calibri"/>
          <w:color w:val="1F1F1F"/>
        </w:rPr>
        <w:t>one estimate converted this i</w:t>
      </w:r>
      <w:r w:rsidRPr="00952CF1">
        <w:rPr>
          <w:rFonts w:ascii="Calibri" w:hAnsi="Calibri" w:cs="Calibri"/>
          <w:color w:val="1F1F1F"/>
        </w:rPr>
        <w:t>ntensity was converted to 57 gCO₂e/MJ</w:t>
      </w:r>
      <w:r w:rsidR="00F767B2" w:rsidRPr="00952CF1">
        <w:rPr>
          <w:rFonts w:ascii="Calibri" w:hAnsi="Calibri" w:cs="Calibri"/>
          <w:color w:val="1F1F1F"/>
        </w:rPr>
        <w:t>, which is lower than the values shown previously</w:t>
      </w:r>
      <w:r w:rsidRPr="00952CF1">
        <w:rPr>
          <w:rFonts w:ascii="Calibri" w:hAnsi="Calibri" w:cs="Calibri"/>
          <w:color w:val="1F1F1F"/>
        </w:rPr>
        <w:t>. This represents the baseline carbon footprint of the Virginia grid.</w:t>
      </w:r>
    </w:p>
    <w:p w14:paraId="217818ED" w14:textId="27712E99" w:rsidR="577BFA11" w:rsidRPr="00952CF1" w:rsidRDefault="577BFA11" w:rsidP="00952CF1">
      <w:pPr>
        <w:pStyle w:val="ListParagraph"/>
        <w:numPr>
          <w:ilvl w:val="0"/>
          <w:numId w:val="2"/>
        </w:numPr>
        <w:spacing w:after="0" w:line="240" w:lineRule="auto"/>
        <w:rPr>
          <w:rFonts w:ascii="Calibri" w:hAnsi="Calibri" w:cs="Calibri"/>
          <w:color w:val="1F1F1F"/>
        </w:rPr>
      </w:pPr>
      <w:r w:rsidRPr="00952CF1">
        <w:rPr>
          <w:rFonts w:ascii="Calibri" w:hAnsi="Calibri" w:cs="Calibri"/>
          <w:color w:val="1F1F1F"/>
        </w:rPr>
        <w:t>Step 3: Project the Target Year (2045) To capture long-term policy impacts—including the retirement of coal units and the expansion of solar and wind—a 2045 projection</w:t>
      </w:r>
      <w:r w:rsidR="00F767B2" w:rsidRPr="00952CF1">
        <w:rPr>
          <w:rFonts w:ascii="Calibri" w:hAnsi="Calibri" w:cs="Calibri"/>
          <w:color w:val="1F1F1F"/>
        </w:rPr>
        <w:t xml:space="preserve"> is needed.  Different sets of assumptions will yield different results.  For example, one set of assumptions </w:t>
      </w:r>
      <w:r w:rsidRPr="00952CF1">
        <w:rPr>
          <w:rFonts w:ascii="Calibri" w:hAnsi="Calibri" w:cs="Calibri"/>
          <w:color w:val="1F1F1F"/>
        </w:rPr>
        <w:t>was modeled using AVERT’s clean energy adoption assumptions. This resulted in a projected intensity of 14 gCO₂e/MJ, consistent with deep decarbonization pathways used in EPA and DOE scenario work.</w:t>
      </w:r>
    </w:p>
    <w:p w14:paraId="48E2CAE8" w14:textId="0BEEFFA0" w:rsidR="577BFA11" w:rsidRPr="00952CF1" w:rsidRDefault="577BFA11" w:rsidP="00952CF1">
      <w:pPr>
        <w:pStyle w:val="ListParagraph"/>
        <w:numPr>
          <w:ilvl w:val="0"/>
          <w:numId w:val="2"/>
        </w:numPr>
        <w:spacing w:after="0" w:line="240" w:lineRule="auto"/>
        <w:rPr>
          <w:rFonts w:ascii="Calibri" w:hAnsi="Calibri" w:cs="Calibri"/>
          <w:color w:val="1F1F1F"/>
        </w:rPr>
      </w:pPr>
      <w:r w:rsidRPr="00952CF1">
        <w:rPr>
          <w:rFonts w:ascii="Calibri" w:hAnsi="Calibri" w:cs="Calibri"/>
          <w:color w:val="1F1F1F"/>
        </w:rPr>
        <w:t>Step 4: Apply to Virginia Geographies</w:t>
      </w:r>
      <w:r w:rsidR="00F767B2" w:rsidRPr="00952CF1">
        <w:rPr>
          <w:rFonts w:ascii="Calibri" w:hAnsi="Calibri" w:cs="Calibri"/>
          <w:color w:val="1F1F1F"/>
        </w:rPr>
        <w:t>.</w:t>
      </w:r>
      <w:r w:rsidRPr="00952CF1">
        <w:rPr>
          <w:rFonts w:ascii="Calibri" w:hAnsi="Calibri" w:cs="Calibri"/>
          <w:color w:val="1F1F1F"/>
        </w:rPr>
        <w:t xml:space="preserve"> VisionEval requires </w:t>
      </w:r>
      <w:proofErr w:type="gramStart"/>
      <w:r w:rsidRPr="00952CF1">
        <w:rPr>
          <w:rFonts w:ascii="Calibri" w:hAnsi="Calibri" w:cs="Calibri"/>
          <w:color w:val="1F1F1F"/>
        </w:rPr>
        <w:t>values</w:t>
      </w:r>
      <w:proofErr w:type="gramEnd"/>
      <w:r w:rsidRPr="00952CF1">
        <w:rPr>
          <w:rFonts w:ascii="Calibri" w:hAnsi="Calibri" w:cs="Calibri"/>
          <w:color w:val="1F1F1F"/>
        </w:rPr>
        <w:t xml:space="preserve"> for each Azone (95 counties and 38 independent cities). </w:t>
      </w:r>
      <w:r w:rsidR="00F767B2" w:rsidRPr="00952CF1">
        <w:rPr>
          <w:rFonts w:ascii="Calibri" w:hAnsi="Calibri" w:cs="Calibri"/>
          <w:color w:val="1F1F1F"/>
        </w:rPr>
        <w:t xml:space="preserve">The </w:t>
      </w:r>
      <w:r w:rsidRPr="00952CF1">
        <w:rPr>
          <w:rFonts w:ascii="Calibri" w:hAnsi="Calibri" w:cs="Calibri"/>
          <w:color w:val="1F1F1F"/>
        </w:rPr>
        <w:t>grid is managed regionally rather than by municipality</w:t>
      </w:r>
      <w:r w:rsidR="00F767B2" w:rsidRPr="00952CF1">
        <w:rPr>
          <w:rFonts w:ascii="Calibri" w:hAnsi="Calibri" w:cs="Calibri"/>
          <w:color w:val="1F1F1F"/>
        </w:rPr>
        <w:t xml:space="preserve">, so ideally one would consider these different regions.  That said, this approach could yield </w:t>
      </w:r>
      <w:r w:rsidRPr="00952CF1">
        <w:rPr>
          <w:rFonts w:ascii="Calibri" w:hAnsi="Calibri" w:cs="Calibri"/>
          <w:color w:val="1F1F1F"/>
        </w:rPr>
        <w:t xml:space="preserve">the same statewide values (57 for 2024; 14 for 2045) </w:t>
      </w:r>
      <w:r w:rsidR="00F767B2" w:rsidRPr="00952CF1">
        <w:rPr>
          <w:rFonts w:ascii="Calibri" w:hAnsi="Calibri" w:cs="Calibri"/>
          <w:color w:val="1F1F1F"/>
        </w:rPr>
        <w:t>for all</w:t>
      </w:r>
      <w:r w:rsidRPr="00952CF1">
        <w:rPr>
          <w:rFonts w:ascii="Calibri" w:hAnsi="Calibri" w:cs="Calibri"/>
          <w:color w:val="1F1F1F"/>
        </w:rPr>
        <w:t xml:space="preserve"> Azones.</w:t>
      </w:r>
    </w:p>
    <w:p w14:paraId="7C052A7E" w14:textId="77777777" w:rsidR="00F767B2" w:rsidRPr="00952CF1" w:rsidRDefault="00F767B2" w:rsidP="00952CF1">
      <w:pPr>
        <w:spacing w:after="0" w:line="240" w:lineRule="auto"/>
        <w:ind w:left="360"/>
        <w:rPr>
          <w:rFonts w:ascii="Calibri" w:hAnsi="Calibri" w:cs="Calibri"/>
          <w:color w:val="1F1F1F"/>
        </w:rPr>
      </w:pPr>
    </w:p>
    <w:p w14:paraId="78BCDC10" w14:textId="6AF7DC4E" w:rsidR="00F767B2" w:rsidRPr="00952CF1" w:rsidRDefault="00F767B2" w:rsidP="00952CF1">
      <w:pPr>
        <w:spacing w:after="0" w:line="240" w:lineRule="auto"/>
        <w:ind w:left="360"/>
        <w:rPr>
          <w:rFonts w:ascii="Calibri" w:hAnsi="Calibri" w:cs="Calibri"/>
          <w:color w:val="1F1F1F"/>
        </w:rPr>
      </w:pPr>
      <w:r w:rsidRPr="00952CF1">
        <w:rPr>
          <w:rFonts w:ascii="Calibri" w:hAnsi="Calibri" w:cs="Calibri"/>
          <w:color w:val="1F1F1F"/>
        </w:rPr>
        <w:t>Sources for the Appendix are:</w:t>
      </w:r>
    </w:p>
    <w:p w14:paraId="36282698" w14:textId="77777777" w:rsidR="00F767B2" w:rsidRPr="00952CF1" w:rsidRDefault="00F767B2" w:rsidP="00952CF1">
      <w:pPr>
        <w:spacing w:after="0" w:line="240" w:lineRule="auto"/>
        <w:ind w:left="360"/>
        <w:rPr>
          <w:rFonts w:ascii="Calibri" w:hAnsi="Calibri" w:cs="Calibri"/>
          <w:color w:val="1F1F1F"/>
        </w:rPr>
      </w:pPr>
    </w:p>
    <w:p w14:paraId="2141940A" w14:textId="1506661F" w:rsidR="577BFA11" w:rsidRPr="00952CF1" w:rsidRDefault="577BFA11" w:rsidP="00952CF1">
      <w:pPr>
        <w:pStyle w:val="ListParagraph"/>
        <w:numPr>
          <w:ilvl w:val="0"/>
          <w:numId w:val="1"/>
        </w:numPr>
        <w:spacing w:after="0" w:line="240" w:lineRule="auto"/>
        <w:rPr>
          <w:rFonts w:ascii="Calibri" w:hAnsi="Calibri" w:cs="Calibri"/>
          <w:color w:val="0B57D0"/>
        </w:rPr>
      </w:pPr>
      <w:r w:rsidRPr="00952CF1">
        <w:rPr>
          <w:rFonts w:ascii="Calibri" w:hAnsi="Calibri" w:cs="Calibri"/>
          <w:b/>
          <w:bCs/>
          <w:color w:val="1F1F1F"/>
        </w:rPr>
        <w:t>EPA AVERT Web Edition Tool.</w:t>
      </w:r>
      <w:r w:rsidRPr="00952CF1">
        <w:rPr>
          <w:rFonts w:ascii="Calibri" w:hAnsi="Calibri" w:cs="Calibri"/>
          <w:color w:val="1F1F1F"/>
        </w:rPr>
        <w:t xml:space="preserve"> </w:t>
      </w:r>
      <w:r w:rsidRPr="00952CF1">
        <w:rPr>
          <w:rFonts w:ascii="Calibri" w:hAnsi="Calibri" w:cs="Calibri"/>
          <w:i/>
          <w:iCs/>
          <w:color w:val="1F1F1F"/>
        </w:rPr>
        <w:t>U.S. Environmental Protection Agency.</w:t>
      </w:r>
      <w:r w:rsidRPr="00952CF1">
        <w:rPr>
          <w:rFonts w:ascii="Calibri" w:hAnsi="Calibri" w:cs="Calibri"/>
          <w:color w:val="1F1F1F"/>
        </w:rPr>
        <w:t xml:space="preserve"> </w:t>
      </w:r>
      <w:hyperlink r:id="rId15">
        <w:r w:rsidRPr="00952CF1">
          <w:rPr>
            <w:rStyle w:val="Hyperlink"/>
            <w:rFonts w:ascii="Calibri" w:hAnsi="Calibri" w:cs="Calibri"/>
            <w:color w:val="0B57D0"/>
          </w:rPr>
          <w:t>https://www.epa.gov/avert/avert-web-edition</w:t>
        </w:r>
      </w:hyperlink>
    </w:p>
    <w:p w14:paraId="39616156" w14:textId="295C4663" w:rsidR="577BFA11" w:rsidRPr="00952CF1" w:rsidRDefault="577BFA11" w:rsidP="00952CF1">
      <w:pPr>
        <w:pStyle w:val="ListParagraph"/>
        <w:numPr>
          <w:ilvl w:val="0"/>
          <w:numId w:val="1"/>
        </w:numPr>
        <w:spacing w:after="0" w:line="240" w:lineRule="auto"/>
        <w:rPr>
          <w:rFonts w:ascii="Calibri" w:hAnsi="Calibri" w:cs="Calibri"/>
          <w:i/>
          <w:iCs/>
          <w:color w:val="1F1F1F"/>
        </w:rPr>
      </w:pPr>
      <w:r w:rsidRPr="00952CF1">
        <w:rPr>
          <w:rFonts w:ascii="Calibri" w:hAnsi="Calibri" w:cs="Calibri"/>
          <w:b/>
          <w:bCs/>
          <w:color w:val="1F1F1F"/>
        </w:rPr>
        <w:t>Virginia Clean Economy Act (VCEA).</w:t>
      </w:r>
      <w:r w:rsidRPr="00952CF1">
        <w:rPr>
          <w:rFonts w:ascii="Calibri" w:hAnsi="Calibri" w:cs="Calibri"/>
          <w:color w:val="1F1F1F"/>
        </w:rPr>
        <w:t xml:space="preserve"> </w:t>
      </w:r>
      <w:r w:rsidRPr="00952CF1">
        <w:rPr>
          <w:rFonts w:ascii="Calibri" w:hAnsi="Calibri" w:cs="Calibri"/>
          <w:i/>
          <w:iCs/>
          <w:color w:val="1F1F1F"/>
        </w:rPr>
        <w:t>Decarbonization requirements for Virginia utilities.</w:t>
      </w:r>
    </w:p>
    <w:p w14:paraId="3F302CB2" w14:textId="407A5625" w:rsidR="577BFA11" w:rsidRPr="00952CF1" w:rsidRDefault="577BFA11" w:rsidP="00952CF1">
      <w:pPr>
        <w:pStyle w:val="ListParagraph"/>
        <w:numPr>
          <w:ilvl w:val="0"/>
          <w:numId w:val="1"/>
        </w:numPr>
        <w:spacing w:after="0" w:line="240" w:lineRule="auto"/>
        <w:rPr>
          <w:rFonts w:ascii="Calibri" w:hAnsi="Calibri" w:cs="Calibri"/>
          <w:i/>
          <w:iCs/>
          <w:color w:val="1F1F1F"/>
        </w:rPr>
      </w:pPr>
      <w:r w:rsidRPr="00952CF1">
        <w:rPr>
          <w:rFonts w:ascii="Calibri" w:hAnsi="Calibri" w:cs="Calibri"/>
          <w:b/>
          <w:bCs/>
          <w:color w:val="1F1F1F"/>
        </w:rPr>
        <w:t>U.S. Department of Energy (DOE).</w:t>
      </w:r>
      <w:r w:rsidRPr="00952CF1">
        <w:rPr>
          <w:rFonts w:ascii="Calibri" w:hAnsi="Calibri" w:cs="Calibri"/>
          <w:color w:val="1F1F1F"/>
        </w:rPr>
        <w:t xml:space="preserve"> </w:t>
      </w:r>
      <w:r w:rsidRPr="00952CF1">
        <w:rPr>
          <w:rFonts w:ascii="Calibri" w:hAnsi="Calibri" w:cs="Calibri"/>
          <w:i/>
          <w:iCs/>
          <w:color w:val="1F1F1F"/>
        </w:rPr>
        <w:t>Deep Decarbonization Pathways and Scenario Projections.</w:t>
      </w:r>
    </w:p>
    <w:p w14:paraId="5E5A70AB" w14:textId="692BB067" w:rsidR="577BFA11" w:rsidRPr="00952CF1" w:rsidRDefault="577BFA11" w:rsidP="00952CF1">
      <w:pPr>
        <w:pStyle w:val="ListParagraph"/>
        <w:numPr>
          <w:ilvl w:val="0"/>
          <w:numId w:val="1"/>
        </w:numPr>
        <w:spacing w:after="0" w:line="240" w:lineRule="auto"/>
        <w:rPr>
          <w:rFonts w:ascii="Calibri" w:hAnsi="Calibri" w:cs="Calibri"/>
          <w:color w:val="0B57D0"/>
        </w:rPr>
      </w:pPr>
      <w:r w:rsidRPr="00952CF1">
        <w:rPr>
          <w:rFonts w:ascii="Calibri" w:hAnsi="Calibri" w:cs="Calibri"/>
          <w:b/>
          <w:bCs/>
          <w:color w:val="1F1F1F"/>
        </w:rPr>
        <w:t>VisionEval Documentation.</w:t>
      </w:r>
      <w:r w:rsidRPr="00952CF1">
        <w:rPr>
          <w:rFonts w:ascii="Calibri" w:hAnsi="Calibri" w:cs="Calibri"/>
          <w:color w:val="1F1F1F"/>
        </w:rPr>
        <w:t xml:space="preserve"> </w:t>
      </w:r>
      <w:r w:rsidRPr="00952CF1">
        <w:rPr>
          <w:rFonts w:ascii="Calibri" w:hAnsi="Calibri" w:cs="Calibri"/>
          <w:i/>
          <w:iCs/>
          <w:color w:val="1F1F1F"/>
        </w:rPr>
        <w:t xml:space="preserve">Model Input Requirements for </w:t>
      </w:r>
      <w:proofErr w:type="gramStart"/>
      <w:r w:rsidRPr="00952CF1">
        <w:rPr>
          <w:rFonts w:ascii="Calibri" w:hAnsi="Calibri" w:cs="Calibri"/>
          <w:i/>
          <w:iCs/>
          <w:color w:val="1F1F1F"/>
        </w:rPr>
        <w:t>Electricity Carbon Intensity</w:t>
      </w:r>
      <w:proofErr w:type="gramEnd"/>
      <w:r w:rsidRPr="00952CF1">
        <w:rPr>
          <w:rFonts w:ascii="Calibri" w:hAnsi="Calibri" w:cs="Calibri"/>
          <w:i/>
          <w:iCs/>
          <w:color w:val="1F1F1F"/>
        </w:rPr>
        <w:t>.</w:t>
      </w:r>
      <w:r w:rsidRPr="00952CF1">
        <w:rPr>
          <w:rFonts w:ascii="Calibri" w:hAnsi="Calibri" w:cs="Calibri"/>
          <w:color w:val="1F1F1F"/>
        </w:rPr>
        <w:t xml:space="preserve"> </w:t>
      </w:r>
      <w:hyperlink r:id="rId16">
        <w:r w:rsidRPr="00952CF1">
          <w:rPr>
            <w:rStyle w:val="Hyperlink"/>
            <w:rFonts w:ascii="Calibri" w:hAnsi="Calibri" w:cs="Calibri"/>
            <w:color w:val="0B57D0"/>
          </w:rPr>
          <w:t>https://visioneval.github.io/docs/model-inputs.html</w:t>
        </w:r>
      </w:hyperlink>
    </w:p>
    <w:p w14:paraId="1196A6C4" w14:textId="6BF325A0" w:rsidR="577BFA11" w:rsidRPr="00952CF1" w:rsidRDefault="577BFA11" w:rsidP="00952CF1">
      <w:pPr>
        <w:pStyle w:val="ListParagraph"/>
        <w:numPr>
          <w:ilvl w:val="0"/>
          <w:numId w:val="1"/>
        </w:numPr>
        <w:spacing w:after="0" w:line="240" w:lineRule="auto"/>
        <w:rPr>
          <w:rFonts w:ascii="Calibri" w:hAnsi="Calibri" w:cs="Calibri"/>
          <w:i/>
          <w:iCs/>
          <w:color w:val="1F1F1F"/>
        </w:rPr>
      </w:pPr>
      <w:r w:rsidRPr="00952CF1">
        <w:rPr>
          <w:rFonts w:ascii="Calibri" w:hAnsi="Calibri" w:cs="Calibri"/>
          <w:b/>
          <w:bCs/>
          <w:color w:val="1F1F1F"/>
        </w:rPr>
        <w:t>Internal Analysis.</w:t>
      </w:r>
      <w:r w:rsidRPr="00952CF1">
        <w:rPr>
          <w:rFonts w:ascii="Calibri" w:hAnsi="Calibri" w:cs="Calibri"/>
          <w:color w:val="1F1F1F"/>
        </w:rPr>
        <w:t xml:space="preserve"> </w:t>
      </w:r>
      <w:r w:rsidRPr="00952CF1">
        <w:rPr>
          <w:rFonts w:ascii="Calibri" w:hAnsi="Calibri" w:cs="Calibri"/>
          <w:i/>
          <w:iCs/>
          <w:color w:val="1F1F1F"/>
        </w:rPr>
        <w:t>CAGR Calculation for 2024–2045 projections (updated Sep, 2025-12-03).</w:t>
      </w:r>
    </w:p>
    <w:p w14:paraId="7830B35B" w14:textId="55F7BF0B" w:rsidR="63B6030D" w:rsidRPr="00952CF1" w:rsidRDefault="63B6030D" w:rsidP="00952CF1">
      <w:pPr>
        <w:spacing w:after="0" w:line="240" w:lineRule="auto"/>
        <w:rPr>
          <w:rFonts w:ascii="Calibri" w:hAnsi="Calibri" w:cs="Calibri"/>
        </w:rPr>
      </w:pPr>
    </w:p>
    <w:p w14:paraId="54A9C909" w14:textId="07560FD1" w:rsidR="63B6030D" w:rsidRPr="00952CF1" w:rsidRDefault="00354439" w:rsidP="00952CF1">
      <w:pPr>
        <w:spacing w:after="0" w:line="240" w:lineRule="auto"/>
        <w:rPr>
          <w:rFonts w:ascii="Calibri" w:hAnsi="Calibri" w:cs="Calibri"/>
        </w:rPr>
      </w:pPr>
      <w:r w:rsidRPr="00952CF1">
        <w:rPr>
          <w:rFonts w:ascii="Calibri" w:hAnsi="Calibri" w:cs="Calibri"/>
        </w:rPr>
        <w:t>SCRAP Work</w:t>
      </w:r>
    </w:p>
    <w:p w14:paraId="319CC156" w14:textId="77777777" w:rsidR="00952CF1" w:rsidRPr="00952CF1" w:rsidRDefault="00952CF1" w:rsidP="00952CF1">
      <w:pPr>
        <w:spacing w:after="0" w:line="240" w:lineRule="auto"/>
        <w:rPr>
          <w:rFonts w:ascii="Calibri" w:hAnsi="Calibri" w:cs="Calibri"/>
        </w:rPr>
      </w:pPr>
    </w:p>
    <w:p w14:paraId="65B1D3DC" w14:textId="77777777" w:rsidR="00952CF1" w:rsidRPr="00952CF1" w:rsidRDefault="00952CF1" w:rsidP="00952CF1">
      <w:pPr>
        <w:pStyle w:val="Heading3"/>
        <w:spacing w:before="0" w:after="0" w:line="240" w:lineRule="auto"/>
        <w:rPr>
          <w:rFonts w:ascii="Calibri" w:eastAsiaTheme="minorEastAsia" w:hAnsi="Calibri" w:cs="Calibri"/>
          <w:b/>
          <w:bCs/>
          <w:color w:val="1F1F1F"/>
          <w:sz w:val="24"/>
          <w:szCs w:val="24"/>
        </w:rPr>
      </w:pPr>
      <w:hyperlink r:id="rId17" w:history="1">
        <w:r w:rsidRPr="00952CF1">
          <w:rPr>
            <w:rStyle w:val="Hyperlink"/>
            <w:rFonts w:ascii="Calibri" w:eastAsiaTheme="minorEastAsia" w:hAnsi="Calibri" w:cs="Calibri"/>
            <w:b/>
            <w:bCs/>
            <w:sz w:val="24"/>
            <w:szCs w:val="24"/>
          </w:rPr>
          <w:t>https://www.epa.gov/energy/greenhouse-gas-equivalencies-calculator</w:t>
        </w:r>
      </w:hyperlink>
    </w:p>
    <w:p w14:paraId="72199408" w14:textId="77777777" w:rsidR="00952CF1" w:rsidRPr="00952CF1" w:rsidRDefault="00952CF1" w:rsidP="00952CF1">
      <w:pPr>
        <w:spacing w:after="0" w:line="240" w:lineRule="auto"/>
        <w:rPr>
          <w:rFonts w:ascii="Calibri" w:hAnsi="Calibri" w:cs="Calibri"/>
        </w:rPr>
      </w:pPr>
      <w:hyperlink r:id="rId18" w:history="1">
        <w:r w:rsidRPr="00952CF1">
          <w:rPr>
            <w:rStyle w:val="Hyperlink"/>
            <w:rFonts w:ascii="Calibri" w:hAnsi="Calibri" w:cs="Calibri"/>
          </w:rPr>
          <w:t>Listing of all Zip Codes in the state of Virginia</w:t>
        </w:r>
      </w:hyperlink>
    </w:p>
    <w:p w14:paraId="5A50F370" w14:textId="77777777" w:rsidR="00952CF1" w:rsidRPr="00952CF1" w:rsidRDefault="00952CF1" w:rsidP="00952CF1">
      <w:pPr>
        <w:spacing w:after="0" w:line="240" w:lineRule="auto"/>
        <w:rPr>
          <w:rFonts w:ascii="Calibri" w:hAnsi="Calibri" w:cs="Calibri"/>
        </w:rPr>
      </w:pPr>
      <w:hyperlink r:id="rId19" w:history="1">
        <w:r w:rsidRPr="00952CF1">
          <w:rPr>
            <w:rStyle w:val="Hyperlink"/>
            <w:rFonts w:ascii="Calibri" w:hAnsi="Calibri" w:cs="Calibri"/>
          </w:rPr>
          <w:t>Convert Kilowatt-hour to Megajoule</w:t>
        </w:r>
      </w:hyperlink>
    </w:p>
    <w:p w14:paraId="6E97E554" w14:textId="77777777" w:rsidR="00952CF1" w:rsidRPr="00952CF1" w:rsidRDefault="00952CF1" w:rsidP="00952CF1">
      <w:pPr>
        <w:spacing w:after="0" w:line="240" w:lineRule="auto"/>
        <w:rPr>
          <w:rFonts w:ascii="Calibri" w:hAnsi="Calibri" w:cs="Calibri"/>
        </w:rPr>
      </w:pPr>
      <w:hyperlink r:id="rId20" w:history="1">
        <w:r w:rsidRPr="00952CF1">
          <w:rPr>
            <w:rStyle w:val="Hyperlink"/>
            <w:rFonts w:ascii="Calibri" w:hAnsi="Calibri" w:cs="Calibri"/>
          </w:rPr>
          <w:t>Greenhouse Gas Equivalencies Calculator - Calculations and References | US EPA</w:t>
        </w:r>
      </w:hyperlink>
      <w:r w:rsidRPr="00952CF1">
        <w:rPr>
          <w:rFonts w:ascii="Calibri" w:hAnsi="Calibri" w:cs="Calibri"/>
        </w:rPr>
        <w:t xml:space="preserve"> </w:t>
      </w:r>
      <w:hyperlink r:id="rId21" w:history="1">
        <w:r w:rsidRPr="00952CF1">
          <w:rPr>
            <w:rStyle w:val="Hyperlink"/>
            <w:rFonts w:ascii="Calibri" w:hAnsi="Calibri" w:cs="Calibri"/>
          </w:rPr>
          <w:t>https://www.unitconverters.net/energy/kilowatt-hour-to-megajoule.htm</w:t>
        </w:r>
      </w:hyperlink>
    </w:p>
    <w:p w14:paraId="5445B8F5" w14:textId="77777777" w:rsidR="00952CF1" w:rsidRPr="00952CF1" w:rsidRDefault="00952CF1" w:rsidP="00952CF1">
      <w:pPr>
        <w:spacing w:after="0" w:line="240" w:lineRule="auto"/>
        <w:rPr>
          <w:rFonts w:ascii="Calibri" w:hAnsi="Calibri" w:cs="Calibri"/>
        </w:rPr>
      </w:pPr>
      <w:hyperlink r:id="rId22" w:anchor="zipcodes" w:history="1">
        <w:r w:rsidRPr="00952CF1">
          <w:rPr>
            <w:rStyle w:val="Hyperlink"/>
            <w:rFonts w:ascii="Calibri" w:hAnsi="Calibri" w:cs="Calibri"/>
          </w:rPr>
          <w:t>Listing of all Zip Codes in the state of Virginia</w:t>
        </w:r>
      </w:hyperlink>
    </w:p>
    <w:p w14:paraId="3A246556" w14:textId="77777777" w:rsidR="00354439" w:rsidRPr="00952CF1" w:rsidRDefault="00354439" w:rsidP="00952CF1">
      <w:pPr>
        <w:spacing w:after="0" w:line="240" w:lineRule="auto"/>
        <w:rPr>
          <w:rFonts w:ascii="Calibri" w:hAnsi="Calibri" w:cs="Calibri"/>
        </w:rPr>
      </w:pPr>
      <w:r w:rsidRPr="00952CF1">
        <w:rPr>
          <w:rFonts w:ascii="Calibri" w:hAnsi="Calibri" w:cs="Calibri"/>
        </w:rPr>
        <w:t xml:space="preserve">Because 1 kwH = 3.6 MJ, </w:t>
      </w:r>
    </w:p>
    <w:p w14:paraId="215061A5" w14:textId="77777777" w:rsidR="00354439" w:rsidRPr="00952CF1" w:rsidRDefault="00354439" w:rsidP="00952CF1">
      <w:pPr>
        <w:spacing w:after="0" w:line="240" w:lineRule="auto"/>
        <w:rPr>
          <w:rFonts w:ascii="Calibri" w:hAnsi="Calibri" w:cs="Calibri"/>
        </w:rPr>
      </w:pPr>
      <w:r w:rsidRPr="00952CF1">
        <w:rPr>
          <w:rFonts w:ascii="Calibri" w:hAnsi="Calibri" w:cs="Calibri"/>
        </w:rPr>
        <w:t xml:space="preserve"> =.314 kg for 1 kwh</w:t>
      </w:r>
    </w:p>
    <w:p w14:paraId="23BEC2C5" w14:textId="77777777" w:rsidR="00354439" w:rsidRPr="00952CF1" w:rsidRDefault="00354439" w:rsidP="00952CF1">
      <w:pPr>
        <w:spacing w:after="0" w:line="240" w:lineRule="auto"/>
        <w:rPr>
          <w:rFonts w:ascii="Calibri" w:hAnsi="Calibri" w:cs="Calibri"/>
        </w:rPr>
      </w:pPr>
      <w:r w:rsidRPr="00952CF1">
        <w:rPr>
          <w:rFonts w:ascii="Calibri" w:hAnsi="Calibri" w:cs="Calibri"/>
        </w:rPr>
        <w:t>=.314 kg for 3.6 MJ</w:t>
      </w:r>
    </w:p>
    <w:p w14:paraId="6842D283" w14:textId="77777777" w:rsidR="00354439" w:rsidRPr="00952CF1" w:rsidRDefault="00354439" w:rsidP="00952CF1">
      <w:pPr>
        <w:spacing w:after="0" w:line="240" w:lineRule="auto"/>
        <w:rPr>
          <w:rFonts w:ascii="Calibri" w:hAnsi="Calibri" w:cs="Calibri"/>
        </w:rPr>
      </w:pPr>
      <w:r w:rsidRPr="00952CF1">
        <w:rPr>
          <w:rFonts w:ascii="Calibri" w:hAnsi="Calibri" w:cs="Calibri"/>
        </w:rPr>
        <w:lastRenderedPageBreak/>
        <w:t>=314 g for 3.6 MJ</w:t>
      </w:r>
    </w:p>
    <w:p w14:paraId="6692C859" w14:textId="77777777" w:rsidR="00354439" w:rsidRPr="00952CF1" w:rsidRDefault="00354439" w:rsidP="00952CF1">
      <w:pPr>
        <w:spacing w:after="0" w:line="240" w:lineRule="auto"/>
        <w:rPr>
          <w:rFonts w:ascii="Calibri" w:hAnsi="Calibri" w:cs="Calibri"/>
        </w:rPr>
      </w:pPr>
      <w:r w:rsidRPr="00952CF1">
        <w:rPr>
          <w:rFonts w:ascii="Calibri" w:hAnsi="Calibri" w:cs="Calibri"/>
        </w:rPr>
        <w:t>=314/3.6=87.222 g for 1 MJ</w:t>
      </w:r>
    </w:p>
    <w:p w14:paraId="63933EA8" w14:textId="30C467CF" w:rsidR="00354439" w:rsidRPr="00952CF1" w:rsidRDefault="00354439" w:rsidP="00952CF1">
      <w:pPr>
        <w:spacing w:after="0" w:line="240" w:lineRule="auto"/>
        <w:rPr>
          <w:rFonts w:ascii="Calibri" w:hAnsi="Calibri" w:cs="Calibri"/>
        </w:rPr>
      </w:pPr>
      <w:hyperlink r:id="rId23" w:history="1">
        <w:r w:rsidRPr="00952CF1">
          <w:rPr>
            <w:rStyle w:val="Hyperlink"/>
            <w:rFonts w:ascii="Calibri" w:hAnsi="Calibri" w:cs="Calibri"/>
          </w:rPr>
          <w:t xml:space="preserve">Complete List </w:t>
        </w:r>
        <w:proofErr w:type="gramStart"/>
        <w:r w:rsidRPr="00952CF1">
          <w:rPr>
            <w:rStyle w:val="Hyperlink"/>
            <w:rFonts w:ascii="Calibri" w:hAnsi="Calibri" w:cs="Calibri"/>
          </w:rPr>
          <w:t>Of</w:t>
        </w:r>
        <w:proofErr w:type="gramEnd"/>
        <w:r w:rsidRPr="00952CF1">
          <w:rPr>
            <w:rStyle w:val="Hyperlink"/>
            <w:rFonts w:ascii="Calibri" w:hAnsi="Calibri" w:cs="Calibri"/>
          </w:rPr>
          <w:t xml:space="preserve"> All Virginia Zip Codes – GenGuide</w:t>
        </w:r>
      </w:hyperlink>
      <w:r w:rsidR="00D8147C" w:rsidRPr="00952CF1">
        <w:rPr>
          <w:rFonts w:ascii="Calibri" w:hAnsi="Calibri" w:cs="Calibri"/>
        </w:rPr>
        <w:t>’</w:t>
      </w:r>
    </w:p>
    <w:p w14:paraId="42949510" w14:textId="77777777" w:rsidR="00354439" w:rsidRPr="00952CF1" w:rsidRDefault="00354439" w:rsidP="00952CF1">
      <w:pPr>
        <w:spacing w:after="0" w:line="240" w:lineRule="auto"/>
        <w:rPr>
          <w:rFonts w:ascii="Calibri" w:hAnsi="Calibri" w:cs="Calibri"/>
        </w:rPr>
      </w:pPr>
      <w:hyperlink r:id="rId24" w:history="1">
        <w:r w:rsidRPr="00952CF1">
          <w:rPr>
            <w:rStyle w:val="Hyperlink"/>
            <w:rFonts w:ascii="Calibri" w:hAnsi="Calibri" w:cs="Calibri"/>
          </w:rPr>
          <w:t>Greenhouse Gas Equivalencies Calculator | US EPA</w:t>
        </w:r>
      </w:hyperlink>
    </w:p>
    <w:p w14:paraId="59275FE7" w14:textId="77777777" w:rsidR="00354439" w:rsidRPr="00952CF1" w:rsidRDefault="00354439" w:rsidP="00952CF1">
      <w:pPr>
        <w:spacing w:after="0" w:line="240" w:lineRule="auto"/>
        <w:rPr>
          <w:rFonts w:ascii="Calibri" w:hAnsi="Calibri" w:cs="Calibri"/>
        </w:rPr>
      </w:pPr>
      <w:r w:rsidRPr="00952CF1">
        <w:rPr>
          <w:rFonts w:ascii="Calibri" w:hAnsi="Calibri" w:cs="Calibri"/>
        </w:rPr>
        <w:t>277.8</w:t>
      </w:r>
    </w:p>
    <w:p w14:paraId="7DBF4D22" w14:textId="77777777" w:rsidR="00354439" w:rsidRPr="00952CF1" w:rsidRDefault="00354439" w:rsidP="00952CF1">
      <w:pPr>
        <w:spacing w:after="0" w:line="240" w:lineRule="auto"/>
        <w:rPr>
          <w:rFonts w:ascii="Calibri" w:hAnsi="Calibri" w:cs="Calibri"/>
        </w:rPr>
      </w:pPr>
    </w:p>
    <w:sectPr w:rsidR="00354439" w:rsidRPr="00952CF1" w:rsidSect="00A822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2C26"/>
    <w:multiLevelType w:val="multilevel"/>
    <w:tmpl w:val="3EDCC9B2"/>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C375442"/>
    <w:multiLevelType w:val="hybridMultilevel"/>
    <w:tmpl w:val="25CA22FE"/>
    <w:lvl w:ilvl="0" w:tplc="B682368E">
      <w:start w:val="1"/>
      <w:numFmt w:val="decimal"/>
      <w:lvlText w:val="%1."/>
      <w:lvlJc w:val="left"/>
      <w:pPr>
        <w:ind w:left="360" w:hanging="360"/>
      </w:pPr>
    </w:lvl>
    <w:lvl w:ilvl="1" w:tplc="4F283E3C">
      <w:start w:val="1"/>
      <w:numFmt w:val="lowerLetter"/>
      <w:lvlText w:val="%2."/>
      <w:lvlJc w:val="left"/>
      <w:pPr>
        <w:ind w:left="1440" w:hanging="360"/>
      </w:pPr>
    </w:lvl>
    <w:lvl w:ilvl="2" w:tplc="EE40CBAC">
      <w:start w:val="1"/>
      <w:numFmt w:val="lowerRoman"/>
      <w:lvlText w:val="%3."/>
      <w:lvlJc w:val="right"/>
      <w:pPr>
        <w:ind w:left="2160" w:hanging="180"/>
      </w:pPr>
    </w:lvl>
    <w:lvl w:ilvl="3" w:tplc="1D86E850">
      <w:start w:val="1"/>
      <w:numFmt w:val="decimal"/>
      <w:lvlText w:val="%4."/>
      <w:lvlJc w:val="left"/>
      <w:pPr>
        <w:ind w:left="2880" w:hanging="360"/>
      </w:pPr>
    </w:lvl>
    <w:lvl w:ilvl="4" w:tplc="E0B4F24A">
      <w:start w:val="1"/>
      <w:numFmt w:val="lowerLetter"/>
      <w:lvlText w:val="%5."/>
      <w:lvlJc w:val="left"/>
      <w:pPr>
        <w:ind w:left="3600" w:hanging="360"/>
      </w:pPr>
    </w:lvl>
    <w:lvl w:ilvl="5" w:tplc="B3FC6950">
      <w:start w:val="1"/>
      <w:numFmt w:val="lowerRoman"/>
      <w:lvlText w:val="%6."/>
      <w:lvlJc w:val="right"/>
      <w:pPr>
        <w:ind w:left="4320" w:hanging="180"/>
      </w:pPr>
    </w:lvl>
    <w:lvl w:ilvl="6" w:tplc="BE7669BA">
      <w:start w:val="1"/>
      <w:numFmt w:val="decimal"/>
      <w:lvlText w:val="%7."/>
      <w:lvlJc w:val="left"/>
      <w:pPr>
        <w:ind w:left="5040" w:hanging="360"/>
      </w:pPr>
    </w:lvl>
    <w:lvl w:ilvl="7" w:tplc="70A62FDC">
      <w:start w:val="1"/>
      <w:numFmt w:val="lowerLetter"/>
      <w:lvlText w:val="%8."/>
      <w:lvlJc w:val="left"/>
      <w:pPr>
        <w:ind w:left="5760" w:hanging="360"/>
      </w:pPr>
    </w:lvl>
    <w:lvl w:ilvl="8" w:tplc="5170A5FE">
      <w:start w:val="1"/>
      <w:numFmt w:val="lowerRoman"/>
      <w:lvlText w:val="%9."/>
      <w:lvlJc w:val="right"/>
      <w:pPr>
        <w:ind w:left="6480" w:hanging="180"/>
      </w:pPr>
    </w:lvl>
  </w:abstractNum>
  <w:abstractNum w:abstractNumId="2" w15:restartNumberingAfterBreak="0">
    <w:nsid w:val="39BCCD6A"/>
    <w:multiLevelType w:val="hybridMultilevel"/>
    <w:tmpl w:val="EDB4D7EE"/>
    <w:lvl w:ilvl="0" w:tplc="4424ABBA">
      <w:start w:val="1"/>
      <w:numFmt w:val="decimal"/>
      <w:lvlText w:val="%1."/>
      <w:lvlJc w:val="left"/>
      <w:pPr>
        <w:ind w:left="720" w:hanging="360"/>
      </w:pPr>
    </w:lvl>
    <w:lvl w:ilvl="1" w:tplc="840C5180">
      <w:start w:val="1"/>
      <w:numFmt w:val="lowerLetter"/>
      <w:lvlText w:val="%2."/>
      <w:lvlJc w:val="left"/>
      <w:pPr>
        <w:ind w:left="1440" w:hanging="360"/>
      </w:pPr>
    </w:lvl>
    <w:lvl w:ilvl="2" w:tplc="FDE4D750">
      <w:start w:val="1"/>
      <w:numFmt w:val="lowerRoman"/>
      <w:lvlText w:val="%3."/>
      <w:lvlJc w:val="right"/>
      <w:pPr>
        <w:ind w:left="2160" w:hanging="180"/>
      </w:pPr>
    </w:lvl>
    <w:lvl w:ilvl="3" w:tplc="CBF64166">
      <w:start w:val="1"/>
      <w:numFmt w:val="decimal"/>
      <w:lvlText w:val="%4."/>
      <w:lvlJc w:val="left"/>
      <w:pPr>
        <w:ind w:left="2880" w:hanging="360"/>
      </w:pPr>
    </w:lvl>
    <w:lvl w:ilvl="4" w:tplc="4D5666A6">
      <w:start w:val="1"/>
      <w:numFmt w:val="lowerLetter"/>
      <w:lvlText w:val="%5."/>
      <w:lvlJc w:val="left"/>
      <w:pPr>
        <w:ind w:left="3600" w:hanging="360"/>
      </w:pPr>
    </w:lvl>
    <w:lvl w:ilvl="5" w:tplc="80861D42">
      <w:start w:val="1"/>
      <w:numFmt w:val="lowerRoman"/>
      <w:lvlText w:val="%6."/>
      <w:lvlJc w:val="right"/>
      <w:pPr>
        <w:ind w:left="4320" w:hanging="180"/>
      </w:pPr>
    </w:lvl>
    <w:lvl w:ilvl="6" w:tplc="E9C82F08">
      <w:start w:val="1"/>
      <w:numFmt w:val="decimal"/>
      <w:lvlText w:val="%7."/>
      <w:lvlJc w:val="left"/>
      <w:pPr>
        <w:ind w:left="5040" w:hanging="360"/>
      </w:pPr>
    </w:lvl>
    <w:lvl w:ilvl="7" w:tplc="9CC25A14">
      <w:start w:val="1"/>
      <w:numFmt w:val="lowerLetter"/>
      <w:lvlText w:val="%8."/>
      <w:lvlJc w:val="left"/>
      <w:pPr>
        <w:ind w:left="5760" w:hanging="360"/>
      </w:pPr>
    </w:lvl>
    <w:lvl w:ilvl="8" w:tplc="1D9E9D50">
      <w:start w:val="1"/>
      <w:numFmt w:val="lowerRoman"/>
      <w:lvlText w:val="%9."/>
      <w:lvlJc w:val="right"/>
      <w:pPr>
        <w:ind w:left="6480" w:hanging="180"/>
      </w:pPr>
    </w:lvl>
  </w:abstractNum>
  <w:abstractNum w:abstractNumId="3" w15:restartNumberingAfterBreak="0">
    <w:nsid w:val="467F2532"/>
    <w:multiLevelType w:val="hybridMultilevel"/>
    <w:tmpl w:val="07828252"/>
    <w:lvl w:ilvl="0" w:tplc="164CE1E4">
      <w:start w:val="1"/>
      <w:numFmt w:val="bullet"/>
      <w:lvlText w:val=""/>
      <w:lvlJc w:val="left"/>
      <w:pPr>
        <w:ind w:left="720" w:hanging="360"/>
      </w:pPr>
      <w:rPr>
        <w:rFonts w:ascii="Symbol" w:hAnsi="Symbol" w:hint="default"/>
      </w:rPr>
    </w:lvl>
    <w:lvl w:ilvl="1" w:tplc="9A52B42C">
      <w:start w:val="1"/>
      <w:numFmt w:val="bullet"/>
      <w:lvlText w:val="o"/>
      <w:lvlJc w:val="left"/>
      <w:pPr>
        <w:ind w:left="1440" w:hanging="360"/>
      </w:pPr>
      <w:rPr>
        <w:rFonts w:ascii="Courier New" w:hAnsi="Courier New" w:hint="default"/>
      </w:rPr>
    </w:lvl>
    <w:lvl w:ilvl="2" w:tplc="97B455E0">
      <w:start w:val="1"/>
      <w:numFmt w:val="bullet"/>
      <w:lvlText w:val=""/>
      <w:lvlJc w:val="left"/>
      <w:pPr>
        <w:ind w:left="2160" w:hanging="360"/>
      </w:pPr>
      <w:rPr>
        <w:rFonts w:ascii="Wingdings" w:hAnsi="Wingdings" w:hint="default"/>
      </w:rPr>
    </w:lvl>
    <w:lvl w:ilvl="3" w:tplc="D070F534">
      <w:start w:val="1"/>
      <w:numFmt w:val="bullet"/>
      <w:lvlText w:val=""/>
      <w:lvlJc w:val="left"/>
      <w:pPr>
        <w:ind w:left="2880" w:hanging="360"/>
      </w:pPr>
      <w:rPr>
        <w:rFonts w:ascii="Symbol" w:hAnsi="Symbol" w:hint="default"/>
      </w:rPr>
    </w:lvl>
    <w:lvl w:ilvl="4" w:tplc="5F6C3054">
      <w:start w:val="1"/>
      <w:numFmt w:val="bullet"/>
      <w:lvlText w:val="o"/>
      <w:lvlJc w:val="left"/>
      <w:pPr>
        <w:ind w:left="3600" w:hanging="360"/>
      </w:pPr>
      <w:rPr>
        <w:rFonts w:ascii="Courier New" w:hAnsi="Courier New" w:hint="default"/>
      </w:rPr>
    </w:lvl>
    <w:lvl w:ilvl="5" w:tplc="84CC0480">
      <w:start w:val="1"/>
      <w:numFmt w:val="bullet"/>
      <w:lvlText w:val=""/>
      <w:lvlJc w:val="left"/>
      <w:pPr>
        <w:ind w:left="4320" w:hanging="360"/>
      </w:pPr>
      <w:rPr>
        <w:rFonts w:ascii="Wingdings" w:hAnsi="Wingdings" w:hint="default"/>
      </w:rPr>
    </w:lvl>
    <w:lvl w:ilvl="6" w:tplc="E368B4CE">
      <w:start w:val="1"/>
      <w:numFmt w:val="bullet"/>
      <w:lvlText w:val=""/>
      <w:lvlJc w:val="left"/>
      <w:pPr>
        <w:ind w:left="5040" w:hanging="360"/>
      </w:pPr>
      <w:rPr>
        <w:rFonts w:ascii="Symbol" w:hAnsi="Symbol" w:hint="default"/>
      </w:rPr>
    </w:lvl>
    <w:lvl w:ilvl="7" w:tplc="E24E6970">
      <w:start w:val="1"/>
      <w:numFmt w:val="bullet"/>
      <w:lvlText w:val="o"/>
      <w:lvlJc w:val="left"/>
      <w:pPr>
        <w:ind w:left="5760" w:hanging="360"/>
      </w:pPr>
      <w:rPr>
        <w:rFonts w:ascii="Courier New" w:hAnsi="Courier New" w:hint="default"/>
      </w:rPr>
    </w:lvl>
    <w:lvl w:ilvl="8" w:tplc="4A4CB4D2">
      <w:start w:val="1"/>
      <w:numFmt w:val="bullet"/>
      <w:lvlText w:val=""/>
      <w:lvlJc w:val="left"/>
      <w:pPr>
        <w:ind w:left="6480" w:hanging="360"/>
      </w:pPr>
      <w:rPr>
        <w:rFonts w:ascii="Wingdings" w:hAnsi="Wingdings" w:hint="default"/>
      </w:rPr>
    </w:lvl>
  </w:abstractNum>
  <w:abstractNum w:abstractNumId="4" w15:restartNumberingAfterBreak="0">
    <w:nsid w:val="72E92443"/>
    <w:multiLevelType w:val="hybridMultilevel"/>
    <w:tmpl w:val="160287B2"/>
    <w:lvl w:ilvl="0" w:tplc="6158E544">
      <w:start w:val="1"/>
      <w:numFmt w:val="bullet"/>
      <w:lvlText w:val=""/>
      <w:lvlJc w:val="left"/>
      <w:pPr>
        <w:ind w:left="720" w:hanging="360"/>
      </w:pPr>
      <w:rPr>
        <w:rFonts w:ascii="Symbol" w:hAnsi="Symbol" w:hint="default"/>
      </w:rPr>
    </w:lvl>
    <w:lvl w:ilvl="1" w:tplc="0136DB4C">
      <w:start w:val="1"/>
      <w:numFmt w:val="bullet"/>
      <w:lvlText w:val="o"/>
      <w:lvlJc w:val="left"/>
      <w:pPr>
        <w:ind w:left="1440" w:hanging="360"/>
      </w:pPr>
      <w:rPr>
        <w:rFonts w:ascii="Courier New" w:hAnsi="Courier New" w:hint="default"/>
      </w:rPr>
    </w:lvl>
    <w:lvl w:ilvl="2" w:tplc="B034305C">
      <w:start w:val="1"/>
      <w:numFmt w:val="bullet"/>
      <w:lvlText w:val=""/>
      <w:lvlJc w:val="left"/>
      <w:pPr>
        <w:ind w:left="2160" w:hanging="360"/>
      </w:pPr>
      <w:rPr>
        <w:rFonts w:ascii="Wingdings" w:hAnsi="Wingdings" w:hint="default"/>
      </w:rPr>
    </w:lvl>
    <w:lvl w:ilvl="3" w:tplc="8FCAD532">
      <w:start w:val="1"/>
      <w:numFmt w:val="bullet"/>
      <w:lvlText w:val=""/>
      <w:lvlJc w:val="left"/>
      <w:pPr>
        <w:ind w:left="2880" w:hanging="360"/>
      </w:pPr>
      <w:rPr>
        <w:rFonts w:ascii="Symbol" w:hAnsi="Symbol" w:hint="default"/>
      </w:rPr>
    </w:lvl>
    <w:lvl w:ilvl="4" w:tplc="8D72D124">
      <w:start w:val="1"/>
      <w:numFmt w:val="bullet"/>
      <w:lvlText w:val="o"/>
      <w:lvlJc w:val="left"/>
      <w:pPr>
        <w:ind w:left="3600" w:hanging="360"/>
      </w:pPr>
      <w:rPr>
        <w:rFonts w:ascii="Courier New" w:hAnsi="Courier New" w:hint="default"/>
      </w:rPr>
    </w:lvl>
    <w:lvl w:ilvl="5" w:tplc="EA3A505C">
      <w:start w:val="1"/>
      <w:numFmt w:val="bullet"/>
      <w:lvlText w:val=""/>
      <w:lvlJc w:val="left"/>
      <w:pPr>
        <w:ind w:left="4320" w:hanging="360"/>
      </w:pPr>
      <w:rPr>
        <w:rFonts w:ascii="Wingdings" w:hAnsi="Wingdings" w:hint="default"/>
      </w:rPr>
    </w:lvl>
    <w:lvl w:ilvl="6" w:tplc="69B0FF36">
      <w:start w:val="1"/>
      <w:numFmt w:val="bullet"/>
      <w:lvlText w:val=""/>
      <w:lvlJc w:val="left"/>
      <w:pPr>
        <w:ind w:left="5040" w:hanging="360"/>
      </w:pPr>
      <w:rPr>
        <w:rFonts w:ascii="Symbol" w:hAnsi="Symbol" w:hint="default"/>
      </w:rPr>
    </w:lvl>
    <w:lvl w:ilvl="7" w:tplc="466E6EAA">
      <w:start w:val="1"/>
      <w:numFmt w:val="bullet"/>
      <w:lvlText w:val="o"/>
      <w:lvlJc w:val="left"/>
      <w:pPr>
        <w:ind w:left="5760" w:hanging="360"/>
      </w:pPr>
      <w:rPr>
        <w:rFonts w:ascii="Courier New" w:hAnsi="Courier New" w:hint="default"/>
      </w:rPr>
    </w:lvl>
    <w:lvl w:ilvl="8" w:tplc="C866A1AA">
      <w:start w:val="1"/>
      <w:numFmt w:val="bullet"/>
      <w:lvlText w:val=""/>
      <w:lvlJc w:val="left"/>
      <w:pPr>
        <w:ind w:left="6480" w:hanging="360"/>
      </w:pPr>
      <w:rPr>
        <w:rFonts w:ascii="Wingdings" w:hAnsi="Wingdings" w:hint="default"/>
      </w:rPr>
    </w:lvl>
  </w:abstractNum>
  <w:num w:numId="1" w16cid:durableId="1722249227">
    <w:abstractNumId w:val="2"/>
  </w:num>
  <w:num w:numId="2" w16cid:durableId="227805704">
    <w:abstractNumId w:val="3"/>
  </w:num>
  <w:num w:numId="3" w16cid:durableId="490676152">
    <w:abstractNumId w:val="1"/>
  </w:num>
  <w:num w:numId="4" w16cid:durableId="1209074695">
    <w:abstractNumId w:val="4"/>
  </w:num>
  <w:num w:numId="5" w16cid:durableId="64724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7CA6D6"/>
    <w:rsid w:val="001578E3"/>
    <w:rsid w:val="002E0E9B"/>
    <w:rsid w:val="00331B86"/>
    <w:rsid w:val="00354439"/>
    <w:rsid w:val="00472442"/>
    <w:rsid w:val="004B230A"/>
    <w:rsid w:val="0051576C"/>
    <w:rsid w:val="005566B9"/>
    <w:rsid w:val="007A47FE"/>
    <w:rsid w:val="008F0D67"/>
    <w:rsid w:val="00952CF1"/>
    <w:rsid w:val="00A324D3"/>
    <w:rsid w:val="00A822CD"/>
    <w:rsid w:val="00AF1FE8"/>
    <w:rsid w:val="00B50C27"/>
    <w:rsid w:val="00D8147C"/>
    <w:rsid w:val="00DB13F5"/>
    <w:rsid w:val="00DE1503"/>
    <w:rsid w:val="00EA47A7"/>
    <w:rsid w:val="00F767B2"/>
    <w:rsid w:val="00FB088B"/>
    <w:rsid w:val="00FC5293"/>
    <w:rsid w:val="05E7D941"/>
    <w:rsid w:val="0897686D"/>
    <w:rsid w:val="2366CDF6"/>
    <w:rsid w:val="241F9B11"/>
    <w:rsid w:val="2B68821D"/>
    <w:rsid w:val="2D9639E9"/>
    <w:rsid w:val="307CA6D6"/>
    <w:rsid w:val="329A3CCE"/>
    <w:rsid w:val="3816F7FC"/>
    <w:rsid w:val="3DE2F579"/>
    <w:rsid w:val="3FC00176"/>
    <w:rsid w:val="52DDDB8E"/>
    <w:rsid w:val="577BFA11"/>
    <w:rsid w:val="5F2D3D6E"/>
    <w:rsid w:val="63B6030D"/>
    <w:rsid w:val="657B8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56A9"/>
  <w15:chartTrackingRefBased/>
  <w15:docId w15:val="{2B50C256-BB0C-480F-A79F-193434ED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FE8"/>
  </w:style>
  <w:style w:type="paragraph" w:styleId="Heading2">
    <w:name w:val="heading 2"/>
    <w:basedOn w:val="Normal"/>
    <w:next w:val="Normal"/>
    <w:uiPriority w:val="9"/>
    <w:unhideWhenUsed/>
    <w:qFormat/>
    <w:rsid w:val="63B60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3B6030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3B6030D"/>
    <w:pPr>
      <w:ind w:left="720"/>
      <w:contextualSpacing/>
    </w:pPr>
  </w:style>
  <w:style w:type="character" w:styleId="Hyperlink">
    <w:name w:val="Hyperlink"/>
    <w:basedOn w:val="DefaultParagraphFont"/>
    <w:uiPriority w:val="99"/>
    <w:unhideWhenUsed/>
    <w:rsid w:val="63B6030D"/>
    <w:rPr>
      <w:color w:val="467886"/>
      <w:u w:val="single"/>
    </w:rPr>
  </w:style>
  <w:style w:type="character" w:styleId="FollowedHyperlink">
    <w:name w:val="FollowedHyperlink"/>
    <w:basedOn w:val="DefaultParagraphFont"/>
    <w:uiPriority w:val="99"/>
    <w:semiHidden/>
    <w:unhideWhenUsed/>
    <w:rsid w:val="00A822CD"/>
    <w:rPr>
      <w:color w:val="96607D" w:themeColor="followedHyperlink"/>
      <w:u w:val="single"/>
    </w:rPr>
  </w:style>
  <w:style w:type="character" w:styleId="UnresolvedMention">
    <w:name w:val="Unresolved Mention"/>
    <w:basedOn w:val="DefaultParagraphFont"/>
    <w:uiPriority w:val="99"/>
    <w:semiHidden/>
    <w:unhideWhenUsed/>
    <w:rsid w:val="005566B9"/>
    <w:rPr>
      <w:color w:val="605E5C"/>
      <w:shd w:val="clear" w:color="auto" w:fill="E1DFDD"/>
    </w:rPr>
  </w:style>
  <w:style w:type="character" w:customStyle="1" w:styleId="Heading3Char">
    <w:name w:val="Heading 3 Char"/>
    <w:basedOn w:val="DefaultParagraphFont"/>
    <w:link w:val="Heading3"/>
    <w:uiPriority w:val="9"/>
    <w:rsid w:val="00D8147C"/>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a.gov/energy/greenhouse-gas-equivalencies-calculator" TargetMode="External"/><Relationship Id="rId13" Type="http://schemas.openxmlformats.org/officeDocument/2006/relationships/hyperlink" Target="https://www.epa.gov/avert/avert-web-edition" TargetMode="External"/><Relationship Id="rId18" Type="http://schemas.openxmlformats.org/officeDocument/2006/relationships/hyperlink" Target="https://www.zip-codes.com/state/va.as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unitconverters.net/energy/kilowatt-hour-to-megajoule.htm" TargetMode="External"/><Relationship Id="rId7" Type="http://schemas.openxmlformats.org/officeDocument/2006/relationships/hyperlink" Target="https://virginia.box.com/s/irjud9jhn28x5w6kq0gjz1ytm484wu74" TargetMode="External"/><Relationship Id="rId12" Type="http://schemas.openxmlformats.org/officeDocument/2006/relationships/hyperlink" Target="https://www.epa.gov/energy/greenhouse-gas-equivalencies-calculator-calculations-and-references" TargetMode="External"/><Relationship Id="rId17" Type="http://schemas.openxmlformats.org/officeDocument/2006/relationships/hyperlink" Target="https://www.epa.gov/energy/greenhouse-gas-equivalencies-calculat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isioneval.github.io/docs/model-inputs.html" TargetMode="External"/><Relationship Id="rId20" Type="http://schemas.openxmlformats.org/officeDocument/2006/relationships/hyperlink" Target="https://www.epa.gov/energy/greenhouse-gas-equivalencies-calculator-calculations-and-referenc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leanview.co/power-projects/operating/coal-power-plants/virginia" TargetMode="External"/><Relationship Id="rId24" Type="http://schemas.openxmlformats.org/officeDocument/2006/relationships/hyperlink" Target="https://www.epa.gov/energy/greenhouse-gas-equivalencies-calculator" TargetMode="External"/><Relationship Id="rId5" Type="http://schemas.openxmlformats.org/officeDocument/2006/relationships/hyperlink" Target="https://visioneval.github.io/docs/model-inputs.html" TargetMode="External"/><Relationship Id="rId15" Type="http://schemas.openxmlformats.org/officeDocument/2006/relationships/hyperlink" Target="https://www.epa.gov/avert/avert-web-edition" TargetMode="External"/><Relationship Id="rId23" Type="http://schemas.openxmlformats.org/officeDocument/2006/relationships/hyperlink" Target="https://genguide.com.ng/complete-list-of-all-virginia-zip-codes/" TargetMode="External"/><Relationship Id="rId10" Type="http://schemas.openxmlformats.org/officeDocument/2006/relationships/hyperlink" Target="https://cleanview.co/power-projects/operating/natural-gas-power-plants/virginia" TargetMode="External"/><Relationship Id="rId19" Type="http://schemas.openxmlformats.org/officeDocument/2006/relationships/hyperlink" Target="https://www.unitconverters.net/energy/kilowatt-hour-to-megajoule.htm" TargetMode="External"/><Relationship Id="rId4" Type="http://schemas.openxmlformats.org/officeDocument/2006/relationships/webSettings" Target="webSettings.xml"/><Relationship Id="rId9" Type="http://schemas.openxmlformats.org/officeDocument/2006/relationships/hyperlink" Target="https://genguide.com.ng/complete-list-of-all-virginia-zip-codes/" TargetMode="External"/><Relationship Id="rId14" Type="http://schemas.openxmlformats.org/officeDocument/2006/relationships/image" Target="media/image2.png"/><Relationship Id="rId22" Type="http://schemas.openxmlformats.org/officeDocument/2006/relationships/hyperlink" Target="https://www.zip-codes.com/state/va.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hunter.lutz@vdot.virginia.gov</dc:creator>
  <cp:keywords/>
  <dc:description/>
  <cp:lastModifiedBy>Miller, John S. (VDOT)</cp:lastModifiedBy>
  <cp:revision>12</cp:revision>
  <dcterms:created xsi:type="dcterms:W3CDTF">2026-04-08T19:57:00Z</dcterms:created>
  <dcterms:modified xsi:type="dcterms:W3CDTF">2026-06-01T12:24:00Z</dcterms:modified>
</cp:coreProperties>
</file>