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E6587" w14:textId="37F3FAAE" w:rsidR="002C512B" w:rsidRPr="00623AA1" w:rsidRDefault="1CD8CCA7" w:rsidP="006C631D">
      <w:pPr>
        <w:spacing w:after="0" w:line="240" w:lineRule="auto"/>
        <w:jc w:val="center"/>
        <w:rPr>
          <w:rFonts w:ascii="Calibri" w:hAnsi="Calibri" w:cs="Calibri"/>
          <w:b/>
          <w:bCs/>
          <w:color w:val="000000" w:themeColor="text1"/>
        </w:rPr>
      </w:pPr>
      <w:r w:rsidRPr="00623AA1">
        <w:rPr>
          <w:rFonts w:ascii="Calibri" w:hAnsi="Calibri" w:cs="Calibri"/>
          <w:b/>
          <w:bCs/>
          <w:color w:val="000000" w:themeColor="text1"/>
        </w:rPr>
        <w:t>07_azone_hh_lttrk_prop</w:t>
      </w:r>
    </w:p>
    <w:p w14:paraId="7DFD4FE6" w14:textId="77777777" w:rsidR="006C631D" w:rsidRPr="00623AA1" w:rsidRDefault="006C631D" w:rsidP="006C631D">
      <w:pPr>
        <w:spacing w:after="0" w:line="240" w:lineRule="auto"/>
        <w:jc w:val="center"/>
        <w:rPr>
          <w:rFonts w:ascii="Calibri" w:hAnsi="Calibri" w:cs="Calibri"/>
          <w:color w:val="000000" w:themeColor="text1"/>
        </w:rPr>
      </w:pPr>
    </w:p>
    <w:p w14:paraId="457BB4BE" w14:textId="335BDE6E" w:rsidR="002C512B" w:rsidRPr="00623AA1" w:rsidRDefault="006C631D" w:rsidP="006C631D">
      <w:pPr>
        <w:spacing w:after="0" w:line="240" w:lineRule="auto"/>
        <w:jc w:val="center"/>
        <w:rPr>
          <w:rFonts w:ascii="Calibri" w:hAnsi="Calibri" w:cs="Calibri"/>
          <w:b/>
          <w:bCs/>
          <w:color w:val="000000" w:themeColor="text1"/>
        </w:rPr>
      </w:pPr>
      <w:r w:rsidRPr="00623AA1">
        <w:rPr>
          <w:rFonts w:ascii="Calibri" w:hAnsi="Calibri" w:cs="Calibri"/>
          <w:b/>
          <w:bCs/>
          <w:color w:val="000000" w:themeColor="text1"/>
        </w:rPr>
        <w:t>May 25, 2026</w:t>
      </w:r>
    </w:p>
    <w:p w14:paraId="67B84141" w14:textId="77777777" w:rsidR="006C631D" w:rsidRPr="00623AA1" w:rsidRDefault="006C631D" w:rsidP="006C631D">
      <w:pPr>
        <w:spacing w:after="0" w:line="240" w:lineRule="auto"/>
        <w:jc w:val="center"/>
        <w:rPr>
          <w:rFonts w:ascii="Calibri" w:hAnsi="Calibri" w:cs="Calibri"/>
          <w:color w:val="000000" w:themeColor="text1"/>
        </w:rPr>
      </w:pPr>
    </w:p>
    <w:p w14:paraId="68FB6A43" w14:textId="16810140" w:rsidR="002C512B" w:rsidRPr="00623AA1" w:rsidRDefault="1CD8CCA7" w:rsidP="006C631D">
      <w:pPr>
        <w:pStyle w:val="Heading2"/>
        <w:spacing w:before="0" w:after="0" w:line="240" w:lineRule="auto"/>
        <w:rPr>
          <w:rFonts w:ascii="Calibri" w:eastAsiaTheme="minorEastAsia" w:hAnsi="Calibri" w:cs="Calibri"/>
          <w:b/>
          <w:bCs/>
          <w:color w:val="auto"/>
          <w:sz w:val="24"/>
          <w:szCs w:val="24"/>
        </w:rPr>
      </w:pPr>
      <w:r w:rsidRPr="00623AA1">
        <w:rPr>
          <w:rFonts w:ascii="Calibri" w:eastAsiaTheme="minorEastAsia" w:hAnsi="Calibri" w:cs="Calibri"/>
          <w:b/>
          <w:bCs/>
          <w:color w:val="auto"/>
          <w:sz w:val="24"/>
          <w:szCs w:val="24"/>
        </w:rPr>
        <w:t>Definition of the Input File</w:t>
      </w:r>
    </w:p>
    <w:p w14:paraId="44568CF3" w14:textId="77777777" w:rsidR="006C631D" w:rsidRPr="00623AA1" w:rsidRDefault="006C631D" w:rsidP="006C631D">
      <w:pPr>
        <w:rPr>
          <w:rFonts w:ascii="Calibri" w:hAnsi="Calibri" w:cs="Calibri"/>
        </w:rPr>
      </w:pPr>
    </w:p>
    <w:p w14:paraId="2A176F7D" w14:textId="142E0C8E" w:rsidR="002C512B" w:rsidRPr="00623AA1" w:rsidRDefault="33EA5915" w:rsidP="006C631D">
      <w:pPr>
        <w:spacing w:after="0" w:line="240" w:lineRule="auto"/>
        <w:ind w:firstLine="720"/>
        <w:rPr>
          <w:rFonts w:ascii="Calibri" w:hAnsi="Calibri" w:cs="Calibri"/>
          <w:color w:val="1F1F1F"/>
        </w:rPr>
      </w:pPr>
      <w:r w:rsidRPr="00623AA1">
        <w:rPr>
          <w:rFonts w:ascii="Calibri" w:hAnsi="Calibri" w:cs="Calibri"/>
        </w:rPr>
        <w:t xml:space="preserve">The file </w:t>
      </w:r>
      <w:r w:rsidRPr="00623AA1">
        <w:rPr>
          <w:rFonts w:ascii="Calibri" w:hAnsi="Calibri" w:cs="Calibri"/>
          <w:b/>
          <w:bCs/>
        </w:rPr>
        <w:t>azone_lttrk_prop.csv</w:t>
      </w:r>
      <w:r w:rsidRPr="00623AA1">
        <w:rPr>
          <w:rFonts w:ascii="Calibri" w:hAnsi="Calibri" w:cs="Calibri"/>
        </w:rPr>
        <w:t xml:space="preserve"> specifies the </w:t>
      </w:r>
      <w:r w:rsidRPr="00623AA1">
        <w:rPr>
          <w:rFonts w:ascii="Calibri" w:hAnsi="Calibri" w:cs="Calibri"/>
          <w:b/>
          <w:bCs/>
        </w:rPr>
        <w:t>proportion of household vehicles that are light trucks</w:t>
      </w:r>
      <w:r w:rsidRPr="00623AA1">
        <w:rPr>
          <w:rFonts w:ascii="Calibri" w:hAnsi="Calibri" w:cs="Calibri"/>
        </w:rPr>
        <w:t xml:space="preserve"> (pickup trucks, SUVs, and vans) within each </w:t>
      </w:r>
      <w:r w:rsidRPr="00623AA1">
        <w:rPr>
          <w:rFonts w:ascii="Calibri" w:hAnsi="Calibri" w:cs="Calibri"/>
          <w:b/>
          <w:bCs/>
        </w:rPr>
        <w:t>Azone</w:t>
      </w:r>
      <w:r w:rsidRPr="00623AA1">
        <w:rPr>
          <w:rFonts w:ascii="Calibri" w:hAnsi="Calibri" w:cs="Calibri"/>
        </w:rPr>
        <w:t xml:space="preserve"> and year. This input is formally defined in the VisionEval documentation: </w:t>
      </w:r>
      <w:hyperlink r:id="rId7" w:anchor="azone_lttrk_prop">
        <w:r w:rsidRPr="00623AA1">
          <w:rPr>
            <w:rStyle w:val="Hyperlink"/>
            <w:rFonts w:ascii="Calibri" w:hAnsi="Calibri" w:cs="Calibri"/>
          </w:rPr>
          <w:t>https://visioneval.github.io/docs/model-inputs.html#azone_lttrk_prop</w:t>
        </w:r>
      </w:hyperlink>
      <w:r w:rsidR="006C631D" w:rsidRPr="00623AA1">
        <w:rPr>
          <w:rFonts w:ascii="Calibri" w:hAnsi="Calibri" w:cs="Calibri"/>
        </w:rPr>
        <w:t xml:space="preserve"> where the main attribute is </w:t>
      </w:r>
      <w:r w:rsidR="519CABCA" w:rsidRPr="00623AA1">
        <w:rPr>
          <w:rFonts w:ascii="Calibri" w:hAnsi="Calibri" w:cs="Calibri"/>
          <w:color w:val="1F1F1F"/>
        </w:rPr>
        <w:t xml:space="preserve">the proportion of household vehicles classified as light trucks within each analysis zone (Azone) for each modeled year. In the VisionEval framework, passenger vehicles are bifurcated into two primary categories based on </w:t>
      </w:r>
      <w:r w:rsidR="519CABCA" w:rsidRPr="00623AA1">
        <w:rPr>
          <w:rFonts w:ascii="Calibri" w:hAnsi="Calibri" w:cs="Calibri"/>
          <w:b/>
          <w:bCs/>
          <w:color w:val="1F1F1F"/>
        </w:rPr>
        <w:t>EPA MOVES</w:t>
      </w:r>
      <w:r w:rsidR="519CABCA" w:rsidRPr="00623AA1">
        <w:rPr>
          <w:rFonts w:ascii="Calibri" w:hAnsi="Calibri" w:cs="Calibri"/>
          <w:color w:val="1F1F1F"/>
        </w:rPr>
        <w:t xml:space="preserve"> classifications: </w:t>
      </w:r>
      <w:r w:rsidR="519CABCA" w:rsidRPr="00623AA1">
        <w:rPr>
          <w:rFonts w:ascii="Calibri" w:hAnsi="Calibri" w:cs="Calibri"/>
          <w:b/>
          <w:bCs/>
          <w:color w:val="1F1F1F"/>
        </w:rPr>
        <w:t>Autos</w:t>
      </w:r>
      <w:r w:rsidR="519CABCA" w:rsidRPr="00623AA1">
        <w:rPr>
          <w:rFonts w:ascii="Calibri" w:hAnsi="Calibri" w:cs="Calibri"/>
          <w:color w:val="1F1F1F"/>
        </w:rPr>
        <w:t xml:space="preserve"> (SourceType 21, including sedans and coupes) and </w:t>
      </w:r>
      <w:r w:rsidR="519CABCA" w:rsidRPr="00623AA1">
        <w:rPr>
          <w:rFonts w:ascii="Calibri" w:hAnsi="Calibri" w:cs="Calibri"/>
          <w:b/>
          <w:bCs/>
          <w:color w:val="1F1F1F"/>
        </w:rPr>
        <w:t>Light Trucks</w:t>
      </w:r>
      <w:r w:rsidR="519CABCA" w:rsidRPr="00623AA1">
        <w:rPr>
          <w:rFonts w:ascii="Calibri" w:hAnsi="Calibri" w:cs="Calibri"/>
          <w:color w:val="1F1F1F"/>
        </w:rPr>
        <w:t xml:space="preserve"> (SourceType 31, including pickups, SUVs, and vans).</w:t>
      </w:r>
    </w:p>
    <w:p w14:paraId="4D2B32E6" w14:textId="77777777" w:rsidR="006C631D" w:rsidRPr="00623AA1" w:rsidRDefault="006C631D" w:rsidP="006C631D">
      <w:pPr>
        <w:spacing w:after="0" w:line="240" w:lineRule="auto"/>
        <w:ind w:firstLine="720"/>
        <w:rPr>
          <w:rFonts w:ascii="Calibri" w:hAnsi="Calibri" w:cs="Calibri"/>
          <w:color w:val="1F1F1F"/>
        </w:rPr>
      </w:pPr>
    </w:p>
    <w:p w14:paraId="4E052FB7" w14:textId="142E950A" w:rsidR="002C512B" w:rsidRPr="00623AA1" w:rsidRDefault="006C631D" w:rsidP="006C631D">
      <w:pPr>
        <w:spacing w:after="0" w:line="240" w:lineRule="auto"/>
        <w:ind w:firstLine="720"/>
        <w:rPr>
          <w:rFonts w:ascii="Calibri" w:hAnsi="Calibri" w:cs="Calibri"/>
          <w:color w:val="1F1F1F"/>
        </w:rPr>
      </w:pPr>
      <w:r w:rsidRPr="00623AA1">
        <w:rPr>
          <w:rFonts w:ascii="Calibri" w:hAnsi="Calibri" w:cs="Calibri"/>
          <w:color w:val="1F1F1F"/>
        </w:rPr>
        <w:t>For example, the table below suggests that in year 2024, less than half (40.7%) of vehicles in the City of Charlottesville are light duty trucks or SUVs, with this percentage being unchanged in 2045.</w:t>
      </w:r>
    </w:p>
    <w:p w14:paraId="49B3A889" w14:textId="77777777" w:rsidR="006C631D" w:rsidRPr="00623AA1" w:rsidRDefault="006C631D" w:rsidP="006C631D">
      <w:pPr>
        <w:spacing w:after="0" w:line="240" w:lineRule="auto"/>
        <w:ind w:firstLine="720"/>
        <w:rPr>
          <w:rFonts w:ascii="Calibri" w:hAnsi="Calibri" w:cs="Calibri"/>
          <w:color w:val="1F1F1F"/>
        </w:rPr>
      </w:pPr>
    </w:p>
    <w:p w14:paraId="50BB6A0D" w14:textId="06B01A64" w:rsidR="006C631D" w:rsidRPr="00623AA1" w:rsidRDefault="006C631D" w:rsidP="006C631D">
      <w:pPr>
        <w:spacing w:after="0" w:line="240" w:lineRule="auto"/>
        <w:rPr>
          <w:rFonts w:ascii="Calibri" w:hAnsi="Calibri" w:cs="Calibri"/>
          <w:color w:val="1F1F1F"/>
        </w:rPr>
      </w:pPr>
      <w:r w:rsidRPr="00623AA1">
        <w:rPr>
          <w:rFonts w:ascii="Calibri" w:hAnsi="Calibri" w:cs="Calibri"/>
          <w:noProof/>
          <w:color w:val="1F1F1F"/>
        </w:rPr>
        <w:drawing>
          <wp:inline distT="0" distB="0" distL="0" distR="0" wp14:anchorId="2CF133F0" wp14:editId="3C624E36">
            <wp:extent cx="2072820" cy="1265030"/>
            <wp:effectExtent l="0" t="0" r="3810" b="0"/>
            <wp:docPr id="166452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28473" name=""/>
                    <pic:cNvPicPr/>
                  </pic:nvPicPr>
                  <pic:blipFill>
                    <a:blip r:embed="rId8"/>
                    <a:stretch>
                      <a:fillRect/>
                    </a:stretch>
                  </pic:blipFill>
                  <pic:spPr>
                    <a:xfrm>
                      <a:off x="0" y="0"/>
                      <a:ext cx="2072820" cy="1265030"/>
                    </a:xfrm>
                    <a:prstGeom prst="rect">
                      <a:avLst/>
                    </a:prstGeom>
                  </pic:spPr>
                </pic:pic>
              </a:graphicData>
            </a:graphic>
          </wp:inline>
        </w:drawing>
      </w:r>
    </w:p>
    <w:p w14:paraId="292BFE5D" w14:textId="61F11CF7" w:rsidR="002C512B" w:rsidRPr="00623AA1" w:rsidRDefault="002C512B" w:rsidP="006C631D">
      <w:pPr>
        <w:spacing w:after="0" w:line="240" w:lineRule="auto"/>
        <w:rPr>
          <w:rFonts w:ascii="Calibri" w:hAnsi="Calibri" w:cs="Calibri"/>
        </w:rPr>
      </w:pPr>
    </w:p>
    <w:p w14:paraId="2C13915D" w14:textId="245DDC55" w:rsidR="002C512B" w:rsidRPr="00623AA1" w:rsidRDefault="519CABCA" w:rsidP="006C631D">
      <w:pPr>
        <w:pStyle w:val="Heading3"/>
        <w:spacing w:before="0" w:after="0" w:line="240" w:lineRule="auto"/>
        <w:rPr>
          <w:rFonts w:ascii="Calibri" w:eastAsiaTheme="minorEastAsia" w:hAnsi="Calibri" w:cs="Calibri"/>
          <w:b/>
          <w:bCs/>
          <w:color w:val="1F1F1F"/>
          <w:sz w:val="24"/>
          <w:szCs w:val="24"/>
        </w:rPr>
      </w:pPr>
      <w:r w:rsidRPr="00623AA1">
        <w:rPr>
          <w:rFonts w:ascii="Calibri" w:eastAsiaTheme="minorEastAsia" w:hAnsi="Calibri" w:cs="Calibri"/>
          <w:b/>
          <w:bCs/>
          <w:color w:val="1F1F1F"/>
          <w:sz w:val="24"/>
          <w:szCs w:val="24"/>
        </w:rPr>
        <w:t>Possible Scenario</w:t>
      </w:r>
    </w:p>
    <w:p w14:paraId="45650476" w14:textId="77777777" w:rsidR="006C631D" w:rsidRPr="00623AA1" w:rsidRDefault="006C631D" w:rsidP="006C631D">
      <w:pPr>
        <w:spacing w:after="0" w:line="240" w:lineRule="auto"/>
        <w:rPr>
          <w:rFonts w:ascii="Calibri" w:hAnsi="Calibri" w:cs="Calibri"/>
        </w:rPr>
      </w:pPr>
    </w:p>
    <w:p w14:paraId="656CB3DF" w14:textId="4757EC61" w:rsidR="002C512B" w:rsidRPr="00623AA1" w:rsidRDefault="519CABCA" w:rsidP="006C631D">
      <w:pPr>
        <w:spacing w:after="0" w:line="240" w:lineRule="auto"/>
        <w:ind w:firstLine="720"/>
        <w:rPr>
          <w:rFonts w:ascii="Calibri" w:hAnsi="Calibri" w:cs="Calibri"/>
          <w:color w:val="1F1F1F"/>
        </w:rPr>
      </w:pPr>
      <w:r w:rsidRPr="00623AA1">
        <w:rPr>
          <w:rFonts w:ascii="Calibri" w:hAnsi="Calibri" w:cs="Calibri"/>
          <w:color w:val="1F1F1F"/>
        </w:rPr>
        <w:t>The proportion of light trucks is a critical driver of a region's environmental and economic profile because these vehicles typically possess different energy consumption rates and emission profiles compared to passenger cars. This file allows planners to test diverse scenarios, such as urban vehicle downsizing policies</w:t>
      </w:r>
      <w:r w:rsidR="07FA5A7F" w:rsidRPr="00623AA1">
        <w:rPr>
          <w:rFonts w:ascii="Calibri" w:hAnsi="Calibri" w:cs="Calibri"/>
          <w:color w:val="1F1F1F"/>
        </w:rPr>
        <w:t xml:space="preserve"> </w:t>
      </w:r>
      <w:r w:rsidRPr="00623AA1">
        <w:rPr>
          <w:rFonts w:ascii="Calibri" w:hAnsi="Calibri" w:cs="Calibri"/>
          <w:color w:val="1F1F1F"/>
        </w:rPr>
        <w:t>where dense areas like Alexandria City might see shifts in vehicle preference</w:t>
      </w:r>
      <w:r w:rsidR="2056FE17" w:rsidRPr="00623AA1">
        <w:rPr>
          <w:rFonts w:ascii="Calibri" w:hAnsi="Calibri" w:cs="Calibri"/>
          <w:color w:val="1F1F1F"/>
        </w:rPr>
        <w:t xml:space="preserve"> </w:t>
      </w:r>
      <w:r w:rsidRPr="00623AA1">
        <w:rPr>
          <w:rFonts w:ascii="Calibri" w:hAnsi="Calibri" w:cs="Calibri"/>
          <w:color w:val="1F1F1F"/>
        </w:rPr>
        <w:t>or rural demand shifts driven by functional needs in areas like Albemarle County.</w:t>
      </w:r>
    </w:p>
    <w:p w14:paraId="67B1F73F" w14:textId="77777777" w:rsidR="006C631D" w:rsidRPr="00623AA1" w:rsidRDefault="006C631D" w:rsidP="006C631D">
      <w:pPr>
        <w:spacing w:after="0" w:line="240" w:lineRule="auto"/>
        <w:ind w:firstLine="720"/>
        <w:rPr>
          <w:rFonts w:ascii="Calibri" w:hAnsi="Calibri" w:cs="Calibri"/>
          <w:color w:val="1F1F1F"/>
        </w:rPr>
      </w:pPr>
    </w:p>
    <w:p w14:paraId="3435A835" w14:textId="2DD5AB42" w:rsidR="002C512B" w:rsidRPr="00623AA1" w:rsidRDefault="519CABCA" w:rsidP="006C631D">
      <w:pPr>
        <w:spacing w:after="0" w:line="240" w:lineRule="auto"/>
        <w:ind w:firstLine="720"/>
        <w:rPr>
          <w:rFonts w:ascii="Calibri" w:hAnsi="Calibri" w:cs="Calibri"/>
          <w:color w:val="1F1F1F"/>
        </w:rPr>
      </w:pPr>
      <w:r w:rsidRPr="00623AA1">
        <w:rPr>
          <w:rFonts w:ascii="Calibri" w:hAnsi="Calibri" w:cs="Calibri"/>
          <w:color w:val="1F1F1F"/>
        </w:rPr>
        <w:t xml:space="preserve">For instance, a scenario might model a significant shift in consumer preference toward larger vehicles (SUVs and trucks) as they become increasingly electrified. In this case, the </w:t>
      </w:r>
      <w:r w:rsidRPr="00623AA1">
        <w:rPr>
          <w:rFonts w:ascii="Calibri" w:hAnsi="Calibri" w:cs="Calibri"/>
          <w:color w:val="444746"/>
        </w:rPr>
        <w:t>LtTrkProp</w:t>
      </w:r>
      <w:r w:rsidRPr="00623AA1">
        <w:rPr>
          <w:rFonts w:ascii="Calibri" w:hAnsi="Calibri" w:cs="Calibri"/>
          <w:color w:val="1F1F1F"/>
        </w:rPr>
        <w:t xml:space="preserve"> would increase over time. By comparing a 2024 baseline to a 2045 projection, VisionEval can calculate the resulting impacts on greenhouse gas emissions, household transportation costs, and vehicle ownership decisions.</w:t>
      </w:r>
    </w:p>
    <w:p w14:paraId="48C263ED" w14:textId="77777777" w:rsidR="006C631D" w:rsidRPr="00623AA1" w:rsidRDefault="006C631D" w:rsidP="006C631D">
      <w:pPr>
        <w:spacing w:after="0" w:line="240" w:lineRule="auto"/>
        <w:ind w:firstLine="720"/>
        <w:rPr>
          <w:rFonts w:ascii="Calibri" w:hAnsi="Calibri" w:cs="Calibri"/>
          <w:color w:val="1F1F1F"/>
        </w:rPr>
      </w:pPr>
    </w:p>
    <w:p w14:paraId="47E4F40A" w14:textId="3A5F9D28" w:rsidR="006C631D" w:rsidRPr="00623AA1" w:rsidRDefault="006C631D" w:rsidP="006C631D">
      <w:pPr>
        <w:tabs>
          <w:tab w:val="num" w:pos="720"/>
        </w:tabs>
        <w:spacing w:line="240" w:lineRule="auto"/>
        <w:rPr>
          <w:rFonts w:ascii="Calibri" w:hAnsi="Calibri" w:cs="Calibri"/>
          <w:lang w:eastAsia="ko-KR"/>
        </w:rPr>
      </w:pPr>
      <w:r w:rsidRPr="00623AA1">
        <w:rPr>
          <w:rFonts w:ascii="Calibri" w:hAnsi="Calibri" w:cs="Calibri"/>
          <w:noProof/>
        </w:rPr>
        <w:tab/>
      </w:r>
      <w:r w:rsidRPr="00623AA1">
        <w:rPr>
          <w:rFonts w:ascii="Calibri" w:hAnsi="Calibri" w:cs="Calibri"/>
        </w:rPr>
        <w:t>The document Task 7.2 Simplified Scenario Development guide available at </w:t>
      </w:r>
      <w:hyperlink r:id="rId9" w:tgtFrame="_blank" w:history="1">
        <w:r w:rsidRPr="00623AA1">
          <w:rPr>
            <w:rStyle w:val="Hyperlink"/>
            <w:rFonts w:ascii="Calibri" w:hAnsi="Calibri" w:cs="Calibri"/>
          </w:rPr>
          <w:t>A Playbook for Simplified Approaches for Creating Scenarios in VisionEval</w:t>
        </w:r>
      </w:hyperlink>
      <w:r w:rsidRPr="00623AA1">
        <w:rPr>
          <w:rFonts w:ascii="Calibri" w:hAnsi="Calibri" w:cs="Calibri"/>
        </w:rPr>
        <w:t xml:space="preserve"> </w:t>
      </w:r>
      <w:r w:rsidR="00623AA1" w:rsidRPr="00623AA1">
        <w:rPr>
          <w:rFonts w:ascii="Calibri" w:hAnsi="Calibri" w:cs="Calibri"/>
        </w:rPr>
        <w:t>does not explicitly suggest that this</w:t>
      </w:r>
      <w:r w:rsidRPr="00623AA1">
        <w:rPr>
          <w:rFonts w:ascii="Calibri" w:hAnsi="Calibri" w:cs="Calibri"/>
        </w:rPr>
        <w:t xml:space="preserve"> input file </w:t>
      </w:r>
      <w:r w:rsidR="00623AA1" w:rsidRPr="00623AA1">
        <w:rPr>
          <w:rFonts w:ascii="Calibri" w:hAnsi="Calibri" w:cs="Calibri"/>
        </w:rPr>
        <w:t>lends itself to a what-if scenario.  However, the document notes that vehicles in general have grown heavier, and thus a policy that might affect the proportion of such vehicles, such as a tax based on vehicle weight, could thus be developed based on this input file.</w:t>
      </w:r>
    </w:p>
    <w:p w14:paraId="4E0C45F7" w14:textId="77777777" w:rsidR="006C631D" w:rsidRPr="00623AA1" w:rsidRDefault="006C631D" w:rsidP="006C631D">
      <w:pPr>
        <w:spacing w:after="0" w:line="240" w:lineRule="auto"/>
        <w:ind w:firstLine="720"/>
        <w:rPr>
          <w:rFonts w:ascii="Calibri" w:hAnsi="Calibri" w:cs="Calibri"/>
          <w:color w:val="1F1F1F"/>
        </w:rPr>
      </w:pPr>
    </w:p>
    <w:p w14:paraId="378F0246" w14:textId="4942EB51" w:rsidR="002C512B" w:rsidRPr="00623AA1" w:rsidRDefault="519CABCA" w:rsidP="006C631D">
      <w:pPr>
        <w:pStyle w:val="Heading3"/>
        <w:spacing w:before="0" w:after="0" w:line="240" w:lineRule="auto"/>
        <w:rPr>
          <w:rFonts w:ascii="Calibri" w:eastAsiaTheme="minorEastAsia" w:hAnsi="Calibri" w:cs="Calibri"/>
          <w:b/>
          <w:bCs/>
          <w:color w:val="1F1F1F"/>
          <w:sz w:val="24"/>
          <w:szCs w:val="24"/>
        </w:rPr>
      </w:pPr>
      <w:r w:rsidRPr="00623AA1">
        <w:rPr>
          <w:rFonts w:ascii="Calibri" w:eastAsiaTheme="minorEastAsia" w:hAnsi="Calibri" w:cs="Calibri"/>
          <w:b/>
          <w:bCs/>
          <w:color w:val="1F1F1F"/>
          <w:sz w:val="24"/>
          <w:szCs w:val="24"/>
        </w:rPr>
        <w:t>Method Used for Virginia Statewide</w:t>
      </w:r>
    </w:p>
    <w:p w14:paraId="157DDD7A" w14:textId="77777777" w:rsidR="00623AA1" w:rsidRPr="00623AA1" w:rsidRDefault="00623AA1" w:rsidP="00623AA1">
      <w:pPr>
        <w:rPr>
          <w:rFonts w:ascii="Calibri" w:hAnsi="Calibri" w:cs="Calibri"/>
        </w:rPr>
      </w:pPr>
    </w:p>
    <w:p w14:paraId="3F1A073A" w14:textId="06AEEEA2" w:rsidR="00623AA1" w:rsidRPr="00894D89" w:rsidRDefault="00623AA1" w:rsidP="00623AA1">
      <w:pPr>
        <w:rPr>
          <w:rFonts w:ascii="Calibri" w:hAnsi="Calibri" w:cs="Calibri"/>
          <w:i/>
          <w:iCs/>
        </w:rPr>
      </w:pPr>
      <w:r w:rsidRPr="00894D89">
        <w:rPr>
          <w:rFonts w:ascii="Calibri" w:hAnsi="Calibri" w:cs="Calibri"/>
          <w:i/>
          <w:iCs/>
        </w:rPr>
        <w:lastRenderedPageBreak/>
        <w:t>Base Year 2024</w:t>
      </w:r>
    </w:p>
    <w:p w14:paraId="1748C045" w14:textId="3A03F710" w:rsidR="002C512B" w:rsidRPr="00623AA1" w:rsidRDefault="4B12BA70" w:rsidP="006C631D">
      <w:pPr>
        <w:spacing w:after="0" w:line="240" w:lineRule="auto"/>
        <w:ind w:firstLine="720"/>
        <w:rPr>
          <w:rFonts w:ascii="Calibri" w:eastAsia="Calibri" w:hAnsi="Calibri" w:cs="Calibri"/>
        </w:rPr>
      </w:pPr>
      <w:r w:rsidRPr="00623AA1">
        <w:rPr>
          <w:rFonts w:ascii="Calibri" w:eastAsia="Calibri" w:hAnsi="Calibri" w:cs="Calibri"/>
        </w:rPr>
        <w:t>From the 2021 Report completed on VisionEval (</w:t>
      </w:r>
      <w:hyperlink r:id="rId10">
        <w:r w:rsidRPr="00623AA1">
          <w:rPr>
            <w:rStyle w:val="Hyperlink"/>
            <w:rFonts w:ascii="Calibri" w:eastAsia="Aptos" w:hAnsi="Calibri" w:cs="Calibri"/>
          </w:rPr>
          <w:t>22-R21.pdf</w:t>
        </w:r>
        <w:r w:rsidR="76A751E7" w:rsidRPr="00623AA1">
          <w:rPr>
            <w:rStyle w:val="Hyperlink"/>
            <w:rFonts w:ascii="Calibri" w:eastAsia="Aptos" w:hAnsi="Calibri" w:cs="Calibri"/>
          </w:rPr>
          <w:t>),</w:t>
        </w:r>
      </w:hyperlink>
      <w:r w:rsidR="76A751E7" w:rsidRPr="00623AA1">
        <w:rPr>
          <w:rFonts w:ascii="Calibri" w:eastAsia="Calibri" w:hAnsi="Calibri" w:cs="Calibri"/>
        </w:rPr>
        <w:t xml:space="preserve"> it was determined that, “</w:t>
      </w:r>
      <w:r w:rsidR="1F9CC6EE" w:rsidRPr="00623AA1">
        <w:rPr>
          <w:rFonts w:ascii="Calibri" w:eastAsia="Calibri" w:hAnsi="Calibri" w:cs="Calibri"/>
        </w:rPr>
        <w:t xml:space="preserve">It is possible to roughly estimate the proportion of household vehicles that are trucks by using vehicle populations periodically developed by the Virginia Department of Environmental Quality (Lewis-Cheatham, 2020) as part of the National Emissions Inventory.  These populations are used with the EPA MOVES </w:t>
      </w:r>
      <w:proofErr w:type="gramStart"/>
      <w:r w:rsidR="1F9CC6EE" w:rsidRPr="00623AA1">
        <w:rPr>
          <w:rFonts w:ascii="Calibri" w:eastAsia="Calibri" w:hAnsi="Calibri" w:cs="Calibri"/>
        </w:rPr>
        <w:t>model</w:t>
      </w:r>
      <w:proofErr w:type="gramEnd"/>
      <w:r w:rsidR="1F9CC6EE" w:rsidRPr="00623AA1">
        <w:rPr>
          <w:rFonts w:ascii="Calibri" w:eastAsia="Calibri" w:hAnsi="Calibri" w:cs="Calibri"/>
        </w:rPr>
        <w:t xml:space="preserve"> and the proportion can be determined from two of the 13 MOVES vehicle types:  passenger car (type 21) and passenger truck (31), the latter of which includes “many SUVs and minivans” (U.S. EPA, 2019).   This approach is thus only an estimate; </w:t>
      </w:r>
      <w:proofErr w:type="gramStart"/>
      <w:r w:rsidR="1F9CC6EE" w:rsidRPr="00623AA1">
        <w:rPr>
          <w:rFonts w:ascii="Calibri" w:eastAsia="Calibri" w:hAnsi="Calibri" w:cs="Calibri"/>
        </w:rPr>
        <w:t>also</w:t>
      </w:r>
      <w:proofErr w:type="gramEnd"/>
      <w:r w:rsidR="1F9CC6EE" w:rsidRPr="00623AA1">
        <w:rPr>
          <w:rFonts w:ascii="Calibri" w:eastAsia="Calibri" w:hAnsi="Calibri" w:cs="Calibri"/>
        </w:rPr>
        <w:t xml:space="preserve"> there is not a perfect alignment between EPA vehicle classifications and FHWA vehicle classifications (Ponticello, 2020) with the U.S. EPA (2019) defining “light duty vehicles” based on weight and emissions.  Further, it is also possible that some of these vehicles are for commercial </w:t>
      </w:r>
      <w:proofErr w:type="gramStart"/>
      <w:r w:rsidR="1F9CC6EE" w:rsidRPr="00623AA1">
        <w:rPr>
          <w:rFonts w:ascii="Calibri" w:eastAsia="Calibri" w:hAnsi="Calibri" w:cs="Calibri"/>
        </w:rPr>
        <w:t>uses</w:t>
      </w:r>
      <w:proofErr w:type="gramEnd"/>
      <w:r w:rsidR="1F9CC6EE" w:rsidRPr="00623AA1">
        <w:rPr>
          <w:rFonts w:ascii="Calibri" w:eastAsia="Calibri" w:hAnsi="Calibri" w:cs="Calibri"/>
        </w:rPr>
        <w:t xml:space="preserve"> rather than household </w:t>
      </w:r>
      <w:proofErr w:type="gramStart"/>
      <w:r w:rsidR="1F9CC6EE" w:rsidRPr="00623AA1">
        <w:rPr>
          <w:rFonts w:ascii="Calibri" w:eastAsia="Calibri" w:hAnsi="Calibri" w:cs="Calibri"/>
        </w:rPr>
        <w:t>uses</w:t>
      </w:r>
      <w:proofErr w:type="gramEnd"/>
      <w:r w:rsidR="1F9CC6EE" w:rsidRPr="00623AA1">
        <w:rPr>
          <w:rFonts w:ascii="Calibri" w:eastAsia="Calibri" w:hAnsi="Calibri" w:cs="Calibri"/>
        </w:rPr>
        <w:t>.  That said, one method for determining the inputs for this file (azone_lttrk_prop.csv) is to use the vehicle populations from the NEI.  For example, in 2017, there were 467,631 passenger cars in Fairfax County (vehicle type 21 in the National Emissions Inventory) and 364,020 passenger trucks in Fairfax County (vehicle type 31), such that the proportion of trucks is 364,020 / (467,631  + 364,020) = 43.8% in 2017.  This proportion was presumed to remain constant two years later in 2019</w:t>
      </w:r>
      <w:r w:rsidR="00623AA1" w:rsidRPr="00623AA1">
        <w:rPr>
          <w:rFonts w:ascii="Calibri" w:eastAsia="Calibri" w:hAnsi="Calibri" w:cs="Calibri"/>
        </w:rPr>
        <w:t xml:space="preserve"> and again in 2024</w:t>
      </w:r>
      <w:r w:rsidR="1F9CC6EE" w:rsidRPr="00623AA1">
        <w:rPr>
          <w:rFonts w:ascii="Calibri" w:eastAsia="Calibri" w:hAnsi="Calibri" w:cs="Calibri"/>
        </w:rPr>
        <w:t>.</w:t>
      </w:r>
    </w:p>
    <w:p w14:paraId="7D6C10B0" w14:textId="77777777" w:rsidR="00623AA1" w:rsidRPr="00623AA1" w:rsidRDefault="00623AA1" w:rsidP="00623AA1">
      <w:pPr>
        <w:spacing w:after="0" w:line="240" w:lineRule="auto"/>
        <w:rPr>
          <w:rFonts w:ascii="Calibri" w:eastAsia="Calibri" w:hAnsi="Calibri" w:cs="Calibri"/>
        </w:rPr>
      </w:pPr>
    </w:p>
    <w:p w14:paraId="7F09F7A9" w14:textId="68F6EFDE" w:rsidR="00623AA1" w:rsidRPr="00894D89" w:rsidRDefault="00623AA1" w:rsidP="00623AA1">
      <w:pPr>
        <w:spacing w:after="0" w:line="240" w:lineRule="auto"/>
        <w:rPr>
          <w:rFonts w:ascii="Calibri" w:eastAsia="Calibri" w:hAnsi="Calibri" w:cs="Calibri"/>
          <w:i/>
          <w:iCs/>
        </w:rPr>
      </w:pPr>
      <w:r w:rsidRPr="00894D89">
        <w:rPr>
          <w:rFonts w:ascii="Calibri" w:eastAsia="Calibri" w:hAnsi="Calibri" w:cs="Calibri"/>
          <w:i/>
          <w:iCs/>
        </w:rPr>
        <w:t>Forecast Year 2045</w:t>
      </w:r>
    </w:p>
    <w:p w14:paraId="7556B7C9" w14:textId="77777777" w:rsidR="00623AA1" w:rsidRPr="00623AA1" w:rsidRDefault="00623AA1" w:rsidP="006C631D">
      <w:pPr>
        <w:spacing w:after="0" w:line="240" w:lineRule="auto"/>
        <w:ind w:firstLine="720"/>
        <w:rPr>
          <w:rFonts w:ascii="Calibri" w:eastAsia="Calibri" w:hAnsi="Calibri" w:cs="Calibri"/>
        </w:rPr>
      </w:pPr>
    </w:p>
    <w:p w14:paraId="330B85B4" w14:textId="645D197F" w:rsidR="002C512B" w:rsidRPr="00623AA1" w:rsidRDefault="1F9CC6EE" w:rsidP="00623AA1">
      <w:pPr>
        <w:spacing w:after="0" w:line="240" w:lineRule="auto"/>
        <w:ind w:firstLine="720"/>
        <w:rPr>
          <w:rFonts w:ascii="Calibri" w:hAnsi="Calibri" w:cs="Calibri"/>
        </w:rPr>
      </w:pPr>
      <w:r w:rsidRPr="00623AA1">
        <w:rPr>
          <w:rFonts w:ascii="Calibri" w:eastAsia="Calibri" w:hAnsi="Calibri" w:cs="Calibri"/>
        </w:rPr>
        <w:t xml:space="preserve">For 2045, there are not Virginia specific forecasts but there are national or worldwide forecasts that suggest this ratio may not necessarily remain constant.  Voelk (2020) quotes an interviewee from IHS Markit who stated that in 2025, the “light-truck segment” (inclusive of SUVs and pickup trucks) was expected to increase from 72% to 78%.  A graphic published in Schuster (2018) forecast that the share of SUVs sold in the U.S. would increase from 50% in 2020 to 53% in 2025.  The International Energy Agency (2019) noted that worldwide use of oil attributed to growing popularity of SUVs could reduce the benefit of electrification between the present and 2040, although this worldwide forecast includes other countries where SUV use is lower than in the U.S. at present and thus has more room to increase (Schuster, 2018).  </w:t>
      </w:r>
    </w:p>
    <w:p w14:paraId="653B52A1" w14:textId="77777777" w:rsidR="00623AA1" w:rsidRPr="00623AA1" w:rsidRDefault="00623AA1" w:rsidP="00623AA1">
      <w:pPr>
        <w:spacing w:after="0" w:line="240" w:lineRule="auto"/>
        <w:ind w:firstLine="720"/>
        <w:rPr>
          <w:rFonts w:ascii="Calibri" w:hAnsi="Calibri" w:cs="Calibri"/>
        </w:rPr>
      </w:pPr>
    </w:p>
    <w:p w14:paraId="6EFFFFCA" w14:textId="6599B349" w:rsidR="00623AA1" w:rsidRPr="00623AA1" w:rsidRDefault="00623AA1" w:rsidP="00623AA1">
      <w:pPr>
        <w:spacing w:after="0" w:line="240" w:lineRule="auto"/>
        <w:ind w:firstLine="720"/>
        <w:rPr>
          <w:rFonts w:ascii="Calibri" w:hAnsi="Calibri" w:cs="Calibri"/>
        </w:rPr>
      </w:pPr>
      <w:r w:rsidRPr="00623AA1">
        <w:rPr>
          <w:rFonts w:ascii="Calibri" w:hAnsi="Calibri" w:cs="Calibri"/>
        </w:rPr>
        <w:t xml:space="preserve">However, the passage of time (2021-2026) suggests that it is difficult to adequately apply these national forecasts to Virginia datasets.  </w:t>
      </w:r>
      <w:proofErr w:type="gramStart"/>
      <w:r w:rsidRPr="00623AA1">
        <w:rPr>
          <w:rFonts w:ascii="Calibri" w:hAnsi="Calibri" w:cs="Calibri"/>
        </w:rPr>
        <w:t>Thus</w:t>
      </w:r>
      <w:proofErr w:type="gramEnd"/>
      <w:r w:rsidRPr="00623AA1">
        <w:rPr>
          <w:rFonts w:ascii="Calibri" w:hAnsi="Calibri" w:cs="Calibri"/>
        </w:rPr>
        <w:t xml:space="preserve"> this file presumes 2045 and 2024 values are the same.  The user may, of course, change these values if better forecast information becomes available.</w:t>
      </w:r>
    </w:p>
    <w:p w14:paraId="2E6E64B4" w14:textId="6180C272" w:rsidR="002C512B" w:rsidRPr="006C631D" w:rsidRDefault="002C512B" w:rsidP="006C631D">
      <w:pPr>
        <w:pStyle w:val="Heading1"/>
        <w:spacing w:before="0" w:after="0" w:line="240" w:lineRule="auto"/>
        <w:rPr>
          <w:rFonts w:ascii="Calibri" w:eastAsiaTheme="minorEastAsia" w:hAnsi="Calibri" w:cs="Calibri"/>
          <w:b/>
          <w:bCs/>
          <w:color w:val="auto"/>
          <w:sz w:val="24"/>
          <w:szCs w:val="24"/>
        </w:rPr>
      </w:pPr>
    </w:p>
    <w:p w14:paraId="64D9F983" w14:textId="77777777" w:rsidR="00623AA1" w:rsidRDefault="00623AA1" w:rsidP="00623AA1">
      <w:pPr>
        <w:spacing w:after="0" w:line="240" w:lineRule="auto"/>
        <w:rPr>
          <w:rFonts w:ascii="Calibri" w:hAnsi="Calibri" w:cs="Calibri"/>
          <w:b/>
        </w:rPr>
      </w:pPr>
      <w:r w:rsidRPr="00267D0F">
        <w:rPr>
          <w:rFonts w:ascii="Calibri" w:hAnsi="Calibri" w:cs="Calibri"/>
          <w:b/>
        </w:rPr>
        <w:t>Sources</w:t>
      </w:r>
    </w:p>
    <w:p w14:paraId="475BFB17" w14:textId="77777777" w:rsidR="00623AA1" w:rsidRPr="00267D0F" w:rsidRDefault="00623AA1" w:rsidP="00623AA1">
      <w:pPr>
        <w:spacing w:after="0" w:line="240" w:lineRule="auto"/>
        <w:rPr>
          <w:rFonts w:ascii="Calibri" w:hAnsi="Calibri" w:cs="Calibri"/>
          <w:b/>
        </w:rPr>
      </w:pPr>
    </w:p>
    <w:p w14:paraId="19460BEE" w14:textId="275AE1B2" w:rsidR="00623AA1" w:rsidRDefault="00623AA1" w:rsidP="00623AA1">
      <w:pPr>
        <w:spacing w:after="0" w:line="240" w:lineRule="auto"/>
        <w:rPr>
          <w:rFonts w:ascii="Calibri" w:hAnsi="Calibri" w:cs="Calibri"/>
        </w:rPr>
      </w:pPr>
      <w:r>
        <w:rPr>
          <w:rFonts w:ascii="Calibri" w:hAnsi="Calibri" w:cs="Calibri"/>
        </w:rPr>
        <w:t xml:space="preserve">International Energy Agency.  </w:t>
      </w:r>
      <w:r w:rsidRPr="00267D0F">
        <w:rPr>
          <w:rFonts w:ascii="Calibri" w:hAnsi="Calibri" w:cs="Calibri"/>
          <w:i/>
        </w:rPr>
        <w:t>World Energy Outlook 2019</w:t>
      </w:r>
      <w:r>
        <w:rPr>
          <w:rFonts w:ascii="Calibri" w:hAnsi="Calibri" w:cs="Calibri"/>
        </w:rPr>
        <w:t xml:space="preserve">, Paris, November 2019.  </w:t>
      </w:r>
      <w:hyperlink r:id="rId11" w:history="1">
        <w:r w:rsidRPr="00F85132">
          <w:rPr>
            <w:rStyle w:val="Hyperlink"/>
            <w:rFonts w:ascii="Calibri" w:hAnsi="Calibri" w:cs="Calibri"/>
          </w:rPr>
          <w:t>https://iea.blob.core.windows.net/assets/1f6bf453-3317-4799-ae7b-9cc6429c81d8/English-WEO-2019-ES.pdf</w:t>
        </w:r>
      </w:hyperlink>
      <w:r>
        <w:rPr>
          <w:rFonts w:ascii="Calibri" w:hAnsi="Calibri" w:cs="Calibri"/>
        </w:rPr>
        <w:t>.</w:t>
      </w:r>
    </w:p>
    <w:p w14:paraId="0F508488" w14:textId="77777777" w:rsidR="00623AA1" w:rsidRDefault="00623AA1" w:rsidP="00623AA1">
      <w:pPr>
        <w:spacing w:after="0" w:line="240" w:lineRule="auto"/>
        <w:rPr>
          <w:rFonts w:ascii="Calibri" w:hAnsi="Calibri" w:cs="Calibri"/>
        </w:rPr>
      </w:pPr>
    </w:p>
    <w:p w14:paraId="2F446E2C" w14:textId="77777777" w:rsidR="00623AA1" w:rsidRDefault="00623AA1" w:rsidP="00623AA1">
      <w:pPr>
        <w:spacing w:after="0" w:line="240" w:lineRule="auto"/>
        <w:rPr>
          <w:rFonts w:ascii="Calibri" w:hAnsi="Calibri" w:cs="Calibri"/>
        </w:rPr>
      </w:pPr>
      <w:r>
        <w:rPr>
          <w:rFonts w:ascii="Calibri" w:hAnsi="Calibri" w:cs="Calibri"/>
        </w:rPr>
        <w:t>Lewis-Cheatham, S.  Email to J. Ponticello, November 18, 2020.</w:t>
      </w:r>
    </w:p>
    <w:p w14:paraId="227B95F0" w14:textId="77777777" w:rsidR="00623AA1" w:rsidRDefault="00623AA1" w:rsidP="00623AA1">
      <w:pPr>
        <w:spacing w:after="0" w:line="240" w:lineRule="auto"/>
        <w:rPr>
          <w:rFonts w:ascii="Calibri" w:hAnsi="Calibri" w:cs="Calibri"/>
        </w:rPr>
      </w:pPr>
    </w:p>
    <w:p w14:paraId="6F43571D" w14:textId="77777777" w:rsidR="00623AA1" w:rsidRDefault="00623AA1" w:rsidP="00623AA1">
      <w:pPr>
        <w:spacing w:after="0" w:line="240" w:lineRule="auto"/>
        <w:rPr>
          <w:rFonts w:ascii="Calibri" w:hAnsi="Calibri" w:cs="Calibri"/>
        </w:rPr>
      </w:pPr>
      <w:r>
        <w:rPr>
          <w:rFonts w:ascii="Calibri" w:hAnsi="Calibri" w:cs="Calibri"/>
        </w:rPr>
        <w:t>Ponticello, J.  Email to J.S. Miller, November 18, 2020.</w:t>
      </w:r>
    </w:p>
    <w:p w14:paraId="33212783" w14:textId="77777777" w:rsidR="00623AA1" w:rsidRDefault="00623AA1" w:rsidP="00623AA1">
      <w:pPr>
        <w:spacing w:after="0" w:line="240" w:lineRule="auto"/>
        <w:rPr>
          <w:rFonts w:ascii="Calibri" w:hAnsi="Calibri" w:cs="Calibri"/>
        </w:rPr>
      </w:pPr>
    </w:p>
    <w:p w14:paraId="0571D82B" w14:textId="77777777" w:rsidR="00623AA1" w:rsidRDefault="00623AA1" w:rsidP="00623AA1">
      <w:pPr>
        <w:spacing w:after="0" w:line="240" w:lineRule="auto"/>
        <w:rPr>
          <w:rFonts w:ascii="Calibri" w:hAnsi="Calibri" w:cs="Calibri"/>
        </w:rPr>
      </w:pPr>
      <w:r>
        <w:rPr>
          <w:rFonts w:ascii="Calibri" w:hAnsi="Calibri" w:cs="Calibri"/>
        </w:rPr>
        <w:t xml:space="preserve">Schuster, J.  </w:t>
      </w:r>
      <w:r w:rsidRPr="00CF3D94">
        <w:rPr>
          <w:rFonts w:ascii="Calibri" w:hAnsi="Calibri" w:cs="Calibri"/>
          <w:i/>
        </w:rPr>
        <w:t>SUV Takeover</w:t>
      </w:r>
      <w:r>
        <w:rPr>
          <w:rFonts w:ascii="Calibri" w:hAnsi="Calibri" w:cs="Calibri"/>
        </w:rPr>
        <w:t xml:space="preserve">.  LMC Automotive, Detroit, 2018.  </w:t>
      </w:r>
      <w:r w:rsidRPr="00312756">
        <w:rPr>
          <w:rFonts w:ascii="Calibri" w:hAnsi="Calibri" w:cs="Calibri"/>
        </w:rPr>
        <w:t>https://lmc-auto.com/news-and-insights/segment-trends-cars-and-suvs/</w:t>
      </w:r>
      <w:r>
        <w:rPr>
          <w:rFonts w:ascii="Calibri" w:hAnsi="Calibri" w:cs="Calibri"/>
        </w:rPr>
        <w:t>.  Accessed November 24, 2020.</w:t>
      </w:r>
    </w:p>
    <w:p w14:paraId="7FE79CAA" w14:textId="77777777" w:rsidR="00623AA1" w:rsidRDefault="00623AA1" w:rsidP="00623AA1">
      <w:pPr>
        <w:spacing w:after="0" w:line="240" w:lineRule="auto"/>
        <w:rPr>
          <w:rFonts w:ascii="Calibri" w:hAnsi="Calibri" w:cs="Calibri"/>
        </w:rPr>
      </w:pPr>
    </w:p>
    <w:p w14:paraId="7B7E9AFF" w14:textId="77777777" w:rsidR="00623AA1" w:rsidRDefault="00623AA1" w:rsidP="00623AA1">
      <w:pPr>
        <w:spacing w:after="0" w:line="240" w:lineRule="auto"/>
      </w:pPr>
      <w:r>
        <w:t xml:space="preserve">U.S. EPA.  </w:t>
      </w:r>
      <w:r w:rsidRPr="00CF3D94">
        <w:rPr>
          <w:i/>
        </w:rPr>
        <w:t xml:space="preserve">How </w:t>
      </w:r>
      <w:proofErr w:type="gramStart"/>
      <w:r w:rsidRPr="00CF3D94">
        <w:rPr>
          <w:i/>
        </w:rPr>
        <w:t>does</w:t>
      </w:r>
      <w:proofErr w:type="gramEnd"/>
      <w:r w:rsidRPr="00CF3D94">
        <w:rPr>
          <w:i/>
        </w:rPr>
        <w:t xml:space="preserve"> MOVES Classify Light-Duty Trucks?</w:t>
      </w:r>
      <w:r>
        <w:t xml:space="preserve">  Washington, D.C., 2019.  </w:t>
      </w:r>
      <w:r w:rsidRPr="0023178C">
        <w:t>https://www.epa.gov/moves/how-does-moves-classify-light-duty-trucks</w:t>
      </w:r>
      <w:r>
        <w:t>.  Accessed November 23, 2020.</w:t>
      </w:r>
    </w:p>
    <w:p w14:paraId="7C46EA33" w14:textId="77777777" w:rsidR="00623AA1" w:rsidRDefault="00623AA1" w:rsidP="00623AA1">
      <w:pPr>
        <w:spacing w:after="0" w:line="240" w:lineRule="auto"/>
      </w:pPr>
    </w:p>
    <w:p w14:paraId="430D1D60" w14:textId="77777777" w:rsidR="00623AA1" w:rsidRDefault="00623AA1" w:rsidP="00623AA1">
      <w:pPr>
        <w:spacing w:after="0" w:line="240" w:lineRule="auto"/>
        <w:rPr>
          <w:rFonts w:ascii="Calibri" w:hAnsi="Calibri" w:cs="Calibri"/>
        </w:rPr>
      </w:pPr>
      <w:r>
        <w:rPr>
          <w:rFonts w:ascii="Calibri" w:hAnsi="Calibri" w:cs="Calibri"/>
        </w:rPr>
        <w:t>Voel, T.  “</w:t>
      </w:r>
      <w:r w:rsidRPr="004A7814">
        <w:rPr>
          <w:rFonts w:ascii="Calibri" w:hAnsi="Calibri" w:cs="Calibri"/>
        </w:rPr>
        <w:t>Rise of S.U.V.s: Leaving Cars in Their Dust, With No Signs of Slowing</w:t>
      </w:r>
      <w:r>
        <w:rPr>
          <w:rFonts w:ascii="Calibri" w:hAnsi="Calibri" w:cs="Calibri"/>
        </w:rPr>
        <w:t xml:space="preserve">”, </w:t>
      </w:r>
      <w:r w:rsidRPr="00CF3D94">
        <w:rPr>
          <w:rFonts w:ascii="Calibri" w:hAnsi="Calibri" w:cs="Calibri"/>
          <w:i/>
        </w:rPr>
        <w:t>The New York Times</w:t>
      </w:r>
      <w:r>
        <w:rPr>
          <w:rFonts w:ascii="Calibri" w:hAnsi="Calibri" w:cs="Calibri"/>
        </w:rPr>
        <w:t xml:space="preserve">, May 21, 2020.  </w:t>
      </w:r>
      <w:r w:rsidRPr="004A7814">
        <w:rPr>
          <w:rFonts w:ascii="Calibri" w:hAnsi="Calibri" w:cs="Calibri"/>
        </w:rPr>
        <w:t>https://www.nytimes.com/2020/05/21/business/suv-sales-best-sellers.html#:~:text=%E2%80%9CS.U.V.s%20made%20up%2047.4%20percent,compared%20to%2072%20percent%20now.%E2%80%9D</w:t>
      </w:r>
      <w:r>
        <w:rPr>
          <w:rFonts w:ascii="Calibri" w:hAnsi="Calibri" w:cs="Calibri"/>
        </w:rPr>
        <w:t>.  Accessed November 24, 2020.</w:t>
      </w:r>
    </w:p>
    <w:p w14:paraId="5BCB1423" w14:textId="4793957F" w:rsidR="00623AA1" w:rsidRDefault="00623AA1">
      <w:pPr>
        <w:rPr>
          <w:rFonts w:ascii="Calibri" w:hAnsi="Calibri" w:cs="Calibri"/>
          <w:b/>
          <w:bCs/>
        </w:rPr>
      </w:pPr>
    </w:p>
    <w:p w14:paraId="4575DD22" w14:textId="77777777" w:rsidR="00623AA1" w:rsidRDefault="00623AA1" w:rsidP="006C631D">
      <w:pPr>
        <w:pStyle w:val="Heading1"/>
        <w:spacing w:before="0" w:after="0" w:line="240" w:lineRule="auto"/>
        <w:rPr>
          <w:rFonts w:ascii="Calibri" w:eastAsiaTheme="minorEastAsia" w:hAnsi="Calibri" w:cs="Calibri"/>
          <w:b/>
          <w:bCs/>
          <w:color w:val="auto"/>
          <w:sz w:val="24"/>
          <w:szCs w:val="24"/>
        </w:rPr>
      </w:pPr>
      <w:r>
        <w:rPr>
          <w:rFonts w:ascii="Calibri" w:eastAsiaTheme="minorEastAsia" w:hAnsi="Calibri" w:cs="Calibri"/>
          <w:b/>
          <w:bCs/>
          <w:color w:val="auto"/>
          <w:sz w:val="24"/>
          <w:szCs w:val="24"/>
        </w:rPr>
        <w:t>SCRAP Work</w:t>
      </w:r>
    </w:p>
    <w:p w14:paraId="0C43EC73" w14:textId="77777777" w:rsidR="00623AA1" w:rsidRDefault="00623AA1" w:rsidP="006C631D">
      <w:pPr>
        <w:pStyle w:val="Heading1"/>
        <w:spacing w:before="0" w:after="0" w:line="240" w:lineRule="auto"/>
        <w:rPr>
          <w:rFonts w:ascii="Calibri" w:eastAsiaTheme="minorEastAsia" w:hAnsi="Calibri" w:cs="Calibri"/>
          <w:b/>
          <w:bCs/>
          <w:color w:val="auto"/>
          <w:sz w:val="24"/>
          <w:szCs w:val="24"/>
        </w:rPr>
      </w:pPr>
    </w:p>
    <w:p w14:paraId="2DB15DDD" w14:textId="1382E242" w:rsidR="002C512B" w:rsidRDefault="00623AA1" w:rsidP="006C631D">
      <w:pPr>
        <w:pStyle w:val="Heading1"/>
        <w:spacing w:before="0" w:after="0" w:line="240" w:lineRule="auto"/>
        <w:rPr>
          <w:rFonts w:ascii="Calibri" w:eastAsiaTheme="minorEastAsia" w:hAnsi="Calibri" w:cs="Calibri"/>
          <w:i/>
          <w:iCs/>
          <w:color w:val="auto"/>
          <w:sz w:val="24"/>
          <w:szCs w:val="24"/>
        </w:rPr>
      </w:pPr>
      <w:r w:rsidRPr="00623AA1">
        <w:rPr>
          <w:rFonts w:ascii="Calibri" w:eastAsiaTheme="minorEastAsia" w:hAnsi="Calibri" w:cs="Calibri"/>
          <w:i/>
          <w:iCs/>
          <w:color w:val="auto"/>
          <w:sz w:val="24"/>
          <w:szCs w:val="24"/>
        </w:rPr>
        <w:t>The following approach illustrates some R coding that can be used</w:t>
      </w:r>
      <w:r w:rsidR="00894D89">
        <w:rPr>
          <w:rFonts w:ascii="Calibri" w:eastAsiaTheme="minorEastAsia" w:hAnsi="Calibri" w:cs="Calibri"/>
          <w:i/>
          <w:iCs/>
          <w:color w:val="auto"/>
          <w:sz w:val="24"/>
          <w:szCs w:val="24"/>
        </w:rPr>
        <w:t xml:space="preserve"> in the future if one wanted to simply have siimilar values for different Azones.  Ultimatlely, however, </w:t>
      </w:r>
      <w:r w:rsidRPr="00623AA1">
        <w:rPr>
          <w:rFonts w:ascii="Calibri" w:eastAsiaTheme="minorEastAsia" w:hAnsi="Calibri" w:cs="Calibri"/>
          <w:i/>
          <w:iCs/>
          <w:color w:val="auto"/>
          <w:sz w:val="24"/>
          <w:szCs w:val="24"/>
        </w:rPr>
        <w:t xml:space="preserve">this approach was </w:t>
      </w:r>
      <w:r w:rsidR="00894D89">
        <w:rPr>
          <w:rFonts w:ascii="Calibri" w:eastAsiaTheme="minorEastAsia" w:hAnsi="Calibri" w:cs="Calibri"/>
          <w:i/>
          <w:iCs/>
          <w:color w:val="auto"/>
          <w:sz w:val="24"/>
          <w:szCs w:val="24"/>
        </w:rPr>
        <w:t xml:space="preserve">not used because we realized it is better to have individual data (which are avaialble for the base year) for each Azone.  But </w:t>
      </w:r>
      <w:proofErr w:type="gramStart"/>
      <w:r w:rsidR="00894D89">
        <w:rPr>
          <w:rFonts w:ascii="Calibri" w:eastAsiaTheme="minorEastAsia" w:hAnsi="Calibri" w:cs="Calibri"/>
          <w:i/>
          <w:iCs/>
          <w:color w:val="auto"/>
          <w:sz w:val="24"/>
          <w:szCs w:val="24"/>
        </w:rPr>
        <w:t>the coding</w:t>
      </w:r>
      <w:proofErr w:type="gramEnd"/>
      <w:r w:rsidR="00894D89">
        <w:rPr>
          <w:rFonts w:ascii="Calibri" w:eastAsiaTheme="minorEastAsia" w:hAnsi="Calibri" w:cs="Calibri"/>
          <w:i/>
          <w:iCs/>
          <w:color w:val="auto"/>
          <w:sz w:val="24"/>
          <w:szCs w:val="24"/>
        </w:rPr>
        <w:t xml:space="preserve"> may be useful in the future, so we left it here.</w:t>
      </w:r>
    </w:p>
    <w:p w14:paraId="4E2F87DE" w14:textId="77777777" w:rsidR="00623AA1" w:rsidRPr="00623AA1" w:rsidRDefault="00623AA1" w:rsidP="00623AA1"/>
    <w:p w14:paraId="07B63582" w14:textId="76984E0E" w:rsidR="002C512B" w:rsidRPr="006C631D" w:rsidRDefault="2795328E" w:rsidP="006C631D">
      <w:pPr>
        <w:spacing w:after="0" w:line="240" w:lineRule="auto"/>
        <w:rPr>
          <w:rFonts w:ascii="Calibri" w:hAnsi="Calibri" w:cs="Calibri"/>
        </w:rPr>
      </w:pPr>
      <w:r w:rsidRPr="006C631D">
        <w:rPr>
          <w:rFonts w:ascii="Calibri" w:hAnsi="Calibri" w:cs="Calibri"/>
        </w:rPr>
        <w:t>library(dplyr)</w:t>
      </w:r>
      <w:r w:rsidR="00623AA1" w:rsidRPr="006C631D">
        <w:rPr>
          <w:rFonts w:ascii="Calibri" w:hAnsi="Calibri" w:cs="Calibri"/>
        </w:rPr>
        <w:br/>
      </w:r>
      <w:r w:rsidR="00623AA1" w:rsidRPr="006C631D">
        <w:rPr>
          <w:rFonts w:ascii="Calibri" w:hAnsi="Calibri" w:cs="Calibri"/>
        </w:rPr>
        <w:br/>
      </w:r>
      <w:r w:rsidRPr="006C631D">
        <w:rPr>
          <w:rFonts w:ascii="Calibri" w:hAnsi="Calibri" w:cs="Calibri"/>
        </w:rPr>
        <w:t># Example classification</w:t>
      </w:r>
      <w:r w:rsidR="00623AA1" w:rsidRPr="006C631D">
        <w:rPr>
          <w:rFonts w:ascii="Calibri" w:hAnsi="Calibri" w:cs="Calibri"/>
        </w:rPr>
        <w:br/>
      </w:r>
      <w:r w:rsidRPr="006C631D">
        <w:rPr>
          <w:rFonts w:ascii="Calibri" w:hAnsi="Calibri" w:cs="Calibri"/>
        </w:rPr>
        <w:t>urban &lt;- c("Arlington","Falls Church","Alexandria","Richmond City")</w:t>
      </w:r>
      <w:r w:rsidR="00623AA1" w:rsidRPr="006C631D">
        <w:rPr>
          <w:rFonts w:ascii="Calibri" w:hAnsi="Calibri" w:cs="Calibri"/>
        </w:rPr>
        <w:br/>
      </w:r>
      <w:r w:rsidRPr="006C631D">
        <w:rPr>
          <w:rFonts w:ascii="Calibri" w:hAnsi="Calibri" w:cs="Calibri"/>
        </w:rPr>
        <w:t>suburban &lt;- c("Fairfax County","Henrico","Chesterfield","Albemarle")</w:t>
      </w:r>
      <w:r w:rsidR="00623AA1" w:rsidRPr="006C631D">
        <w:rPr>
          <w:rFonts w:ascii="Calibri" w:hAnsi="Calibri" w:cs="Calibri"/>
        </w:rPr>
        <w:br/>
      </w:r>
      <w:r w:rsidRPr="006C631D">
        <w:rPr>
          <w:rFonts w:ascii="Calibri" w:hAnsi="Calibri" w:cs="Calibri"/>
        </w:rPr>
        <w:t>rural &lt;- c("Wise","Lee","Buchanan","Grayson")</w:t>
      </w:r>
      <w:r w:rsidR="00623AA1" w:rsidRPr="006C631D">
        <w:rPr>
          <w:rFonts w:ascii="Calibri" w:hAnsi="Calibri" w:cs="Calibri"/>
        </w:rPr>
        <w:br/>
      </w:r>
      <w:r w:rsidR="00623AA1" w:rsidRPr="006C631D">
        <w:rPr>
          <w:rFonts w:ascii="Calibri" w:hAnsi="Calibri" w:cs="Calibri"/>
        </w:rPr>
        <w:br/>
      </w:r>
      <w:r w:rsidRPr="006C631D">
        <w:rPr>
          <w:rFonts w:ascii="Calibri" w:hAnsi="Calibri" w:cs="Calibri"/>
        </w:rPr>
        <w:t>assign_lttrk &lt;- function(geo){</w:t>
      </w:r>
      <w:r w:rsidR="00623AA1" w:rsidRPr="006C631D">
        <w:rPr>
          <w:rFonts w:ascii="Calibri" w:hAnsi="Calibri" w:cs="Calibri"/>
        </w:rPr>
        <w:br/>
      </w:r>
      <w:r w:rsidRPr="006C631D">
        <w:rPr>
          <w:rFonts w:ascii="Calibri" w:hAnsi="Calibri" w:cs="Calibri"/>
        </w:rPr>
        <w:t xml:space="preserve">  if(geo %in% urban) return(0.40)</w:t>
      </w:r>
      <w:r w:rsidR="00623AA1" w:rsidRPr="006C631D">
        <w:rPr>
          <w:rFonts w:ascii="Calibri" w:hAnsi="Calibri" w:cs="Calibri"/>
        </w:rPr>
        <w:br/>
      </w:r>
      <w:r w:rsidRPr="006C631D">
        <w:rPr>
          <w:rFonts w:ascii="Calibri" w:hAnsi="Calibri" w:cs="Calibri"/>
        </w:rPr>
        <w:t xml:space="preserve">  if(geo %in% suburban) return(0.45)</w:t>
      </w:r>
      <w:r w:rsidR="00623AA1" w:rsidRPr="006C631D">
        <w:rPr>
          <w:rFonts w:ascii="Calibri" w:hAnsi="Calibri" w:cs="Calibri"/>
        </w:rPr>
        <w:br/>
      </w:r>
      <w:r w:rsidRPr="006C631D">
        <w:rPr>
          <w:rFonts w:ascii="Calibri" w:hAnsi="Calibri" w:cs="Calibri"/>
        </w:rPr>
        <w:t xml:space="preserve">  if(geo %in% rural) return(0.55)</w:t>
      </w:r>
      <w:r w:rsidR="00623AA1" w:rsidRPr="006C631D">
        <w:rPr>
          <w:rFonts w:ascii="Calibri" w:hAnsi="Calibri" w:cs="Calibri"/>
        </w:rPr>
        <w:br/>
      </w:r>
      <w:r w:rsidRPr="006C631D">
        <w:rPr>
          <w:rFonts w:ascii="Calibri" w:hAnsi="Calibri" w:cs="Calibri"/>
        </w:rPr>
        <w:t xml:space="preserve">  return(0.47) # default fallback</w:t>
      </w:r>
      <w:r w:rsidR="00623AA1" w:rsidRPr="006C631D">
        <w:rPr>
          <w:rFonts w:ascii="Calibri" w:hAnsi="Calibri" w:cs="Calibri"/>
        </w:rPr>
        <w:br/>
      </w:r>
      <w:r w:rsidRPr="006C631D">
        <w:rPr>
          <w:rFonts w:ascii="Calibri" w:hAnsi="Calibri" w:cs="Calibri"/>
        </w:rPr>
        <w:t>}</w:t>
      </w:r>
      <w:r w:rsidR="00623AA1" w:rsidRPr="006C631D">
        <w:rPr>
          <w:rFonts w:ascii="Calibri" w:hAnsi="Calibri" w:cs="Calibri"/>
        </w:rPr>
        <w:br/>
      </w:r>
      <w:r w:rsidR="00623AA1" w:rsidRPr="006C631D">
        <w:rPr>
          <w:rFonts w:ascii="Calibri" w:hAnsi="Calibri" w:cs="Calibri"/>
        </w:rPr>
        <w:br/>
      </w:r>
      <w:r w:rsidRPr="006C631D">
        <w:rPr>
          <w:rFonts w:ascii="Calibri" w:hAnsi="Calibri" w:cs="Calibri"/>
        </w:rPr>
        <w:t>azones &lt;- c("Fairfax County","Fairfax City","Falls Church","Albemarle","Wise","Lee")</w:t>
      </w:r>
      <w:r w:rsidR="00623AA1" w:rsidRPr="006C631D">
        <w:rPr>
          <w:rFonts w:ascii="Calibri" w:hAnsi="Calibri" w:cs="Calibri"/>
        </w:rPr>
        <w:br/>
      </w:r>
      <w:r w:rsidR="00623AA1" w:rsidRPr="006C631D">
        <w:rPr>
          <w:rFonts w:ascii="Calibri" w:hAnsi="Calibri" w:cs="Calibri"/>
        </w:rPr>
        <w:br/>
      </w:r>
      <w:r w:rsidRPr="006C631D">
        <w:rPr>
          <w:rFonts w:ascii="Calibri" w:hAnsi="Calibri" w:cs="Calibri"/>
        </w:rPr>
        <w:t>df &lt;- expand.grid(</w:t>
      </w:r>
      <w:r w:rsidR="00623AA1" w:rsidRPr="006C631D">
        <w:rPr>
          <w:rFonts w:ascii="Calibri" w:hAnsi="Calibri" w:cs="Calibri"/>
        </w:rPr>
        <w:br/>
      </w:r>
      <w:r w:rsidRPr="006C631D">
        <w:rPr>
          <w:rFonts w:ascii="Calibri" w:hAnsi="Calibri" w:cs="Calibri"/>
        </w:rPr>
        <w:t xml:space="preserve">  Geo = azones,</w:t>
      </w:r>
      <w:r w:rsidR="00623AA1" w:rsidRPr="006C631D">
        <w:rPr>
          <w:rFonts w:ascii="Calibri" w:hAnsi="Calibri" w:cs="Calibri"/>
        </w:rPr>
        <w:br/>
      </w:r>
      <w:r w:rsidRPr="006C631D">
        <w:rPr>
          <w:rFonts w:ascii="Calibri" w:hAnsi="Calibri" w:cs="Calibri"/>
        </w:rPr>
        <w:t xml:space="preserve">  Year = c(2019,2045)</w:t>
      </w:r>
      <w:r w:rsidR="00623AA1" w:rsidRPr="006C631D">
        <w:rPr>
          <w:rFonts w:ascii="Calibri" w:hAnsi="Calibri" w:cs="Calibri"/>
        </w:rPr>
        <w:br/>
      </w:r>
      <w:r w:rsidRPr="006C631D">
        <w:rPr>
          <w:rFonts w:ascii="Calibri" w:hAnsi="Calibri" w:cs="Calibri"/>
        </w:rPr>
        <w:t>) %&gt;%</w:t>
      </w:r>
      <w:r w:rsidR="00623AA1" w:rsidRPr="006C631D">
        <w:rPr>
          <w:rFonts w:ascii="Calibri" w:hAnsi="Calibri" w:cs="Calibri"/>
        </w:rPr>
        <w:br/>
      </w:r>
      <w:r w:rsidRPr="006C631D">
        <w:rPr>
          <w:rFonts w:ascii="Calibri" w:hAnsi="Calibri" w:cs="Calibri"/>
        </w:rPr>
        <w:t xml:space="preserve">  rowwise() %&gt;%</w:t>
      </w:r>
      <w:r w:rsidR="00623AA1" w:rsidRPr="006C631D">
        <w:rPr>
          <w:rFonts w:ascii="Calibri" w:hAnsi="Calibri" w:cs="Calibri"/>
        </w:rPr>
        <w:br/>
      </w:r>
      <w:r w:rsidRPr="006C631D">
        <w:rPr>
          <w:rFonts w:ascii="Calibri" w:hAnsi="Calibri" w:cs="Calibri"/>
        </w:rPr>
        <w:t xml:space="preserve">  mutate(</w:t>
      </w:r>
      <w:r w:rsidR="00623AA1" w:rsidRPr="006C631D">
        <w:rPr>
          <w:rFonts w:ascii="Calibri" w:hAnsi="Calibri" w:cs="Calibri"/>
        </w:rPr>
        <w:br/>
      </w:r>
      <w:r w:rsidRPr="006C631D">
        <w:rPr>
          <w:rFonts w:ascii="Calibri" w:hAnsi="Calibri" w:cs="Calibri"/>
        </w:rPr>
        <w:t xml:space="preserve">    base = assign_lttrk(Geo),</w:t>
      </w:r>
      <w:r w:rsidR="00623AA1" w:rsidRPr="006C631D">
        <w:rPr>
          <w:rFonts w:ascii="Calibri" w:hAnsi="Calibri" w:cs="Calibri"/>
        </w:rPr>
        <w:br/>
      </w:r>
      <w:r w:rsidRPr="006C631D">
        <w:rPr>
          <w:rFonts w:ascii="Calibri" w:hAnsi="Calibri" w:cs="Calibri"/>
        </w:rPr>
        <w:t xml:space="preserve">    LtTrkProp = ifelse(Year == 2019, base, base + 0.06)</w:t>
      </w:r>
      <w:r w:rsidR="00623AA1" w:rsidRPr="006C631D">
        <w:rPr>
          <w:rFonts w:ascii="Calibri" w:hAnsi="Calibri" w:cs="Calibri"/>
        </w:rPr>
        <w:br/>
      </w:r>
      <w:r w:rsidRPr="006C631D">
        <w:rPr>
          <w:rFonts w:ascii="Calibri" w:hAnsi="Calibri" w:cs="Calibri"/>
        </w:rPr>
        <w:t xml:space="preserve">  ) %&gt;%</w:t>
      </w:r>
      <w:r w:rsidR="00623AA1" w:rsidRPr="006C631D">
        <w:rPr>
          <w:rFonts w:ascii="Calibri" w:hAnsi="Calibri" w:cs="Calibri"/>
        </w:rPr>
        <w:br/>
      </w:r>
      <w:r w:rsidRPr="006C631D">
        <w:rPr>
          <w:rFonts w:ascii="Calibri" w:hAnsi="Calibri" w:cs="Calibri"/>
        </w:rPr>
        <w:t xml:space="preserve">  select(Geo, Year, LtTrkProp)</w:t>
      </w:r>
      <w:r w:rsidR="00623AA1" w:rsidRPr="006C631D">
        <w:rPr>
          <w:rFonts w:ascii="Calibri" w:hAnsi="Calibri" w:cs="Calibri"/>
        </w:rPr>
        <w:br/>
      </w:r>
      <w:r w:rsidR="00623AA1" w:rsidRPr="006C631D">
        <w:rPr>
          <w:rFonts w:ascii="Calibri" w:hAnsi="Calibri" w:cs="Calibri"/>
        </w:rPr>
        <w:br/>
      </w:r>
      <w:r w:rsidRPr="006C631D">
        <w:rPr>
          <w:rFonts w:ascii="Calibri" w:hAnsi="Calibri" w:cs="Calibri"/>
        </w:rPr>
        <w:t>write.csv(df,"azone_lttrk_prop.csv",row.names = FALSE)</w:t>
      </w:r>
    </w:p>
    <w:p w14:paraId="07AC00B1" w14:textId="766E720E" w:rsidR="002C512B" w:rsidRPr="006C631D" w:rsidRDefault="002C512B" w:rsidP="006C631D">
      <w:pPr>
        <w:spacing w:after="0" w:line="240" w:lineRule="auto"/>
        <w:rPr>
          <w:rFonts w:ascii="Calibri" w:hAnsi="Calibri" w:cs="Calibri"/>
        </w:rPr>
      </w:pPr>
    </w:p>
    <w:p w14:paraId="2C078E63" w14:textId="22135780" w:rsidR="002C512B" w:rsidRPr="006C631D" w:rsidRDefault="002C512B" w:rsidP="006C631D">
      <w:pPr>
        <w:pStyle w:val="Heading3"/>
        <w:spacing w:before="0" w:after="0" w:line="240" w:lineRule="auto"/>
        <w:rPr>
          <w:rFonts w:ascii="Calibri" w:eastAsiaTheme="minorEastAsia" w:hAnsi="Calibri" w:cs="Calibri"/>
          <w:sz w:val="24"/>
          <w:szCs w:val="24"/>
        </w:rPr>
      </w:pPr>
    </w:p>
    <w:sectPr w:rsidR="002C512B" w:rsidRPr="006C631D" w:rsidSect="006C631D">
      <w:footerReference w:type="defaul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FD6D5" w14:textId="77777777" w:rsidR="00623AA1" w:rsidRDefault="00623AA1" w:rsidP="00623AA1">
      <w:pPr>
        <w:spacing w:after="0" w:line="240" w:lineRule="auto"/>
      </w:pPr>
      <w:r>
        <w:separator/>
      </w:r>
    </w:p>
  </w:endnote>
  <w:endnote w:type="continuationSeparator" w:id="0">
    <w:p w14:paraId="34E8B849" w14:textId="77777777" w:rsidR="00623AA1" w:rsidRDefault="00623AA1" w:rsidP="00623A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4164204"/>
      <w:docPartObj>
        <w:docPartGallery w:val="Page Numbers (Bottom of Page)"/>
        <w:docPartUnique/>
      </w:docPartObj>
    </w:sdtPr>
    <w:sdtEndPr>
      <w:rPr>
        <w:noProof/>
      </w:rPr>
    </w:sdtEndPr>
    <w:sdtContent>
      <w:p w14:paraId="0CA00778" w14:textId="3421831C" w:rsidR="00623AA1" w:rsidRDefault="00623A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81CC62" w14:textId="77777777" w:rsidR="00623AA1" w:rsidRDefault="00623A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04EEB" w14:textId="77777777" w:rsidR="00623AA1" w:rsidRDefault="00623AA1" w:rsidP="00623AA1">
      <w:pPr>
        <w:spacing w:after="0" w:line="240" w:lineRule="auto"/>
      </w:pPr>
      <w:r>
        <w:separator/>
      </w:r>
    </w:p>
  </w:footnote>
  <w:footnote w:type="continuationSeparator" w:id="0">
    <w:p w14:paraId="6792ED33" w14:textId="77777777" w:rsidR="00623AA1" w:rsidRDefault="00623AA1" w:rsidP="00623A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236F2"/>
    <w:multiLevelType w:val="hybridMultilevel"/>
    <w:tmpl w:val="F60604B6"/>
    <w:lvl w:ilvl="0" w:tplc="F4AE5502">
      <w:start w:val="1"/>
      <w:numFmt w:val="decimal"/>
      <w:lvlText w:val="%1."/>
      <w:lvlJc w:val="left"/>
      <w:pPr>
        <w:ind w:left="720" w:hanging="360"/>
      </w:pPr>
    </w:lvl>
    <w:lvl w:ilvl="1" w:tplc="AF886336">
      <w:start w:val="1"/>
      <w:numFmt w:val="lowerLetter"/>
      <w:lvlText w:val="%2."/>
      <w:lvlJc w:val="left"/>
      <w:pPr>
        <w:ind w:left="1440" w:hanging="360"/>
      </w:pPr>
    </w:lvl>
    <w:lvl w:ilvl="2" w:tplc="8D08E238">
      <w:start w:val="1"/>
      <w:numFmt w:val="lowerRoman"/>
      <w:lvlText w:val="%3."/>
      <w:lvlJc w:val="right"/>
      <w:pPr>
        <w:ind w:left="2160" w:hanging="180"/>
      </w:pPr>
    </w:lvl>
    <w:lvl w:ilvl="3" w:tplc="2FA07DA2">
      <w:start w:val="1"/>
      <w:numFmt w:val="decimal"/>
      <w:lvlText w:val="%4."/>
      <w:lvlJc w:val="left"/>
      <w:pPr>
        <w:ind w:left="2880" w:hanging="360"/>
      </w:pPr>
    </w:lvl>
    <w:lvl w:ilvl="4" w:tplc="0EB22B0A">
      <w:start w:val="1"/>
      <w:numFmt w:val="lowerLetter"/>
      <w:lvlText w:val="%5."/>
      <w:lvlJc w:val="left"/>
      <w:pPr>
        <w:ind w:left="3600" w:hanging="360"/>
      </w:pPr>
    </w:lvl>
    <w:lvl w:ilvl="5" w:tplc="7E423836">
      <w:start w:val="1"/>
      <w:numFmt w:val="lowerRoman"/>
      <w:lvlText w:val="%6."/>
      <w:lvlJc w:val="right"/>
      <w:pPr>
        <w:ind w:left="4320" w:hanging="180"/>
      </w:pPr>
    </w:lvl>
    <w:lvl w:ilvl="6" w:tplc="E62A6C2C">
      <w:start w:val="1"/>
      <w:numFmt w:val="decimal"/>
      <w:lvlText w:val="%7."/>
      <w:lvlJc w:val="left"/>
      <w:pPr>
        <w:ind w:left="5040" w:hanging="360"/>
      </w:pPr>
    </w:lvl>
    <w:lvl w:ilvl="7" w:tplc="769A7C40">
      <w:start w:val="1"/>
      <w:numFmt w:val="lowerLetter"/>
      <w:lvlText w:val="%8."/>
      <w:lvlJc w:val="left"/>
      <w:pPr>
        <w:ind w:left="5760" w:hanging="360"/>
      </w:pPr>
    </w:lvl>
    <w:lvl w:ilvl="8" w:tplc="1DEADCFE">
      <w:start w:val="1"/>
      <w:numFmt w:val="lowerRoman"/>
      <w:lvlText w:val="%9."/>
      <w:lvlJc w:val="right"/>
      <w:pPr>
        <w:ind w:left="6480" w:hanging="180"/>
      </w:pPr>
    </w:lvl>
  </w:abstractNum>
  <w:abstractNum w:abstractNumId="1" w15:restartNumberingAfterBreak="0">
    <w:nsid w:val="12D9C6F4"/>
    <w:multiLevelType w:val="hybridMultilevel"/>
    <w:tmpl w:val="CF4898B4"/>
    <w:lvl w:ilvl="0" w:tplc="D6A62F8E">
      <w:start w:val="1"/>
      <w:numFmt w:val="bullet"/>
      <w:lvlText w:val=""/>
      <w:lvlJc w:val="left"/>
      <w:pPr>
        <w:ind w:left="720" w:hanging="360"/>
      </w:pPr>
      <w:rPr>
        <w:rFonts w:ascii="Symbol" w:hAnsi="Symbol" w:hint="default"/>
      </w:rPr>
    </w:lvl>
    <w:lvl w:ilvl="1" w:tplc="AB9E37CA">
      <w:start w:val="1"/>
      <w:numFmt w:val="bullet"/>
      <w:lvlText w:val="o"/>
      <w:lvlJc w:val="left"/>
      <w:pPr>
        <w:ind w:left="1440" w:hanging="360"/>
      </w:pPr>
      <w:rPr>
        <w:rFonts w:ascii="Courier New" w:hAnsi="Courier New" w:hint="default"/>
      </w:rPr>
    </w:lvl>
    <w:lvl w:ilvl="2" w:tplc="BC26B2FE">
      <w:start w:val="1"/>
      <w:numFmt w:val="bullet"/>
      <w:lvlText w:val=""/>
      <w:lvlJc w:val="left"/>
      <w:pPr>
        <w:ind w:left="2160" w:hanging="360"/>
      </w:pPr>
      <w:rPr>
        <w:rFonts w:ascii="Wingdings" w:hAnsi="Wingdings" w:hint="default"/>
      </w:rPr>
    </w:lvl>
    <w:lvl w:ilvl="3" w:tplc="2E085F10">
      <w:start w:val="1"/>
      <w:numFmt w:val="bullet"/>
      <w:lvlText w:val=""/>
      <w:lvlJc w:val="left"/>
      <w:pPr>
        <w:ind w:left="2880" w:hanging="360"/>
      </w:pPr>
      <w:rPr>
        <w:rFonts w:ascii="Symbol" w:hAnsi="Symbol" w:hint="default"/>
      </w:rPr>
    </w:lvl>
    <w:lvl w:ilvl="4" w:tplc="74963E12">
      <w:start w:val="1"/>
      <w:numFmt w:val="bullet"/>
      <w:lvlText w:val="o"/>
      <w:lvlJc w:val="left"/>
      <w:pPr>
        <w:ind w:left="3600" w:hanging="360"/>
      </w:pPr>
      <w:rPr>
        <w:rFonts w:ascii="Courier New" w:hAnsi="Courier New" w:hint="default"/>
      </w:rPr>
    </w:lvl>
    <w:lvl w:ilvl="5" w:tplc="CCA468E6">
      <w:start w:val="1"/>
      <w:numFmt w:val="bullet"/>
      <w:lvlText w:val=""/>
      <w:lvlJc w:val="left"/>
      <w:pPr>
        <w:ind w:left="4320" w:hanging="360"/>
      </w:pPr>
      <w:rPr>
        <w:rFonts w:ascii="Wingdings" w:hAnsi="Wingdings" w:hint="default"/>
      </w:rPr>
    </w:lvl>
    <w:lvl w:ilvl="6" w:tplc="9AE27FA4">
      <w:start w:val="1"/>
      <w:numFmt w:val="bullet"/>
      <w:lvlText w:val=""/>
      <w:lvlJc w:val="left"/>
      <w:pPr>
        <w:ind w:left="5040" w:hanging="360"/>
      </w:pPr>
      <w:rPr>
        <w:rFonts w:ascii="Symbol" w:hAnsi="Symbol" w:hint="default"/>
      </w:rPr>
    </w:lvl>
    <w:lvl w:ilvl="7" w:tplc="4D983E2A">
      <w:start w:val="1"/>
      <w:numFmt w:val="bullet"/>
      <w:lvlText w:val="o"/>
      <w:lvlJc w:val="left"/>
      <w:pPr>
        <w:ind w:left="5760" w:hanging="360"/>
      </w:pPr>
      <w:rPr>
        <w:rFonts w:ascii="Courier New" w:hAnsi="Courier New" w:hint="default"/>
      </w:rPr>
    </w:lvl>
    <w:lvl w:ilvl="8" w:tplc="2F9E22F0">
      <w:start w:val="1"/>
      <w:numFmt w:val="bullet"/>
      <w:lvlText w:val=""/>
      <w:lvlJc w:val="left"/>
      <w:pPr>
        <w:ind w:left="6480" w:hanging="360"/>
      </w:pPr>
      <w:rPr>
        <w:rFonts w:ascii="Wingdings" w:hAnsi="Wingdings" w:hint="default"/>
      </w:rPr>
    </w:lvl>
  </w:abstractNum>
  <w:abstractNum w:abstractNumId="2" w15:restartNumberingAfterBreak="0">
    <w:nsid w:val="248F5202"/>
    <w:multiLevelType w:val="hybridMultilevel"/>
    <w:tmpl w:val="F5CA0EDC"/>
    <w:lvl w:ilvl="0" w:tplc="7D465268">
      <w:start w:val="1"/>
      <w:numFmt w:val="bullet"/>
      <w:lvlText w:val=""/>
      <w:lvlJc w:val="left"/>
      <w:pPr>
        <w:ind w:left="720" w:hanging="360"/>
      </w:pPr>
      <w:rPr>
        <w:rFonts w:ascii="Symbol" w:hAnsi="Symbol" w:hint="default"/>
      </w:rPr>
    </w:lvl>
    <w:lvl w:ilvl="1" w:tplc="D3CEFF88">
      <w:start w:val="1"/>
      <w:numFmt w:val="bullet"/>
      <w:lvlText w:val="o"/>
      <w:lvlJc w:val="left"/>
      <w:pPr>
        <w:ind w:left="1440" w:hanging="360"/>
      </w:pPr>
      <w:rPr>
        <w:rFonts w:ascii="Courier New" w:hAnsi="Courier New" w:hint="default"/>
      </w:rPr>
    </w:lvl>
    <w:lvl w:ilvl="2" w:tplc="8F263C82">
      <w:start w:val="1"/>
      <w:numFmt w:val="bullet"/>
      <w:lvlText w:val=""/>
      <w:lvlJc w:val="left"/>
      <w:pPr>
        <w:ind w:left="2160" w:hanging="360"/>
      </w:pPr>
      <w:rPr>
        <w:rFonts w:ascii="Wingdings" w:hAnsi="Wingdings" w:hint="default"/>
      </w:rPr>
    </w:lvl>
    <w:lvl w:ilvl="3" w:tplc="C8D41A66">
      <w:start w:val="1"/>
      <w:numFmt w:val="bullet"/>
      <w:lvlText w:val=""/>
      <w:lvlJc w:val="left"/>
      <w:pPr>
        <w:ind w:left="2880" w:hanging="360"/>
      </w:pPr>
      <w:rPr>
        <w:rFonts w:ascii="Symbol" w:hAnsi="Symbol" w:hint="default"/>
      </w:rPr>
    </w:lvl>
    <w:lvl w:ilvl="4" w:tplc="409E4FE8">
      <w:start w:val="1"/>
      <w:numFmt w:val="bullet"/>
      <w:lvlText w:val="o"/>
      <w:lvlJc w:val="left"/>
      <w:pPr>
        <w:ind w:left="3600" w:hanging="360"/>
      </w:pPr>
      <w:rPr>
        <w:rFonts w:ascii="Courier New" w:hAnsi="Courier New" w:hint="default"/>
      </w:rPr>
    </w:lvl>
    <w:lvl w:ilvl="5" w:tplc="CB564256">
      <w:start w:val="1"/>
      <w:numFmt w:val="bullet"/>
      <w:lvlText w:val=""/>
      <w:lvlJc w:val="left"/>
      <w:pPr>
        <w:ind w:left="4320" w:hanging="360"/>
      </w:pPr>
      <w:rPr>
        <w:rFonts w:ascii="Wingdings" w:hAnsi="Wingdings" w:hint="default"/>
      </w:rPr>
    </w:lvl>
    <w:lvl w:ilvl="6" w:tplc="3110BE82">
      <w:start w:val="1"/>
      <w:numFmt w:val="bullet"/>
      <w:lvlText w:val=""/>
      <w:lvlJc w:val="left"/>
      <w:pPr>
        <w:ind w:left="5040" w:hanging="360"/>
      </w:pPr>
      <w:rPr>
        <w:rFonts w:ascii="Symbol" w:hAnsi="Symbol" w:hint="default"/>
      </w:rPr>
    </w:lvl>
    <w:lvl w:ilvl="7" w:tplc="20E685E8">
      <w:start w:val="1"/>
      <w:numFmt w:val="bullet"/>
      <w:lvlText w:val="o"/>
      <w:lvlJc w:val="left"/>
      <w:pPr>
        <w:ind w:left="5760" w:hanging="360"/>
      </w:pPr>
      <w:rPr>
        <w:rFonts w:ascii="Courier New" w:hAnsi="Courier New" w:hint="default"/>
      </w:rPr>
    </w:lvl>
    <w:lvl w:ilvl="8" w:tplc="9F98FDDA">
      <w:start w:val="1"/>
      <w:numFmt w:val="bullet"/>
      <w:lvlText w:val=""/>
      <w:lvlJc w:val="left"/>
      <w:pPr>
        <w:ind w:left="6480" w:hanging="360"/>
      </w:pPr>
      <w:rPr>
        <w:rFonts w:ascii="Wingdings" w:hAnsi="Wingdings" w:hint="default"/>
      </w:rPr>
    </w:lvl>
  </w:abstractNum>
  <w:abstractNum w:abstractNumId="3" w15:restartNumberingAfterBreak="0">
    <w:nsid w:val="2C4F3075"/>
    <w:multiLevelType w:val="hybridMultilevel"/>
    <w:tmpl w:val="B65EAF1A"/>
    <w:lvl w:ilvl="0" w:tplc="2ABA7442">
      <w:start w:val="1"/>
      <w:numFmt w:val="bullet"/>
      <w:lvlText w:val=""/>
      <w:lvlJc w:val="left"/>
      <w:pPr>
        <w:ind w:left="720" w:hanging="360"/>
      </w:pPr>
      <w:rPr>
        <w:rFonts w:ascii="Symbol" w:hAnsi="Symbol" w:hint="default"/>
      </w:rPr>
    </w:lvl>
    <w:lvl w:ilvl="1" w:tplc="6FE2935A">
      <w:start w:val="1"/>
      <w:numFmt w:val="bullet"/>
      <w:lvlText w:val="o"/>
      <w:lvlJc w:val="left"/>
      <w:pPr>
        <w:ind w:left="1440" w:hanging="360"/>
      </w:pPr>
      <w:rPr>
        <w:rFonts w:ascii="Courier New" w:hAnsi="Courier New" w:hint="default"/>
      </w:rPr>
    </w:lvl>
    <w:lvl w:ilvl="2" w:tplc="8EC0C25C">
      <w:start w:val="1"/>
      <w:numFmt w:val="bullet"/>
      <w:lvlText w:val=""/>
      <w:lvlJc w:val="left"/>
      <w:pPr>
        <w:ind w:left="2160" w:hanging="360"/>
      </w:pPr>
      <w:rPr>
        <w:rFonts w:ascii="Wingdings" w:hAnsi="Wingdings" w:hint="default"/>
      </w:rPr>
    </w:lvl>
    <w:lvl w:ilvl="3" w:tplc="D9289062">
      <w:start w:val="1"/>
      <w:numFmt w:val="bullet"/>
      <w:lvlText w:val=""/>
      <w:lvlJc w:val="left"/>
      <w:pPr>
        <w:ind w:left="2880" w:hanging="360"/>
      </w:pPr>
      <w:rPr>
        <w:rFonts w:ascii="Symbol" w:hAnsi="Symbol" w:hint="default"/>
      </w:rPr>
    </w:lvl>
    <w:lvl w:ilvl="4" w:tplc="99445480">
      <w:start w:val="1"/>
      <w:numFmt w:val="bullet"/>
      <w:lvlText w:val="o"/>
      <w:lvlJc w:val="left"/>
      <w:pPr>
        <w:ind w:left="3600" w:hanging="360"/>
      </w:pPr>
      <w:rPr>
        <w:rFonts w:ascii="Courier New" w:hAnsi="Courier New" w:hint="default"/>
      </w:rPr>
    </w:lvl>
    <w:lvl w:ilvl="5" w:tplc="24B0EFF2">
      <w:start w:val="1"/>
      <w:numFmt w:val="bullet"/>
      <w:lvlText w:val=""/>
      <w:lvlJc w:val="left"/>
      <w:pPr>
        <w:ind w:left="4320" w:hanging="360"/>
      </w:pPr>
      <w:rPr>
        <w:rFonts w:ascii="Wingdings" w:hAnsi="Wingdings" w:hint="default"/>
      </w:rPr>
    </w:lvl>
    <w:lvl w:ilvl="6" w:tplc="B93263DE">
      <w:start w:val="1"/>
      <w:numFmt w:val="bullet"/>
      <w:lvlText w:val=""/>
      <w:lvlJc w:val="left"/>
      <w:pPr>
        <w:ind w:left="5040" w:hanging="360"/>
      </w:pPr>
      <w:rPr>
        <w:rFonts w:ascii="Symbol" w:hAnsi="Symbol" w:hint="default"/>
      </w:rPr>
    </w:lvl>
    <w:lvl w:ilvl="7" w:tplc="AB2095EA">
      <w:start w:val="1"/>
      <w:numFmt w:val="bullet"/>
      <w:lvlText w:val="o"/>
      <w:lvlJc w:val="left"/>
      <w:pPr>
        <w:ind w:left="5760" w:hanging="360"/>
      </w:pPr>
      <w:rPr>
        <w:rFonts w:ascii="Courier New" w:hAnsi="Courier New" w:hint="default"/>
      </w:rPr>
    </w:lvl>
    <w:lvl w:ilvl="8" w:tplc="BFB66296">
      <w:start w:val="1"/>
      <w:numFmt w:val="bullet"/>
      <w:lvlText w:val=""/>
      <w:lvlJc w:val="left"/>
      <w:pPr>
        <w:ind w:left="6480" w:hanging="360"/>
      </w:pPr>
      <w:rPr>
        <w:rFonts w:ascii="Wingdings" w:hAnsi="Wingdings" w:hint="default"/>
      </w:rPr>
    </w:lvl>
  </w:abstractNum>
  <w:abstractNum w:abstractNumId="4" w15:restartNumberingAfterBreak="0">
    <w:nsid w:val="2DDBF09B"/>
    <w:multiLevelType w:val="hybridMultilevel"/>
    <w:tmpl w:val="2C923934"/>
    <w:lvl w:ilvl="0" w:tplc="FFE8F5AA">
      <w:start w:val="1"/>
      <w:numFmt w:val="decimal"/>
      <w:lvlText w:val="%1."/>
      <w:lvlJc w:val="left"/>
      <w:pPr>
        <w:ind w:left="720" w:hanging="360"/>
      </w:pPr>
    </w:lvl>
    <w:lvl w:ilvl="1" w:tplc="3F90DFBA">
      <w:start w:val="1"/>
      <w:numFmt w:val="lowerLetter"/>
      <w:lvlText w:val="%2."/>
      <w:lvlJc w:val="left"/>
      <w:pPr>
        <w:ind w:left="1440" w:hanging="360"/>
      </w:pPr>
    </w:lvl>
    <w:lvl w:ilvl="2" w:tplc="619E4B9E">
      <w:start w:val="1"/>
      <w:numFmt w:val="lowerRoman"/>
      <w:lvlText w:val="%3."/>
      <w:lvlJc w:val="right"/>
      <w:pPr>
        <w:ind w:left="2160" w:hanging="180"/>
      </w:pPr>
    </w:lvl>
    <w:lvl w:ilvl="3" w:tplc="54607AC6">
      <w:start w:val="1"/>
      <w:numFmt w:val="decimal"/>
      <w:lvlText w:val="%4."/>
      <w:lvlJc w:val="left"/>
      <w:pPr>
        <w:ind w:left="2880" w:hanging="360"/>
      </w:pPr>
    </w:lvl>
    <w:lvl w:ilvl="4" w:tplc="770EDB24">
      <w:start w:val="1"/>
      <w:numFmt w:val="lowerLetter"/>
      <w:lvlText w:val="%5."/>
      <w:lvlJc w:val="left"/>
      <w:pPr>
        <w:ind w:left="3600" w:hanging="360"/>
      </w:pPr>
    </w:lvl>
    <w:lvl w:ilvl="5" w:tplc="91F634AC">
      <w:start w:val="1"/>
      <w:numFmt w:val="lowerRoman"/>
      <w:lvlText w:val="%6."/>
      <w:lvlJc w:val="right"/>
      <w:pPr>
        <w:ind w:left="4320" w:hanging="180"/>
      </w:pPr>
    </w:lvl>
    <w:lvl w:ilvl="6" w:tplc="072462E0">
      <w:start w:val="1"/>
      <w:numFmt w:val="decimal"/>
      <w:lvlText w:val="%7."/>
      <w:lvlJc w:val="left"/>
      <w:pPr>
        <w:ind w:left="5040" w:hanging="360"/>
      </w:pPr>
    </w:lvl>
    <w:lvl w:ilvl="7" w:tplc="8E6642C6">
      <w:start w:val="1"/>
      <w:numFmt w:val="lowerLetter"/>
      <w:lvlText w:val="%8."/>
      <w:lvlJc w:val="left"/>
      <w:pPr>
        <w:ind w:left="5760" w:hanging="360"/>
      </w:pPr>
    </w:lvl>
    <w:lvl w:ilvl="8" w:tplc="27DEE4AA">
      <w:start w:val="1"/>
      <w:numFmt w:val="lowerRoman"/>
      <w:lvlText w:val="%9."/>
      <w:lvlJc w:val="right"/>
      <w:pPr>
        <w:ind w:left="6480" w:hanging="180"/>
      </w:pPr>
    </w:lvl>
  </w:abstractNum>
  <w:abstractNum w:abstractNumId="5" w15:restartNumberingAfterBreak="0">
    <w:nsid w:val="31306C40"/>
    <w:multiLevelType w:val="hybridMultilevel"/>
    <w:tmpl w:val="57F2664C"/>
    <w:lvl w:ilvl="0" w:tplc="05DC37C4">
      <w:start w:val="1"/>
      <w:numFmt w:val="bullet"/>
      <w:lvlText w:val=""/>
      <w:lvlJc w:val="left"/>
      <w:pPr>
        <w:ind w:left="720" w:hanging="360"/>
      </w:pPr>
      <w:rPr>
        <w:rFonts w:ascii="Symbol" w:hAnsi="Symbol" w:hint="default"/>
      </w:rPr>
    </w:lvl>
    <w:lvl w:ilvl="1" w:tplc="B608DC2A">
      <w:start w:val="1"/>
      <w:numFmt w:val="bullet"/>
      <w:lvlText w:val="o"/>
      <w:lvlJc w:val="left"/>
      <w:pPr>
        <w:ind w:left="1440" w:hanging="360"/>
      </w:pPr>
      <w:rPr>
        <w:rFonts w:ascii="Courier New" w:hAnsi="Courier New" w:hint="default"/>
      </w:rPr>
    </w:lvl>
    <w:lvl w:ilvl="2" w:tplc="F9CA7530">
      <w:start w:val="1"/>
      <w:numFmt w:val="bullet"/>
      <w:lvlText w:val=""/>
      <w:lvlJc w:val="left"/>
      <w:pPr>
        <w:ind w:left="2160" w:hanging="360"/>
      </w:pPr>
      <w:rPr>
        <w:rFonts w:ascii="Wingdings" w:hAnsi="Wingdings" w:hint="default"/>
      </w:rPr>
    </w:lvl>
    <w:lvl w:ilvl="3" w:tplc="177EC374">
      <w:start w:val="1"/>
      <w:numFmt w:val="bullet"/>
      <w:lvlText w:val=""/>
      <w:lvlJc w:val="left"/>
      <w:pPr>
        <w:ind w:left="2880" w:hanging="360"/>
      </w:pPr>
      <w:rPr>
        <w:rFonts w:ascii="Symbol" w:hAnsi="Symbol" w:hint="default"/>
      </w:rPr>
    </w:lvl>
    <w:lvl w:ilvl="4" w:tplc="D45EDA1E">
      <w:start w:val="1"/>
      <w:numFmt w:val="bullet"/>
      <w:lvlText w:val="o"/>
      <w:lvlJc w:val="left"/>
      <w:pPr>
        <w:ind w:left="3600" w:hanging="360"/>
      </w:pPr>
      <w:rPr>
        <w:rFonts w:ascii="Courier New" w:hAnsi="Courier New" w:hint="default"/>
      </w:rPr>
    </w:lvl>
    <w:lvl w:ilvl="5" w:tplc="6B90FF0E">
      <w:start w:val="1"/>
      <w:numFmt w:val="bullet"/>
      <w:lvlText w:val=""/>
      <w:lvlJc w:val="left"/>
      <w:pPr>
        <w:ind w:left="4320" w:hanging="360"/>
      </w:pPr>
      <w:rPr>
        <w:rFonts w:ascii="Wingdings" w:hAnsi="Wingdings" w:hint="default"/>
      </w:rPr>
    </w:lvl>
    <w:lvl w:ilvl="6" w:tplc="51EE8EA4">
      <w:start w:val="1"/>
      <w:numFmt w:val="bullet"/>
      <w:lvlText w:val=""/>
      <w:lvlJc w:val="left"/>
      <w:pPr>
        <w:ind w:left="5040" w:hanging="360"/>
      </w:pPr>
      <w:rPr>
        <w:rFonts w:ascii="Symbol" w:hAnsi="Symbol" w:hint="default"/>
      </w:rPr>
    </w:lvl>
    <w:lvl w:ilvl="7" w:tplc="CF0207B8">
      <w:start w:val="1"/>
      <w:numFmt w:val="bullet"/>
      <w:lvlText w:val="o"/>
      <w:lvlJc w:val="left"/>
      <w:pPr>
        <w:ind w:left="5760" w:hanging="360"/>
      </w:pPr>
      <w:rPr>
        <w:rFonts w:ascii="Courier New" w:hAnsi="Courier New" w:hint="default"/>
      </w:rPr>
    </w:lvl>
    <w:lvl w:ilvl="8" w:tplc="776AAE48">
      <w:start w:val="1"/>
      <w:numFmt w:val="bullet"/>
      <w:lvlText w:val=""/>
      <w:lvlJc w:val="left"/>
      <w:pPr>
        <w:ind w:left="6480" w:hanging="360"/>
      </w:pPr>
      <w:rPr>
        <w:rFonts w:ascii="Wingdings" w:hAnsi="Wingdings" w:hint="default"/>
      </w:rPr>
    </w:lvl>
  </w:abstractNum>
  <w:abstractNum w:abstractNumId="6" w15:restartNumberingAfterBreak="0">
    <w:nsid w:val="3ED2BB69"/>
    <w:multiLevelType w:val="hybridMultilevel"/>
    <w:tmpl w:val="451A81FE"/>
    <w:lvl w:ilvl="0" w:tplc="5484E584">
      <w:start w:val="1"/>
      <w:numFmt w:val="bullet"/>
      <w:lvlText w:val=""/>
      <w:lvlJc w:val="left"/>
      <w:pPr>
        <w:ind w:left="720" w:hanging="360"/>
      </w:pPr>
      <w:rPr>
        <w:rFonts w:ascii="Symbol" w:hAnsi="Symbol" w:hint="default"/>
      </w:rPr>
    </w:lvl>
    <w:lvl w:ilvl="1" w:tplc="A1583AF2">
      <w:start w:val="1"/>
      <w:numFmt w:val="bullet"/>
      <w:lvlText w:val="o"/>
      <w:lvlJc w:val="left"/>
      <w:pPr>
        <w:ind w:left="1440" w:hanging="360"/>
      </w:pPr>
      <w:rPr>
        <w:rFonts w:ascii="Courier New" w:hAnsi="Courier New" w:hint="default"/>
      </w:rPr>
    </w:lvl>
    <w:lvl w:ilvl="2" w:tplc="ACA8493E">
      <w:start w:val="1"/>
      <w:numFmt w:val="bullet"/>
      <w:lvlText w:val=""/>
      <w:lvlJc w:val="left"/>
      <w:pPr>
        <w:ind w:left="2160" w:hanging="360"/>
      </w:pPr>
      <w:rPr>
        <w:rFonts w:ascii="Wingdings" w:hAnsi="Wingdings" w:hint="default"/>
      </w:rPr>
    </w:lvl>
    <w:lvl w:ilvl="3" w:tplc="5D445040">
      <w:start w:val="1"/>
      <w:numFmt w:val="bullet"/>
      <w:lvlText w:val=""/>
      <w:lvlJc w:val="left"/>
      <w:pPr>
        <w:ind w:left="2880" w:hanging="360"/>
      </w:pPr>
      <w:rPr>
        <w:rFonts w:ascii="Symbol" w:hAnsi="Symbol" w:hint="default"/>
      </w:rPr>
    </w:lvl>
    <w:lvl w:ilvl="4" w:tplc="06F8BD9C">
      <w:start w:val="1"/>
      <w:numFmt w:val="bullet"/>
      <w:lvlText w:val="o"/>
      <w:lvlJc w:val="left"/>
      <w:pPr>
        <w:ind w:left="3600" w:hanging="360"/>
      </w:pPr>
      <w:rPr>
        <w:rFonts w:ascii="Courier New" w:hAnsi="Courier New" w:hint="default"/>
      </w:rPr>
    </w:lvl>
    <w:lvl w:ilvl="5" w:tplc="7CB235DC">
      <w:start w:val="1"/>
      <w:numFmt w:val="bullet"/>
      <w:lvlText w:val=""/>
      <w:lvlJc w:val="left"/>
      <w:pPr>
        <w:ind w:left="4320" w:hanging="360"/>
      </w:pPr>
      <w:rPr>
        <w:rFonts w:ascii="Wingdings" w:hAnsi="Wingdings" w:hint="default"/>
      </w:rPr>
    </w:lvl>
    <w:lvl w:ilvl="6" w:tplc="C1A468DA">
      <w:start w:val="1"/>
      <w:numFmt w:val="bullet"/>
      <w:lvlText w:val=""/>
      <w:lvlJc w:val="left"/>
      <w:pPr>
        <w:ind w:left="5040" w:hanging="360"/>
      </w:pPr>
      <w:rPr>
        <w:rFonts w:ascii="Symbol" w:hAnsi="Symbol" w:hint="default"/>
      </w:rPr>
    </w:lvl>
    <w:lvl w:ilvl="7" w:tplc="15641842">
      <w:start w:val="1"/>
      <w:numFmt w:val="bullet"/>
      <w:lvlText w:val="o"/>
      <w:lvlJc w:val="left"/>
      <w:pPr>
        <w:ind w:left="5760" w:hanging="360"/>
      </w:pPr>
      <w:rPr>
        <w:rFonts w:ascii="Courier New" w:hAnsi="Courier New" w:hint="default"/>
      </w:rPr>
    </w:lvl>
    <w:lvl w:ilvl="8" w:tplc="2408B694">
      <w:start w:val="1"/>
      <w:numFmt w:val="bullet"/>
      <w:lvlText w:val=""/>
      <w:lvlJc w:val="left"/>
      <w:pPr>
        <w:ind w:left="6480" w:hanging="360"/>
      </w:pPr>
      <w:rPr>
        <w:rFonts w:ascii="Wingdings" w:hAnsi="Wingdings" w:hint="default"/>
      </w:rPr>
    </w:lvl>
  </w:abstractNum>
  <w:abstractNum w:abstractNumId="7" w15:restartNumberingAfterBreak="0">
    <w:nsid w:val="46857B86"/>
    <w:multiLevelType w:val="hybridMultilevel"/>
    <w:tmpl w:val="BB788D6E"/>
    <w:lvl w:ilvl="0" w:tplc="4EFEC968">
      <w:start w:val="1"/>
      <w:numFmt w:val="bullet"/>
      <w:lvlText w:val=""/>
      <w:lvlJc w:val="left"/>
      <w:pPr>
        <w:ind w:left="720" w:hanging="360"/>
      </w:pPr>
      <w:rPr>
        <w:rFonts w:ascii="Symbol" w:hAnsi="Symbol" w:hint="default"/>
      </w:rPr>
    </w:lvl>
    <w:lvl w:ilvl="1" w:tplc="28A0D524">
      <w:start w:val="1"/>
      <w:numFmt w:val="bullet"/>
      <w:lvlText w:val="o"/>
      <w:lvlJc w:val="left"/>
      <w:pPr>
        <w:ind w:left="1440" w:hanging="360"/>
      </w:pPr>
      <w:rPr>
        <w:rFonts w:ascii="Courier New" w:hAnsi="Courier New" w:hint="default"/>
      </w:rPr>
    </w:lvl>
    <w:lvl w:ilvl="2" w:tplc="86F4AB02">
      <w:start w:val="1"/>
      <w:numFmt w:val="bullet"/>
      <w:lvlText w:val=""/>
      <w:lvlJc w:val="left"/>
      <w:pPr>
        <w:ind w:left="2160" w:hanging="360"/>
      </w:pPr>
      <w:rPr>
        <w:rFonts w:ascii="Wingdings" w:hAnsi="Wingdings" w:hint="default"/>
      </w:rPr>
    </w:lvl>
    <w:lvl w:ilvl="3" w:tplc="DE38A938">
      <w:start w:val="1"/>
      <w:numFmt w:val="bullet"/>
      <w:lvlText w:val=""/>
      <w:lvlJc w:val="left"/>
      <w:pPr>
        <w:ind w:left="2880" w:hanging="360"/>
      </w:pPr>
      <w:rPr>
        <w:rFonts w:ascii="Symbol" w:hAnsi="Symbol" w:hint="default"/>
      </w:rPr>
    </w:lvl>
    <w:lvl w:ilvl="4" w:tplc="641AA17A">
      <w:start w:val="1"/>
      <w:numFmt w:val="bullet"/>
      <w:lvlText w:val="o"/>
      <w:lvlJc w:val="left"/>
      <w:pPr>
        <w:ind w:left="3600" w:hanging="360"/>
      </w:pPr>
      <w:rPr>
        <w:rFonts w:ascii="Courier New" w:hAnsi="Courier New" w:hint="default"/>
      </w:rPr>
    </w:lvl>
    <w:lvl w:ilvl="5" w:tplc="5C8A873E">
      <w:start w:val="1"/>
      <w:numFmt w:val="bullet"/>
      <w:lvlText w:val=""/>
      <w:lvlJc w:val="left"/>
      <w:pPr>
        <w:ind w:left="4320" w:hanging="360"/>
      </w:pPr>
      <w:rPr>
        <w:rFonts w:ascii="Wingdings" w:hAnsi="Wingdings" w:hint="default"/>
      </w:rPr>
    </w:lvl>
    <w:lvl w:ilvl="6" w:tplc="C7466AEC">
      <w:start w:val="1"/>
      <w:numFmt w:val="bullet"/>
      <w:lvlText w:val=""/>
      <w:lvlJc w:val="left"/>
      <w:pPr>
        <w:ind w:left="5040" w:hanging="360"/>
      </w:pPr>
      <w:rPr>
        <w:rFonts w:ascii="Symbol" w:hAnsi="Symbol" w:hint="default"/>
      </w:rPr>
    </w:lvl>
    <w:lvl w:ilvl="7" w:tplc="71EA8A62">
      <w:start w:val="1"/>
      <w:numFmt w:val="bullet"/>
      <w:lvlText w:val="o"/>
      <w:lvlJc w:val="left"/>
      <w:pPr>
        <w:ind w:left="5760" w:hanging="360"/>
      </w:pPr>
      <w:rPr>
        <w:rFonts w:ascii="Courier New" w:hAnsi="Courier New" w:hint="default"/>
      </w:rPr>
    </w:lvl>
    <w:lvl w:ilvl="8" w:tplc="32C04E82">
      <w:start w:val="1"/>
      <w:numFmt w:val="bullet"/>
      <w:lvlText w:val=""/>
      <w:lvlJc w:val="left"/>
      <w:pPr>
        <w:ind w:left="6480" w:hanging="360"/>
      </w:pPr>
      <w:rPr>
        <w:rFonts w:ascii="Wingdings" w:hAnsi="Wingdings" w:hint="default"/>
      </w:rPr>
    </w:lvl>
  </w:abstractNum>
  <w:abstractNum w:abstractNumId="8" w15:restartNumberingAfterBreak="0">
    <w:nsid w:val="56F79830"/>
    <w:multiLevelType w:val="hybridMultilevel"/>
    <w:tmpl w:val="5AE45F2C"/>
    <w:lvl w:ilvl="0" w:tplc="AEF2FDBA">
      <w:start w:val="1"/>
      <w:numFmt w:val="bullet"/>
      <w:lvlText w:val=""/>
      <w:lvlJc w:val="left"/>
      <w:pPr>
        <w:ind w:left="720" w:hanging="360"/>
      </w:pPr>
      <w:rPr>
        <w:rFonts w:ascii="Symbol" w:hAnsi="Symbol" w:hint="default"/>
      </w:rPr>
    </w:lvl>
    <w:lvl w:ilvl="1" w:tplc="8F0A002C">
      <w:start w:val="1"/>
      <w:numFmt w:val="bullet"/>
      <w:lvlText w:val="o"/>
      <w:lvlJc w:val="left"/>
      <w:pPr>
        <w:ind w:left="1440" w:hanging="360"/>
      </w:pPr>
      <w:rPr>
        <w:rFonts w:ascii="Courier New" w:hAnsi="Courier New" w:hint="default"/>
      </w:rPr>
    </w:lvl>
    <w:lvl w:ilvl="2" w:tplc="0F8E2E18">
      <w:start w:val="1"/>
      <w:numFmt w:val="bullet"/>
      <w:lvlText w:val=""/>
      <w:lvlJc w:val="left"/>
      <w:pPr>
        <w:ind w:left="2160" w:hanging="360"/>
      </w:pPr>
      <w:rPr>
        <w:rFonts w:ascii="Wingdings" w:hAnsi="Wingdings" w:hint="default"/>
      </w:rPr>
    </w:lvl>
    <w:lvl w:ilvl="3" w:tplc="D2BC1338">
      <w:start w:val="1"/>
      <w:numFmt w:val="bullet"/>
      <w:lvlText w:val=""/>
      <w:lvlJc w:val="left"/>
      <w:pPr>
        <w:ind w:left="2880" w:hanging="360"/>
      </w:pPr>
      <w:rPr>
        <w:rFonts w:ascii="Symbol" w:hAnsi="Symbol" w:hint="default"/>
      </w:rPr>
    </w:lvl>
    <w:lvl w:ilvl="4" w:tplc="97DE9916">
      <w:start w:val="1"/>
      <w:numFmt w:val="bullet"/>
      <w:lvlText w:val="o"/>
      <w:lvlJc w:val="left"/>
      <w:pPr>
        <w:ind w:left="3600" w:hanging="360"/>
      </w:pPr>
      <w:rPr>
        <w:rFonts w:ascii="Courier New" w:hAnsi="Courier New" w:hint="default"/>
      </w:rPr>
    </w:lvl>
    <w:lvl w:ilvl="5" w:tplc="4664C294">
      <w:start w:val="1"/>
      <w:numFmt w:val="bullet"/>
      <w:lvlText w:val=""/>
      <w:lvlJc w:val="left"/>
      <w:pPr>
        <w:ind w:left="4320" w:hanging="360"/>
      </w:pPr>
      <w:rPr>
        <w:rFonts w:ascii="Wingdings" w:hAnsi="Wingdings" w:hint="default"/>
      </w:rPr>
    </w:lvl>
    <w:lvl w:ilvl="6" w:tplc="5450E6F0">
      <w:start w:val="1"/>
      <w:numFmt w:val="bullet"/>
      <w:lvlText w:val=""/>
      <w:lvlJc w:val="left"/>
      <w:pPr>
        <w:ind w:left="5040" w:hanging="360"/>
      </w:pPr>
      <w:rPr>
        <w:rFonts w:ascii="Symbol" w:hAnsi="Symbol" w:hint="default"/>
      </w:rPr>
    </w:lvl>
    <w:lvl w:ilvl="7" w:tplc="22B60254">
      <w:start w:val="1"/>
      <w:numFmt w:val="bullet"/>
      <w:lvlText w:val="o"/>
      <w:lvlJc w:val="left"/>
      <w:pPr>
        <w:ind w:left="5760" w:hanging="360"/>
      </w:pPr>
      <w:rPr>
        <w:rFonts w:ascii="Courier New" w:hAnsi="Courier New" w:hint="default"/>
      </w:rPr>
    </w:lvl>
    <w:lvl w:ilvl="8" w:tplc="9B4C1CBA">
      <w:start w:val="1"/>
      <w:numFmt w:val="bullet"/>
      <w:lvlText w:val=""/>
      <w:lvlJc w:val="left"/>
      <w:pPr>
        <w:ind w:left="6480" w:hanging="360"/>
      </w:pPr>
      <w:rPr>
        <w:rFonts w:ascii="Wingdings" w:hAnsi="Wingdings" w:hint="default"/>
      </w:rPr>
    </w:lvl>
  </w:abstractNum>
  <w:abstractNum w:abstractNumId="9" w15:restartNumberingAfterBreak="0">
    <w:nsid w:val="6B3FCEF6"/>
    <w:multiLevelType w:val="hybridMultilevel"/>
    <w:tmpl w:val="4EDCC7FC"/>
    <w:lvl w:ilvl="0" w:tplc="A524F656">
      <w:start w:val="1"/>
      <w:numFmt w:val="bullet"/>
      <w:lvlText w:val=""/>
      <w:lvlJc w:val="left"/>
      <w:pPr>
        <w:ind w:left="720" w:hanging="360"/>
      </w:pPr>
      <w:rPr>
        <w:rFonts w:ascii="Symbol" w:hAnsi="Symbol" w:hint="default"/>
      </w:rPr>
    </w:lvl>
    <w:lvl w:ilvl="1" w:tplc="0D722DB4">
      <w:start w:val="1"/>
      <w:numFmt w:val="bullet"/>
      <w:lvlText w:val="o"/>
      <w:lvlJc w:val="left"/>
      <w:pPr>
        <w:ind w:left="1440" w:hanging="360"/>
      </w:pPr>
      <w:rPr>
        <w:rFonts w:ascii="Courier New" w:hAnsi="Courier New" w:hint="default"/>
      </w:rPr>
    </w:lvl>
    <w:lvl w:ilvl="2" w:tplc="A64C4738">
      <w:start w:val="1"/>
      <w:numFmt w:val="bullet"/>
      <w:lvlText w:val=""/>
      <w:lvlJc w:val="left"/>
      <w:pPr>
        <w:ind w:left="2160" w:hanging="360"/>
      </w:pPr>
      <w:rPr>
        <w:rFonts w:ascii="Wingdings" w:hAnsi="Wingdings" w:hint="default"/>
      </w:rPr>
    </w:lvl>
    <w:lvl w:ilvl="3" w:tplc="BEFC3D78">
      <w:start w:val="1"/>
      <w:numFmt w:val="bullet"/>
      <w:lvlText w:val=""/>
      <w:lvlJc w:val="left"/>
      <w:pPr>
        <w:ind w:left="2880" w:hanging="360"/>
      </w:pPr>
      <w:rPr>
        <w:rFonts w:ascii="Symbol" w:hAnsi="Symbol" w:hint="default"/>
      </w:rPr>
    </w:lvl>
    <w:lvl w:ilvl="4" w:tplc="9188840C">
      <w:start w:val="1"/>
      <w:numFmt w:val="bullet"/>
      <w:lvlText w:val="o"/>
      <w:lvlJc w:val="left"/>
      <w:pPr>
        <w:ind w:left="3600" w:hanging="360"/>
      </w:pPr>
      <w:rPr>
        <w:rFonts w:ascii="Courier New" w:hAnsi="Courier New" w:hint="default"/>
      </w:rPr>
    </w:lvl>
    <w:lvl w:ilvl="5" w:tplc="59FC902A">
      <w:start w:val="1"/>
      <w:numFmt w:val="bullet"/>
      <w:lvlText w:val=""/>
      <w:lvlJc w:val="left"/>
      <w:pPr>
        <w:ind w:left="4320" w:hanging="360"/>
      </w:pPr>
      <w:rPr>
        <w:rFonts w:ascii="Wingdings" w:hAnsi="Wingdings" w:hint="default"/>
      </w:rPr>
    </w:lvl>
    <w:lvl w:ilvl="6" w:tplc="35D4819E">
      <w:start w:val="1"/>
      <w:numFmt w:val="bullet"/>
      <w:lvlText w:val=""/>
      <w:lvlJc w:val="left"/>
      <w:pPr>
        <w:ind w:left="5040" w:hanging="360"/>
      </w:pPr>
      <w:rPr>
        <w:rFonts w:ascii="Symbol" w:hAnsi="Symbol" w:hint="default"/>
      </w:rPr>
    </w:lvl>
    <w:lvl w:ilvl="7" w:tplc="16C61718">
      <w:start w:val="1"/>
      <w:numFmt w:val="bullet"/>
      <w:lvlText w:val="o"/>
      <w:lvlJc w:val="left"/>
      <w:pPr>
        <w:ind w:left="5760" w:hanging="360"/>
      </w:pPr>
      <w:rPr>
        <w:rFonts w:ascii="Courier New" w:hAnsi="Courier New" w:hint="default"/>
      </w:rPr>
    </w:lvl>
    <w:lvl w:ilvl="8" w:tplc="435C7AD4">
      <w:start w:val="1"/>
      <w:numFmt w:val="bullet"/>
      <w:lvlText w:val=""/>
      <w:lvlJc w:val="left"/>
      <w:pPr>
        <w:ind w:left="6480" w:hanging="360"/>
      </w:pPr>
      <w:rPr>
        <w:rFonts w:ascii="Wingdings" w:hAnsi="Wingdings" w:hint="default"/>
      </w:rPr>
    </w:lvl>
  </w:abstractNum>
  <w:abstractNum w:abstractNumId="10" w15:restartNumberingAfterBreak="0">
    <w:nsid w:val="7A4C2372"/>
    <w:multiLevelType w:val="hybridMultilevel"/>
    <w:tmpl w:val="B73AE39A"/>
    <w:lvl w:ilvl="0" w:tplc="27BC9FB0">
      <w:start w:val="1"/>
      <w:numFmt w:val="bullet"/>
      <w:lvlText w:val=""/>
      <w:lvlJc w:val="left"/>
      <w:pPr>
        <w:ind w:left="720" w:hanging="360"/>
      </w:pPr>
      <w:rPr>
        <w:rFonts w:ascii="Symbol" w:hAnsi="Symbol" w:hint="default"/>
      </w:rPr>
    </w:lvl>
    <w:lvl w:ilvl="1" w:tplc="99D2BE2A">
      <w:start w:val="1"/>
      <w:numFmt w:val="bullet"/>
      <w:lvlText w:val="o"/>
      <w:lvlJc w:val="left"/>
      <w:pPr>
        <w:ind w:left="1440" w:hanging="360"/>
      </w:pPr>
      <w:rPr>
        <w:rFonts w:ascii="Courier New" w:hAnsi="Courier New" w:hint="default"/>
      </w:rPr>
    </w:lvl>
    <w:lvl w:ilvl="2" w:tplc="FC2CDDEE">
      <w:start w:val="1"/>
      <w:numFmt w:val="bullet"/>
      <w:lvlText w:val=""/>
      <w:lvlJc w:val="left"/>
      <w:pPr>
        <w:ind w:left="2160" w:hanging="360"/>
      </w:pPr>
      <w:rPr>
        <w:rFonts w:ascii="Wingdings" w:hAnsi="Wingdings" w:hint="default"/>
      </w:rPr>
    </w:lvl>
    <w:lvl w:ilvl="3" w:tplc="71AC3728">
      <w:start w:val="1"/>
      <w:numFmt w:val="bullet"/>
      <w:lvlText w:val=""/>
      <w:lvlJc w:val="left"/>
      <w:pPr>
        <w:ind w:left="2880" w:hanging="360"/>
      </w:pPr>
      <w:rPr>
        <w:rFonts w:ascii="Symbol" w:hAnsi="Symbol" w:hint="default"/>
      </w:rPr>
    </w:lvl>
    <w:lvl w:ilvl="4" w:tplc="61964E22">
      <w:start w:val="1"/>
      <w:numFmt w:val="bullet"/>
      <w:lvlText w:val="o"/>
      <w:lvlJc w:val="left"/>
      <w:pPr>
        <w:ind w:left="3600" w:hanging="360"/>
      </w:pPr>
      <w:rPr>
        <w:rFonts w:ascii="Courier New" w:hAnsi="Courier New" w:hint="default"/>
      </w:rPr>
    </w:lvl>
    <w:lvl w:ilvl="5" w:tplc="CECC273C">
      <w:start w:val="1"/>
      <w:numFmt w:val="bullet"/>
      <w:lvlText w:val=""/>
      <w:lvlJc w:val="left"/>
      <w:pPr>
        <w:ind w:left="4320" w:hanging="360"/>
      </w:pPr>
      <w:rPr>
        <w:rFonts w:ascii="Wingdings" w:hAnsi="Wingdings" w:hint="default"/>
      </w:rPr>
    </w:lvl>
    <w:lvl w:ilvl="6" w:tplc="86145668">
      <w:start w:val="1"/>
      <w:numFmt w:val="bullet"/>
      <w:lvlText w:val=""/>
      <w:lvlJc w:val="left"/>
      <w:pPr>
        <w:ind w:left="5040" w:hanging="360"/>
      </w:pPr>
      <w:rPr>
        <w:rFonts w:ascii="Symbol" w:hAnsi="Symbol" w:hint="default"/>
      </w:rPr>
    </w:lvl>
    <w:lvl w:ilvl="7" w:tplc="45FC42A2">
      <w:start w:val="1"/>
      <w:numFmt w:val="bullet"/>
      <w:lvlText w:val="o"/>
      <w:lvlJc w:val="left"/>
      <w:pPr>
        <w:ind w:left="5760" w:hanging="360"/>
      </w:pPr>
      <w:rPr>
        <w:rFonts w:ascii="Courier New" w:hAnsi="Courier New" w:hint="default"/>
      </w:rPr>
    </w:lvl>
    <w:lvl w:ilvl="8" w:tplc="A88A6072">
      <w:start w:val="1"/>
      <w:numFmt w:val="bullet"/>
      <w:lvlText w:val=""/>
      <w:lvlJc w:val="left"/>
      <w:pPr>
        <w:ind w:left="6480" w:hanging="360"/>
      </w:pPr>
      <w:rPr>
        <w:rFonts w:ascii="Wingdings" w:hAnsi="Wingdings" w:hint="default"/>
      </w:rPr>
    </w:lvl>
  </w:abstractNum>
  <w:abstractNum w:abstractNumId="11" w15:restartNumberingAfterBreak="0">
    <w:nsid w:val="7AA0D957"/>
    <w:multiLevelType w:val="hybridMultilevel"/>
    <w:tmpl w:val="466605C8"/>
    <w:lvl w:ilvl="0" w:tplc="371EE242">
      <w:start w:val="1"/>
      <w:numFmt w:val="bullet"/>
      <w:lvlText w:val=""/>
      <w:lvlJc w:val="left"/>
      <w:pPr>
        <w:ind w:left="720" w:hanging="360"/>
      </w:pPr>
      <w:rPr>
        <w:rFonts w:ascii="Symbol" w:hAnsi="Symbol" w:hint="default"/>
      </w:rPr>
    </w:lvl>
    <w:lvl w:ilvl="1" w:tplc="C06A52CE">
      <w:start w:val="1"/>
      <w:numFmt w:val="bullet"/>
      <w:lvlText w:val="o"/>
      <w:lvlJc w:val="left"/>
      <w:pPr>
        <w:ind w:left="1440" w:hanging="360"/>
      </w:pPr>
      <w:rPr>
        <w:rFonts w:ascii="Courier New" w:hAnsi="Courier New" w:hint="default"/>
      </w:rPr>
    </w:lvl>
    <w:lvl w:ilvl="2" w:tplc="26B8CD0C">
      <w:start w:val="1"/>
      <w:numFmt w:val="bullet"/>
      <w:lvlText w:val=""/>
      <w:lvlJc w:val="left"/>
      <w:pPr>
        <w:ind w:left="2160" w:hanging="360"/>
      </w:pPr>
      <w:rPr>
        <w:rFonts w:ascii="Wingdings" w:hAnsi="Wingdings" w:hint="default"/>
      </w:rPr>
    </w:lvl>
    <w:lvl w:ilvl="3" w:tplc="F4586072">
      <w:start w:val="1"/>
      <w:numFmt w:val="bullet"/>
      <w:lvlText w:val=""/>
      <w:lvlJc w:val="left"/>
      <w:pPr>
        <w:ind w:left="2880" w:hanging="360"/>
      </w:pPr>
      <w:rPr>
        <w:rFonts w:ascii="Symbol" w:hAnsi="Symbol" w:hint="default"/>
      </w:rPr>
    </w:lvl>
    <w:lvl w:ilvl="4" w:tplc="62B0914A">
      <w:start w:val="1"/>
      <w:numFmt w:val="bullet"/>
      <w:lvlText w:val="o"/>
      <w:lvlJc w:val="left"/>
      <w:pPr>
        <w:ind w:left="3600" w:hanging="360"/>
      </w:pPr>
      <w:rPr>
        <w:rFonts w:ascii="Courier New" w:hAnsi="Courier New" w:hint="default"/>
      </w:rPr>
    </w:lvl>
    <w:lvl w:ilvl="5" w:tplc="68EED2EE">
      <w:start w:val="1"/>
      <w:numFmt w:val="bullet"/>
      <w:lvlText w:val=""/>
      <w:lvlJc w:val="left"/>
      <w:pPr>
        <w:ind w:left="4320" w:hanging="360"/>
      </w:pPr>
      <w:rPr>
        <w:rFonts w:ascii="Wingdings" w:hAnsi="Wingdings" w:hint="default"/>
      </w:rPr>
    </w:lvl>
    <w:lvl w:ilvl="6" w:tplc="A17CA746">
      <w:start w:val="1"/>
      <w:numFmt w:val="bullet"/>
      <w:lvlText w:val=""/>
      <w:lvlJc w:val="left"/>
      <w:pPr>
        <w:ind w:left="5040" w:hanging="360"/>
      </w:pPr>
      <w:rPr>
        <w:rFonts w:ascii="Symbol" w:hAnsi="Symbol" w:hint="default"/>
      </w:rPr>
    </w:lvl>
    <w:lvl w:ilvl="7" w:tplc="A170EFE8">
      <w:start w:val="1"/>
      <w:numFmt w:val="bullet"/>
      <w:lvlText w:val="o"/>
      <w:lvlJc w:val="left"/>
      <w:pPr>
        <w:ind w:left="5760" w:hanging="360"/>
      </w:pPr>
      <w:rPr>
        <w:rFonts w:ascii="Courier New" w:hAnsi="Courier New" w:hint="default"/>
      </w:rPr>
    </w:lvl>
    <w:lvl w:ilvl="8" w:tplc="5986E248">
      <w:start w:val="1"/>
      <w:numFmt w:val="bullet"/>
      <w:lvlText w:val=""/>
      <w:lvlJc w:val="left"/>
      <w:pPr>
        <w:ind w:left="6480" w:hanging="360"/>
      </w:pPr>
      <w:rPr>
        <w:rFonts w:ascii="Wingdings" w:hAnsi="Wingdings" w:hint="default"/>
      </w:rPr>
    </w:lvl>
  </w:abstractNum>
  <w:num w:numId="1" w16cid:durableId="2027250261">
    <w:abstractNumId w:val="8"/>
  </w:num>
  <w:num w:numId="2" w16cid:durableId="1053772813">
    <w:abstractNumId w:val="1"/>
  </w:num>
  <w:num w:numId="3" w16cid:durableId="1319071674">
    <w:abstractNumId w:val="9"/>
  </w:num>
  <w:num w:numId="4" w16cid:durableId="16857777">
    <w:abstractNumId w:val="5"/>
  </w:num>
  <w:num w:numId="5" w16cid:durableId="351760996">
    <w:abstractNumId w:val="10"/>
  </w:num>
  <w:num w:numId="6" w16cid:durableId="1779254880">
    <w:abstractNumId w:val="3"/>
  </w:num>
  <w:num w:numId="7" w16cid:durableId="683826070">
    <w:abstractNumId w:val="6"/>
  </w:num>
  <w:num w:numId="8" w16cid:durableId="609976137">
    <w:abstractNumId w:val="7"/>
  </w:num>
  <w:num w:numId="9" w16cid:durableId="1734967160">
    <w:abstractNumId w:val="2"/>
  </w:num>
  <w:num w:numId="10" w16cid:durableId="549152824">
    <w:abstractNumId w:val="4"/>
  </w:num>
  <w:num w:numId="11" w16cid:durableId="1673222159">
    <w:abstractNumId w:val="11"/>
  </w:num>
  <w:num w:numId="12" w16cid:durableId="1928732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0DE9CC1"/>
    <w:rsid w:val="002C512B"/>
    <w:rsid w:val="004213AA"/>
    <w:rsid w:val="00623AA1"/>
    <w:rsid w:val="006C631D"/>
    <w:rsid w:val="00712C3C"/>
    <w:rsid w:val="00894D89"/>
    <w:rsid w:val="00D04430"/>
    <w:rsid w:val="00E17BA4"/>
    <w:rsid w:val="01AA69C5"/>
    <w:rsid w:val="07FA5A7F"/>
    <w:rsid w:val="0964F8A6"/>
    <w:rsid w:val="0C4C6ABF"/>
    <w:rsid w:val="14011D84"/>
    <w:rsid w:val="14A6534D"/>
    <w:rsid w:val="18590022"/>
    <w:rsid w:val="1BD0EAE4"/>
    <w:rsid w:val="1CD8CCA7"/>
    <w:rsid w:val="1D3B7824"/>
    <w:rsid w:val="1F9CC6EE"/>
    <w:rsid w:val="2056FE17"/>
    <w:rsid w:val="22C144F5"/>
    <w:rsid w:val="245DD2AF"/>
    <w:rsid w:val="26861C80"/>
    <w:rsid w:val="2795328E"/>
    <w:rsid w:val="2C4B2659"/>
    <w:rsid w:val="328765CF"/>
    <w:rsid w:val="33EA5915"/>
    <w:rsid w:val="3C066380"/>
    <w:rsid w:val="4014194E"/>
    <w:rsid w:val="4B12BA70"/>
    <w:rsid w:val="4E0C745E"/>
    <w:rsid w:val="519CABCA"/>
    <w:rsid w:val="523F0A29"/>
    <w:rsid w:val="567EB67B"/>
    <w:rsid w:val="5CA79016"/>
    <w:rsid w:val="5DB3049E"/>
    <w:rsid w:val="6100AD7C"/>
    <w:rsid w:val="648F6F96"/>
    <w:rsid w:val="666BCE78"/>
    <w:rsid w:val="697BB1F7"/>
    <w:rsid w:val="6FA38DB5"/>
    <w:rsid w:val="70DE9CC1"/>
    <w:rsid w:val="719B798E"/>
    <w:rsid w:val="76A751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E9CC1"/>
  <w15:chartTrackingRefBased/>
  <w15:docId w15:val="{8041876B-60DA-41EB-8F14-85BDE30B6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1AA69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1AA69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1AA69C5"/>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1AA69C5"/>
    <w:pPr>
      <w:ind w:left="720"/>
      <w:contextualSpacing/>
    </w:pPr>
  </w:style>
  <w:style w:type="character" w:styleId="Hyperlink">
    <w:name w:val="Hyperlink"/>
    <w:basedOn w:val="DefaultParagraphFont"/>
    <w:uiPriority w:val="99"/>
    <w:unhideWhenUsed/>
    <w:rsid w:val="01AA69C5"/>
    <w:rPr>
      <w:color w:val="467886"/>
      <w:u w:val="single"/>
    </w:rPr>
  </w:style>
  <w:style w:type="character" w:styleId="FollowedHyperlink">
    <w:name w:val="FollowedHyperlink"/>
    <w:basedOn w:val="DefaultParagraphFont"/>
    <w:uiPriority w:val="99"/>
    <w:semiHidden/>
    <w:unhideWhenUsed/>
    <w:rsid w:val="006C631D"/>
    <w:rPr>
      <w:color w:val="96607D" w:themeColor="followedHyperlink"/>
      <w:u w:val="single"/>
    </w:rPr>
  </w:style>
  <w:style w:type="paragraph" w:styleId="Header">
    <w:name w:val="header"/>
    <w:basedOn w:val="Normal"/>
    <w:link w:val="HeaderChar"/>
    <w:uiPriority w:val="99"/>
    <w:unhideWhenUsed/>
    <w:rsid w:val="00623A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3AA1"/>
  </w:style>
  <w:style w:type="paragraph" w:styleId="Footer">
    <w:name w:val="footer"/>
    <w:basedOn w:val="Normal"/>
    <w:link w:val="FooterChar"/>
    <w:uiPriority w:val="99"/>
    <w:unhideWhenUsed/>
    <w:rsid w:val="00623A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3AA1"/>
  </w:style>
  <w:style w:type="character" w:styleId="UnresolvedMention">
    <w:name w:val="Unresolved Mention"/>
    <w:basedOn w:val="DefaultParagraphFont"/>
    <w:uiPriority w:val="99"/>
    <w:semiHidden/>
    <w:unhideWhenUsed/>
    <w:rsid w:val="00623A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isioneval.github.io/docs/model-inputs.html"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ea.blob.core.windows.net/assets/1f6bf453-3317-4799-ae7b-9cc6429c81d8/English-WEO-2019-ES.pdf" TargetMode="External"/><Relationship Id="rId5" Type="http://schemas.openxmlformats.org/officeDocument/2006/relationships/footnotes" Target="footnotes.xml"/><Relationship Id="rId10" Type="http://schemas.openxmlformats.org/officeDocument/2006/relationships/hyperlink" Target="https://gcc02.safelinks.protection.outlook.com/?url=https%3A%2F%2Fvtrc.virginia.gov%2Fmedia%2Fvtrc%2Fvtrc-pdf%2Fvtrc-pdf%2F22-R21.pdf&amp;data=05%7C02%7Chunter.lutz%40vdot.virginia.gov%7C6481d46c6a31485fc59f08de95b7ee5d%7C620ae5a94ec14fa086415d9f386c7309%7C1%7C0%7C639112815067468750%7CUnknown%7CTWFpbGZsb3d8eyJFbXB0eU1hcGkiOnRydWUsIlYiOiIwLjAuMDAwMCIsIlAiOiJXaW4zMiIsIkFOIjoiTWFpbCIsIldUIjoyfQ%3D%3D%7C0%7C%7C%7C&amp;sdata=u%2BZ68m7eYoDwLL0g8wMUIa27xfwEb4PeI%2Fm6zQzBxpg%3D&amp;reserved=0" TargetMode="External"/><Relationship Id="rId4" Type="http://schemas.openxmlformats.org/officeDocument/2006/relationships/webSettings" Target="webSettings.xml"/><Relationship Id="rId9" Type="http://schemas.openxmlformats.org/officeDocument/2006/relationships/hyperlink" Target="https://virginia.box.com/s/irjud9jhn28x5w6kq0gjz1ytm484wu74"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1181</Words>
  <Characters>6736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hunter.lutz@vdot.virginia.gov</dc:creator>
  <cp:keywords/>
  <dc:description/>
  <cp:lastModifiedBy>Miller, John S. (VDOT)</cp:lastModifiedBy>
  <cp:revision>4</cp:revision>
  <dcterms:created xsi:type="dcterms:W3CDTF">2026-04-08T20:39:00Z</dcterms:created>
  <dcterms:modified xsi:type="dcterms:W3CDTF">2026-05-25T20:01:00Z</dcterms:modified>
</cp:coreProperties>
</file>