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4874" w14:textId="77777777" w:rsidR="006D311D" w:rsidRDefault="66F56AE8" w:rsidP="66F56AE8">
      <w:pPr>
        <w:jc w:val="center"/>
        <w:rPr>
          <w:rFonts w:ascii="Aptos" w:eastAsia="Aptos" w:hAnsi="Aptos" w:cs="Aptos"/>
          <w:b/>
          <w:bCs/>
        </w:rPr>
      </w:pPr>
      <w:r w:rsidRPr="66F56AE8">
        <w:rPr>
          <w:rFonts w:ascii="Aptos" w:eastAsia="Aptos" w:hAnsi="Aptos" w:cs="Aptos"/>
          <w:b/>
          <w:bCs/>
        </w:rPr>
        <w:t>File 08_azone_hh_pop_by_age.csv</w:t>
      </w:r>
    </w:p>
    <w:p w14:paraId="0457AF1E" w14:textId="37457F5E" w:rsidR="006D311D" w:rsidRDefault="00EE0F9D" w:rsidP="66F56AE8">
      <w:pPr>
        <w:jc w:val="center"/>
        <w:rPr>
          <w:rFonts w:ascii="Aptos" w:eastAsia="Aptos" w:hAnsi="Aptos" w:cs="Aptos"/>
          <w:b/>
          <w:bCs/>
        </w:rPr>
      </w:pPr>
      <w:r>
        <w:rPr>
          <w:rFonts w:ascii="Aptos" w:eastAsia="Aptos" w:hAnsi="Aptos" w:cs="Aptos"/>
          <w:b/>
          <w:bCs/>
        </w:rPr>
        <w:t>June 1, 2026</w:t>
      </w:r>
    </w:p>
    <w:p w14:paraId="4FF3E7B5" w14:textId="77777777" w:rsidR="006D311D" w:rsidRDefault="66F56AE8" w:rsidP="66F56AE8">
      <w:pPr>
        <w:rPr>
          <w:rFonts w:ascii="Aptos" w:eastAsia="Aptos" w:hAnsi="Aptos" w:cs="Aptos"/>
          <w:b/>
          <w:bCs/>
        </w:rPr>
      </w:pPr>
      <w:r w:rsidRPr="66F56AE8">
        <w:rPr>
          <w:rFonts w:ascii="Aptos" w:eastAsia="Aptos" w:hAnsi="Aptos" w:cs="Aptos"/>
          <w:b/>
          <w:bCs/>
        </w:rPr>
        <w:t>Definition of the Input File</w:t>
      </w:r>
    </w:p>
    <w:p w14:paraId="6E79C4B8" w14:textId="04C6347D" w:rsidR="006D311D" w:rsidRDefault="66F56AE8" w:rsidP="66F56AE8">
      <w:pPr>
        <w:ind w:firstLine="720"/>
        <w:rPr>
          <w:rFonts w:ascii="Aptos" w:eastAsia="Aptos" w:hAnsi="Aptos" w:cs="Aptos"/>
        </w:rPr>
      </w:pPr>
      <w:r w:rsidRPr="66F56AE8">
        <w:rPr>
          <w:rFonts w:ascii="Aptos" w:eastAsia="Aptos" w:hAnsi="Aptos" w:cs="Aptos"/>
        </w:rPr>
        <w:t xml:space="preserve">VisionEval </w:t>
      </w:r>
      <w:r w:rsidR="08092331" w:rsidRPr="66F56AE8">
        <w:rPr>
          <w:rFonts w:ascii="Aptos" w:eastAsia="Aptos" w:hAnsi="Aptos" w:cs="Aptos"/>
        </w:rPr>
        <w:t>(</w:t>
      </w:r>
      <w:hyperlink r:id="rId8" w:anchor="verspm-azone_hh_pop_by_age.csv">
        <w:r w:rsidR="08092331" w:rsidRPr="66F56AE8">
          <w:rPr>
            <w:rStyle w:val="Hyperlink"/>
            <w:rFonts w:ascii="Aptos" w:eastAsia="Aptos" w:hAnsi="Aptos" w:cs="Aptos"/>
          </w:rPr>
          <w:t>https://visioneval.github.io/docs/model-inputs.html#verspm-azone_hh_pop_by_age.csv</w:t>
        </w:r>
      </w:hyperlink>
      <w:r w:rsidR="08092331" w:rsidRPr="66F56AE8">
        <w:rPr>
          <w:rFonts w:ascii="Aptos" w:eastAsia="Aptos" w:hAnsi="Aptos" w:cs="Aptos"/>
        </w:rPr>
        <w:t>)</w:t>
      </w:r>
      <w:r w:rsidR="00BC28FD">
        <w:rPr>
          <w:rFonts w:ascii="Aptos" w:eastAsia="Aptos" w:hAnsi="Aptos" w:cs="Aptos"/>
        </w:rPr>
        <w:t xml:space="preserve"> </w:t>
      </w:r>
      <w:r w:rsidRPr="66F56AE8">
        <w:rPr>
          <w:rFonts w:ascii="Aptos" w:eastAsia="Aptos" w:hAnsi="Aptos" w:cs="Aptos"/>
        </w:rPr>
        <w:t>defines azone_hh_pop_by_age.csv as containing the total household population in each azone, divided into six age categories</w:t>
      </w:r>
      <w:proofErr w:type="gramStart"/>
      <w:r w:rsidRPr="66F56AE8">
        <w:rPr>
          <w:rFonts w:ascii="Aptos" w:eastAsia="Aptos" w:hAnsi="Aptos" w:cs="Aptos"/>
        </w:rPr>
        <w:t>: 0–14, 15–19, 20–29, 30–54, 55–64, and 65 Plus.</w:t>
      </w:r>
      <w:proofErr w:type="gramEnd"/>
      <w:r w:rsidRPr="66F56AE8">
        <w:rPr>
          <w:rFonts w:ascii="Aptos" w:eastAsia="Aptos" w:hAnsi="Aptos" w:cs="Aptos"/>
        </w:rPr>
        <w:t xml:space="preserve"> These age distributions are used in multiple modules, including household lifecycle assignment and travel demand modeling.</w:t>
      </w:r>
      <w:r w:rsidR="00EE0F9D">
        <w:rPr>
          <w:rFonts w:ascii="Aptos" w:eastAsia="Aptos" w:hAnsi="Aptos" w:cs="Aptos"/>
        </w:rPr>
        <w:t xml:space="preserve">  For example, the data below </w:t>
      </w:r>
      <w:r w:rsidR="00974CD3">
        <w:rPr>
          <w:rFonts w:ascii="Aptos" w:eastAsia="Aptos" w:hAnsi="Aptos" w:cs="Aptos"/>
        </w:rPr>
        <w:t xml:space="preserve">suggest </w:t>
      </w:r>
      <w:r w:rsidR="00EE0F9D">
        <w:rPr>
          <w:rFonts w:ascii="Aptos" w:eastAsia="Aptos" w:hAnsi="Aptos" w:cs="Aptos"/>
        </w:rPr>
        <w:t>that Albemarle has 18,</w:t>
      </w:r>
      <w:r w:rsidR="00974CD3">
        <w:rPr>
          <w:rFonts w:ascii="Aptos" w:eastAsia="Aptos" w:hAnsi="Aptos" w:cs="Aptos"/>
        </w:rPr>
        <w:t>444</w:t>
      </w:r>
      <w:r w:rsidR="00EE0F9D">
        <w:rPr>
          <w:rFonts w:ascii="Aptos" w:eastAsia="Aptos" w:hAnsi="Aptos" w:cs="Aptos"/>
        </w:rPr>
        <w:t xml:space="preserve"> people (age 0 to 14) living in households</w:t>
      </w:r>
      <w:r w:rsidR="00974CD3">
        <w:rPr>
          <w:rFonts w:ascii="Aptos" w:eastAsia="Aptos" w:hAnsi="Aptos" w:cs="Aptos"/>
        </w:rPr>
        <w:t xml:space="preserve"> in 2024, with that value expected to increase to 22,439 in year 2045.</w:t>
      </w:r>
    </w:p>
    <w:p w14:paraId="6FC55956" w14:textId="65ED0E2C" w:rsidR="12FFF8B9" w:rsidRDefault="00974CD3" w:rsidP="66F56AE8">
      <w:r w:rsidRPr="00974CD3">
        <w:drawing>
          <wp:inline distT="0" distB="0" distL="0" distR="0" wp14:anchorId="52459BE7" wp14:editId="537AD8AA">
            <wp:extent cx="5410955" cy="1409897"/>
            <wp:effectExtent l="0" t="0" r="0" b="0"/>
            <wp:docPr id="17241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43429" name=""/>
                    <pic:cNvPicPr/>
                  </pic:nvPicPr>
                  <pic:blipFill>
                    <a:blip r:embed="rId9"/>
                    <a:stretch>
                      <a:fillRect/>
                    </a:stretch>
                  </pic:blipFill>
                  <pic:spPr>
                    <a:xfrm>
                      <a:off x="0" y="0"/>
                      <a:ext cx="5410955" cy="1409897"/>
                    </a:xfrm>
                    <a:prstGeom prst="rect">
                      <a:avLst/>
                    </a:prstGeom>
                  </pic:spPr>
                </pic:pic>
              </a:graphicData>
            </a:graphic>
          </wp:inline>
        </w:drawing>
      </w:r>
    </w:p>
    <w:p w14:paraId="3850B054" w14:textId="77777777" w:rsidR="006D311D" w:rsidRDefault="66F56AE8" w:rsidP="66F56AE8">
      <w:pPr>
        <w:rPr>
          <w:rFonts w:ascii="Aptos" w:eastAsia="Aptos" w:hAnsi="Aptos" w:cs="Aptos"/>
          <w:b/>
          <w:bCs/>
        </w:rPr>
      </w:pPr>
      <w:r w:rsidRPr="66F56AE8">
        <w:rPr>
          <w:rFonts w:ascii="Aptos" w:eastAsia="Aptos" w:hAnsi="Aptos" w:cs="Aptos"/>
          <w:b/>
          <w:bCs/>
        </w:rPr>
        <w:t>Possible Scenario</w:t>
      </w:r>
    </w:p>
    <w:p w14:paraId="5A7AB039" w14:textId="77777777" w:rsidR="00CA23E7" w:rsidRDefault="66F56AE8" w:rsidP="66F56AE8">
      <w:pPr>
        <w:ind w:firstLine="720"/>
        <w:rPr>
          <w:rFonts w:ascii="Aptos" w:eastAsia="Aptos" w:hAnsi="Aptos" w:cs="Aptos"/>
        </w:rPr>
      </w:pPr>
      <w:r w:rsidRPr="66F56AE8">
        <w:rPr>
          <w:rFonts w:ascii="Aptos" w:eastAsia="Aptos" w:hAnsi="Aptos" w:cs="Aptos"/>
        </w:rPr>
        <w:t>One possible scenario in VisionEval based on this input file is to examine how changes in population age distribution influence travel behavior and transportation demand. Different age groups exhibit distinct travel patterns, vehicle ownership tendencies, and mode preferences.</w:t>
      </w:r>
      <w:r w:rsidR="6B26173B" w:rsidRPr="66F56AE8">
        <w:rPr>
          <w:rFonts w:ascii="Aptos" w:eastAsia="Aptos" w:hAnsi="Aptos" w:cs="Aptos"/>
        </w:rPr>
        <w:t xml:space="preserve"> Y</w:t>
      </w:r>
      <w:r w:rsidRPr="66F56AE8">
        <w:rPr>
          <w:rFonts w:ascii="Aptos" w:eastAsia="Aptos" w:hAnsi="Aptos" w:cs="Aptos"/>
        </w:rPr>
        <w:t xml:space="preserve">ounger populations may rely more on transit, walking, or shared mobility, while middle-aged populations may have higher vehicle ownership and commute-related travel. Older populations may travel less frequently but may have specific accessibility needs. </w:t>
      </w:r>
      <w:r w:rsidR="00CA23E7">
        <w:rPr>
          <w:rFonts w:ascii="Aptos" w:eastAsia="Aptos" w:hAnsi="Aptos" w:cs="Aptos"/>
        </w:rPr>
        <w:t xml:space="preserve"> </w:t>
      </w:r>
    </w:p>
    <w:p w14:paraId="2AD1BF8F" w14:textId="585845AD" w:rsidR="006D311D" w:rsidRDefault="00CA23E7" w:rsidP="00CA23E7">
      <w:pPr>
        <w:ind w:firstLine="720"/>
        <w:rPr>
          <w:rFonts w:ascii="Aptos" w:eastAsia="Aptos" w:hAnsi="Aptos" w:cs="Aptos"/>
        </w:rPr>
      </w:pPr>
      <w:r>
        <w:rPr>
          <w:rFonts w:ascii="Aptos" w:eastAsia="Aptos" w:hAnsi="Aptos" w:cs="Aptos"/>
        </w:rPr>
        <w:t xml:space="preserve">Another scenario is to simply look at growth—as transportation is a derived demand, more population could lead to more travel.  When </w:t>
      </w:r>
      <w:proofErr w:type="gramStart"/>
      <w:r>
        <w:rPr>
          <w:rFonts w:ascii="Aptos" w:eastAsia="Aptos" w:hAnsi="Aptos" w:cs="Aptos"/>
        </w:rPr>
        <w:t>looking</w:t>
      </w:r>
      <w:proofErr w:type="gramEnd"/>
      <w:r>
        <w:rPr>
          <w:rFonts w:ascii="Aptos" w:eastAsia="Aptos" w:hAnsi="Aptos" w:cs="Aptos"/>
        </w:rPr>
        <w:t xml:space="preserve"> growth (or decline), one should consider four files:  </w:t>
      </w:r>
      <w:r w:rsidRPr="00CA23E7">
        <w:rPr>
          <w:rFonts w:ascii="Aptos" w:eastAsia="Aptos" w:hAnsi="Aptos" w:cs="Aptos"/>
        </w:rPr>
        <w:t>azone_hh_pop_by_age</w:t>
      </w:r>
      <w:r>
        <w:rPr>
          <w:rFonts w:ascii="Aptos" w:eastAsia="Aptos" w:hAnsi="Aptos" w:cs="Aptos"/>
        </w:rPr>
        <w:t xml:space="preserve"> (this one), </w:t>
      </w:r>
      <w:r w:rsidRPr="00CA23E7">
        <w:rPr>
          <w:rFonts w:ascii="Aptos" w:eastAsia="Aptos" w:hAnsi="Aptos" w:cs="Aptos"/>
        </w:rPr>
        <w:t>azone_gq_pop_by_age</w:t>
      </w:r>
      <w:r>
        <w:rPr>
          <w:rFonts w:ascii="Aptos" w:eastAsia="Aptos" w:hAnsi="Aptos" w:cs="Aptos"/>
        </w:rPr>
        <w:t xml:space="preserve">, </w:t>
      </w:r>
      <w:r w:rsidRPr="00CA23E7">
        <w:rPr>
          <w:rFonts w:ascii="Aptos" w:eastAsia="Aptos" w:hAnsi="Aptos" w:cs="Aptos"/>
        </w:rPr>
        <w:t>bzone_dwelling_units</w:t>
      </w:r>
      <w:r>
        <w:rPr>
          <w:rFonts w:ascii="Aptos" w:eastAsia="Aptos" w:hAnsi="Aptos" w:cs="Aptos"/>
        </w:rPr>
        <w:t xml:space="preserve">, and </w:t>
      </w:r>
      <w:r w:rsidRPr="00CA23E7">
        <w:rPr>
          <w:rFonts w:ascii="Aptos" w:eastAsia="Aptos" w:hAnsi="Aptos" w:cs="Aptos"/>
        </w:rPr>
        <w:t>bzone_employment</w:t>
      </w:r>
      <w:r>
        <w:rPr>
          <w:rFonts w:ascii="Aptos" w:eastAsia="Aptos" w:hAnsi="Aptos" w:cs="Aptos"/>
        </w:rPr>
        <w:t>.</w:t>
      </w:r>
    </w:p>
    <w:p w14:paraId="2A7B6705" w14:textId="77777777" w:rsidR="006D311D" w:rsidRDefault="66F56AE8" w:rsidP="66F56AE8">
      <w:pPr>
        <w:rPr>
          <w:rFonts w:ascii="Aptos" w:eastAsia="Aptos" w:hAnsi="Aptos" w:cs="Aptos"/>
          <w:b/>
          <w:bCs/>
        </w:rPr>
      </w:pPr>
      <w:r w:rsidRPr="66F56AE8">
        <w:rPr>
          <w:rFonts w:ascii="Aptos" w:eastAsia="Aptos" w:hAnsi="Aptos" w:cs="Aptos"/>
          <w:b/>
          <w:bCs/>
        </w:rPr>
        <w:t>Method Used for Virginia</w:t>
      </w:r>
    </w:p>
    <w:p w14:paraId="6C0E1DE5" w14:textId="77777777" w:rsidR="006D311D" w:rsidRDefault="66F56AE8" w:rsidP="66F56AE8">
      <w:pPr>
        <w:rPr>
          <w:rFonts w:ascii="Aptos" w:eastAsia="Aptos" w:hAnsi="Aptos" w:cs="Aptos"/>
          <w:b/>
          <w:bCs/>
          <w:i/>
          <w:iCs/>
        </w:rPr>
      </w:pPr>
      <w:r w:rsidRPr="66F56AE8">
        <w:rPr>
          <w:rFonts w:ascii="Aptos" w:eastAsia="Aptos" w:hAnsi="Aptos" w:cs="Aptos"/>
          <w:i/>
          <w:iCs/>
        </w:rPr>
        <w:t>Overview</w:t>
      </w:r>
    </w:p>
    <w:p w14:paraId="342D0434" w14:textId="77777777" w:rsidR="006D311D" w:rsidRDefault="66F56AE8" w:rsidP="66F56AE8">
      <w:pPr>
        <w:ind w:firstLine="720"/>
        <w:rPr>
          <w:rFonts w:ascii="Aptos" w:eastAsia="Aptos" w:hAnsi="Aptos" w:cs="Aptos"/>
        </w:rPr>
      </w:pPr>
      <w:r w:rsidRPr="66F56AE8">
        <w:rPr>
          <w:rFonts w:ascii="Aptos" w:eastAsia="Aptos" w:hAnsi="Aptos" w:cs="Aptos"/>
        </w:rPr>
        <w:t>The file was developed using Census data for base year population counts and Woods &amp; Poole population forecasts for future projections. The total population in each city and county was grouped into six age categories consistent with VisionEval requirements.</w:t>
      </w:r>
    </w:p>
    <w:p w14:paraId="4D448C2B" w14:textId="7A97FB20" w:rsidR="006D311D" w:rsidRDefault="00B3008A" w:rsidP="66F56AE8">
      <w:pPr>
        <w:rPr>
          <w:rFonts w:ascii="Aptos" w:eastAsia="Aptos" w:hAnsi="Aptos" w:cs="Aptos"/>
          <w:i/>
          <w:iCs/>
        </w:rPr>
      </w:pPr>
      <w:r>
        <w:rPr>
          <w:rFonts w:ascii="Aptos" w:eastAsia="Aptos" w:hAnsi="Aptos" w:cs="Aptos"/>
          <w:i/>
          <w:iCs/>
        </w:rPr>
        <w:t>Base Year</w:t>
      </w:r>
    </w:p>
    <w:p w14:paraId="3CD36082" w14:textId="539CBDD2" w:rsidR="006D311D" w:rsidRDefault="66F56AE8" w:rsidP="66F56AE8">
      <w:pPr>
        <w:ind w:firstLine="720"/>
        <w:rPr>
          <w:rFonts w:ascii="Aptos" w:eastAsia="Aptos" w:hAnsi="Aptos" w:cs="Aptos"/>
        </w:rPr>
      </w:pPr>
      <w:r w:rsidRPr="66F56AE8">
        <w:rPr>
          <w:rFonts w:ascii="Aptos" w:eastAsia="Aptos" w:hAnsi="Aptos" w:cs="Aptos"/>
        </w:rPr>
        <w:lastRenderedPageBreak/>
        <w:t>Base year (202</w:t>
      </w:r>
      <w:r w:rsidR="00B3008A">
        <w:rPr>
          <w:rFonts w:ascii="Aptos" w:eastAsia="Aptos" w:hAnsi="Aptos" w:cs="Aptos"/>
        </w:rPr>
        <w:t>4</w:t>
      </w:r>
      <w:r w:rsidRPr="66F56AE8">
        <w:rPr>
          <w:rFonts w:ascii="Aptos" w:eastAsia="Aptos" w:hAnsi="Aptos" w:cs="Aptos"/>
        </w:rPr>
        <w:t xml:space="preserve">) population data were obtained from the </w:t>
      </w:r>
      <w:hyperlink r:id="rId10">
        <w:r w:rsidRPr="66F56AE8">
          <w:rPr>
            <w:rStyle w:val="Hyperlink"/>
            <w:rFonts w:ascii="Aptos" w:eastAsia="Aptos" w:hAnsi="Aptos" w:cs="Aptos"/>
          </w:rPr>
          <w:t>U.S. Census Bureau Table S0101: Age and Sex</w:t>
        </w:r>
      </w:hyperlink>
      <w:r w:rsidRPr="66F56AE8">
        <w:rPr>
          <w:rFonts w:ascii="Aptos" w:eastAsia="Aptos" w:hAnsi="Aptos" w:cs="Aptos"/>
        </w:rPr>
        <w:t>. The census table includes detailed age categories, which were aggregated into the six VisionEval age groups. For example, multiple Census age brackets were summed to form the 0–14, 15–19, 20–29, 30–54, 55–64, and 65 Plus categories.</w:t>
      </w:r>
    </w:p>
    <w:p w14:paraId="436A7344" w14:textId="7E55176E" w:rsidR="006D311D" w:rsidRDefault="66F56AE8" w:rsidP="66F56AE8">
      <w:pPr>
        <w:rPr>
          <w:rFonts w:ascii="Aptos" w:eastAsia="Aptos" w:hAnsi="Aptos" w:cs="Aptos"/>
          <w:i/>
          <w:iCs/>
        </w:rPr>
      </w:pPr>
      <w:r w:rsidRPr="66F56AE8">
        <w:rPr>
          <w:rFonts w:ascii="Aptos" w:eastAsia="Aptos" w:hAnsi="Aptos" w:cs="Aptos"/>
          <w:i/>
          <w:iCs/>
        </w:rPr>
        <w:t xml:space="preserve">Forecast </w:t>
      </w:r>
      <w:r w:rsidR="00B3008A">
        <w:rPr>
          <w:rFonts w:ascii="Aptos" w:eastAsia="Aptos" w:hAnsi="Aptos" w:cs="Aptos"/>
          <w:i/>
          <w:iCs/>
        </w:rPr>
        <w:t>Year</w:t>
      </w:r>
    </w:p>
    <w:p w14:paraId="64E363EB" w14:textId="73A2A0DC" w:rsidR="00A8606E" w:rsidRDefault="00AE694B" w:rsidP="005E2994">
      <w:pPr>
        <w:spacing w:after="0" w:line="240" w:lineRule="auto"/>
        <w:ind w:firstLine="720"/>
        <w:rPr>
          <w:rFonts w:ascii="Calibri" w:hAnsi="Calibri" w:cs="Calibri"/>
        </w:rPr>
      </w:pPr>
      <w:r>
        <w:rPr>
          <w:rFonts w:ascii="Calibri" w:hAnsi="Calibri" w:cs="Calibri"/>
        </w:rPr>
        <w:t>The</w:t>
      </w:r>
      <w:r w:rsidR="005E2994" w:rsidRPr="0009459B">
        <w:rPr>
          <w:rFonts w:ascii="Calibri" w:hAnsi="Calibri" w:cs="Calibri"/>
        </w:rPr>
        <w:t xml:space="preserve"> 2045 </w:t>
      </w:r>
      <w:r w:rsidR="00A8606E">
        <w:rPr>
          <w:rFonts w:ascii="Calibri" w:hAnsi="Calibri" w:cs="Calibri"/>
        </w:rPr>
        <w:t>forecasts were obtained</w:t>
      </w:r>
      <w:r w:rsidR="005E2994" w:rsidRPr="0009459B">
        <w:rPr>
          <w:rFonts w:ascii="Calibri" w:hAnsi="Calibri" w:cs="Calibri"/>
        </w:rPr>
        <w:t xml:space="preserve"> by multiplying the 2024 </w:t>
      </w:r>
      <w:r w:rsidR="00A8606E">
        <w:rPr>
          <w:rFonts w:ascii="Calibri" w:hAnsi="Calibri" w:cs="Calibri"/>
        </w:rPr>
        <w:t xml:space="preserve">values </w:t>
      </w:r>
      <w:r w:rsidR="005E2994" w:rsidRPr="0009459B">
        <w:rPr>
          <w:rFonts w:ascii="Calibri" w:hAnsi="Calibri" w:cs="Calibri"/>
        </w:rPr>
        <w:t xml:space="preserve">by the ratio of 2024 and 2045 </w:t>
      </w:r>
      <w:r w:rsidR="00A8606E">
        <w:rPr>
          <w:rFonts w:ascii="Calibri" w:hAnsi="Calibri" w:cs="Calibri"/>
        </w:rPr>
        <w:t xml:space="preserve">age </w:t>
      </w:r>
      <w:proofErr w:type="gramStart"/>
      <w:r w:rsidR="00A8606E">
        <w:rPr>
          <w:rFonts w:ascii="Calibri" w:hAnsi="Calibri" w:cs="Calibri"/>
        </w:rPr>
        <w:t>group populations</w:t>
      </w:r>
      <w:proofErr w:type="gramEnd"/>
      <w:r w:rsidR="00A8606E">
        <w:rPr>
          <w:rFonts w:ascii="Calibri" w:hAnsi="Calibri" w:cs="Calibri"/>
        </w:rPr>
        <w:t xml:space="preserve"> </w:t>
      </w:r>
      <w:r w:rsidR="005E2994" w:rsidRPr="0009459B">
        <w:rPr>
          <w:rFonts w:ascii="Calibri" w:hAnsi="Calibri" w:cs="Calibri"/>
        </w:rPr>
        <w:t>available from Woods &amp; Poole (2024).</w:t>
      </w:r>
      <w:r>
        <w:rPr>
          <w:rFonts w:ascii="Calibri" w:hAnsi="Calibri" w:cs="Calibri"/>
        </w:rPr>
        <w:t xml:space="preserve">  </w:t>
      </w:r>
      <w:r w:rsidR="005E2994" w:rsidRPr="0009459B">
        <w:rPr>
          <w:rFonts w:ascii="Calibri" w:hAnsi="Calibri" w:cs="Calibri"/>
        </w:rPr>
        <w:t xml:space="preserve">For example, Woods &amp; Poole (2024) </w:t>
      </w:r>
      <w:r w:rsidR="00A8606E">
        <w:rPr>
          <w:rFonts w:ascii="Calibri" w:hAnsi="Calibri" w:cs="Calibri"/>
        </w:rPr>
        <w:t xml:space="preserve">shows that Accomack County’s population age 0 to 14 for year 2024 is 5,246 and this is forecast to drop slightly by year 2045 to 5,058.  The Census table showed a population of </w:t>
      </w:r>
      <w:r>
        <w:rPr>
          <w:rFonts w:ascii="Calibri" w:hAnsi="Calibri" w:cs="Calibri"/>
        </w:rPr>
        <w:t xml:space="preserve">5,556 for year 2024.  Thus, the 2045 forecast for </w:t>
      </w:r>
      <w:proofErr w:type="gramStart"/>
      <w:r>
        <w:rPr>
          <w:rFonts w:ascii="Calibri" w:hAnsi="Calibri" w:cs="Calibri"/>
        </w:rPr>
        <w:t>persons</w:t>
      </w:r>
      <w:proofErr w:type="gramEnd"/>
      <w:r>
        <w:rPr>
          <w:rFonts w:ascii="Calibri" w:hAnsi="Calibri" w:cs="Calibri"/>
        </w:rPr>
        <w:t xml:space="preserve"> </w:t>
      </w:r>
      <w:proofErr w:type="gramStart"/>
      <w:r>
        <w:rPr>
          <w:rFonts w:ascii="Calibri" w:hAnsi="Calibri" w:cs="Calibri"/>
        </w:rPr>
        <w:t>age</w:t>
      </w:r>
      <w:proofErr w:type="gramEnd"/>
      <w:r>
        <w:rPr>
          <w:rFonts w:ascii="Calibri" w:hAnsi="Calibri" w:cs="Calibri"/>
        </w:rPr>
        <w:t xml:space="preserve"> 0 to 14 is 5,357 when one uses the ratio of Woods &amp; Poole 2024 and 2045 data sets to achieve a 2045 forecast.</w:t>
      </w:r>
    </w:p>
    <w:p w14:paraId="74C0F8EF" w14:textId="3E38F3C5" w:rsidR="005E2994" w:rsidRPr="0009459B" w:rsidRDefault="005E2994" w:rsidP="005E2994">
      <w:pPr>
        <w:spacing w:after="0" w:line="240" w:lineRule="auto"/>
        <w:ind w:firstLine="720"/>
        <w:rPr>
          <w:rFonts w:ascii="Calibri" w:hAnsi="Calibri" w:cs="Calibri"/>
        </w:rPr>
      </w:pPr>
    </w:p>
    <w:p w14:paraId="64BB2B40" w14:textId="00EA12FD" w:rsidR="005E2994" w:rsidRPr="0009459B" w:rsidRDefault="006946F0" w:rsidP="005E2994">
      <w:pPr>
        <w:spacing w:after="0" w:line="240" w:lineRule="auto"/>
        <w:rPr>
          <w:rFonts w:ascii="Calibri" w:hAnsi="Calibri" w:cs="Calibri"/>
          <w:iCs/>
          <w:sz w:val="20"/>
          <w:szCs w:val="20"/>
        </w:rPr>
      </w:pPr>
      <m:oMathPara>
        <m:oMath>
          <m:f>
            <m:fPr>
              <m:ctrlPr>
                <w:rPr>
                  <w:rFonts w:ascii="Cambria Math" w:hAnsi="Cambria Math" w:cs="Calibri"/>
                  <w:iCs/>
                  <w:sz w:val="20"/>
                  <w:szCs w:val="20"/>
                </w:rPr>
              </m:ctrlPr>
            </m:fPr>
            <m:num>
              <m:r>
                <m:rPr>
                  <m:sty m:val="p"/>
                </m:rPr>
                <w:rPr>
                  <w:rFonts w:ascii="Cambria Math" w:hAnsi="Cambria Math" w:cs="Calibri"/>
                  <w:sz w:val="20"/>
                  <w:szCs w:val="20"/>
                </w:rPr>
                <m:t>2045 Woods &amp; Poole population</m:t>
              </m:r>
            </m:num>
            <m:den>
              <m:r>
                <m:rPr>
                  <m:sty m:val="p"/>
                </m:rPr>
                <w:rPr>
                  <w:rFonts w:ascii="Cambria Math" w:hAnsi="Cambria Math" w:cs="Calibri"/>
                  <w:sz w:val="20"/>
                  <w:szCs w:val="20"/>
                </w:rPr>
                <m:t>2024 Woods &amp; Poole population</m:t>
              </m:r>
            </m:den>
          </m:f>
          <m:d>
            <m:dPr>
              <m:ctrlPr>
                <w:rPr>
                  <w:rFonts w:ascii="Cambria Math" w:hAnsi="Cambria Math" w:cs="Calibri"/>
                  <w:iCs/>
                  <w:sz w:val="20"/>
                  <w:szCs w:val="20"/>
                </w:rPr>
              </m:ctrlPr>
            </m:dPr>
            <m:e>
              <m:r>
                <m:rPr>
                  <m:sty m:val="p"/>
                </m:rPr>
                <w:rPr>
                  <w:rFonts w:ascii="Cambria Math" w:hAnsi="Cambria Math" w:cs="Calibri"/>
                  <w:sz w:val="20"/>
                  <w:szCs w:val="20"/>
                </w:rPr>
                <m:t>2024 Census population</m:t>
              </m:r>
            </m:e>
          </m:d>
          <m:r>
            <m:rPr>
              <m:sty m:val="p"/>
            </m:rPr>
            <w:rPr>
              <w:rFonts w:ascii="Cambria Math" w:hAnsi="Cambria Math" w:cs="Calibri"/>
              <w:sz w:val="20"/>
              <w:szCs w:val="20"/>
            </w:rPr>
            <m:t>=2045 value of Census=population</m:t>
          </m:r>
        </m:oMath>
      </m:oMathPara>
    </w:p>
    <w:p w14:paraId="2F4E1812" w14:textId="77777777" w:rsidR="00B3008A" w:rsidRDefault="00B3008A" w:rsidP="00B3008A">
      <w:pPr>
        <w:rPr>
          <w:rFonts w:ascii="Aptos" w:eastAsia="Aptos" w:hAnsi="Aptos" w:cs="Aptos"/>
        </w:rPr>
      </w:pPr>
    </w:p>
    <w:p w14:paraId="6EE05975" w14:textId="79F092E6" w:rsidR="00B3008A" w:rsidRPr="00B3008A" w:rsidRDefault="00B3008A" w:rsidP="00B3008A">
      <w:pPr>
        <w:rPr>
          <w:rFonts w:ascii="Aptos" w:eastAsia="Aptos" w:hAnsi="Aptos" w:cs="Aptos"/>
          <w:i/>
          <w:iCs/>
        </w:rPr>
      </w:pPr>
      <w:r w:rsidRPr="00B3008A">
        <w:rPr>
          <w:rFonts w:ascii="Aptos" w:eastAsia="Aptos" w:hAnsi="Aptos" w:cs="Aptos"/>
          <w:i/>
          <w:iCs/>
        </w:rPr>
        <w:t>Notes</w:t>
      </w:r>
    </w:p>
    <w:p w14:paraId="2170CFD3" w14:textId="22D60E3B" w:rsidR="00B3008A" w:rsidRDefault="00B3008A" w:rsidP="00B3008A">
      <w:pPr>
        <w:pStyle w:val="ListParagraph"/>
        <w:numPr>
          <w:ilvl w:val="0"/>
          <w:numId w:val="10"/>
        </w:numPr>
        <w:rPr>
          <w:rFonts w:ascii="Aptos" w:eastAsia="Aptos" w:hAnsi="Aptos" w:cs="Aptos"/>
        </w:rPr>
      </w:pPr>
      <w:r w:rsidRPr="00B3008A">
        <w:rPr>
          <w:rFonts w:ascii="Aptos" w:eastAsia="Aptos" w:hAnsi="Aptos" w:cs="Aptos"/>
        </w:rPr>
        <w:t>In cases where Woods &amp; Poole grouped multiple cities and counties together, the combined growth ratio was applied to each individual locality’s 2023 population values.</w:t>
      </w:r>
      <w:r>
        <w:rPr>
          <w:rFonts w:ascii="Aptos" w:eastAsia="Aptos" w:hAnsi="Aptos" w:cs="Aptos"/>
        </w:rPr>
        <w:t xml:space="preserve">  For example, Woods &amp; Poole groups Fairfax County, Fairfax City, and Falls Church City into a single unit.  There are 133 independent cities and counties in Virginia, and Woods &amp; Poole shows these as 105 areas.</w:t>
      </w:r>
    </w:p>
    <w:p w14:paraId="3A2E27F0" w14:textId="77777777" w:rsidR="003711CF" w:rsidRDefault="003711CF" w:rsidP="003711CF">
      <w:pPr>
        <w:pStyle w:val="ListParagraph"/>
        <w:rPr>
          <w:rFonts w:ascii="Aptos" w:eastAsia="Aptos" w:hAnsi="Aptos" w:cs="Aptos"/>
        </w:rPr>
      </w:pPr>
    </w:p>
    <w:p w14:paraId="0A50BE57" w14:textId="45BFBE7E" w:rsidR="003711CF" w:rsidRDefault="00B3008A" w:rsidP="003711CF">
      <w:pPr>
        <w:pStyle w:val="ListParagraph"/>
        <w:numPr>
          <w:ilvl w:val="0"/>
          <w:numId w:val="10"/>
        </w:numPr>
        <w:rPr>
          <w:rFonts w:ascii="Aptos" w:eastAsia="Aptos" w:hAnsi="Aptos" w:cs="Aptos"/>
        </w:rPr>
      </w:pPr>
      <w:r>
        <w:rPr>
          <w:rFonts w:ascii="Aptos" w:eastAsia="Aptos" w:hAnsi="Aptos" w:cs="Aptos"/>
        </w:rPr>
        <w:t xml:space="preserve">At the statewide level, this file may slightly overestimate the number of people in households, since Table S0101 appears to include total </w:t>
      </w:r>
      <w:proofErr w:type="gramStart"/>
      <w:r>
        <w:rPr>
          <w:rFonts w:ascii="Aptos" w:eastAsia="Aptos" w:hAnsi="Aptos" w:cs="Aptos"/>
        </w:rPr>
        <w:t>population—</w:t>
      </w:r>
      <w:proofErr w:type="gramEnd"/>
      <w:r>
        <w:rPr>
          <w:rFonts w:ascii="Aptos" w:eastAsia="Aptos" w:hAnsi="Aptos" w:cs="Aptos"/>
        </w:rPr>
        <w:t xml:space="preserve">that is, persons </w:t>
      </w:r>
      <w:r w:rsidR="003711CF">
        <w:rPr>
          <w:rFonts w:ascii="Aptos" w:eastAsia="Aptos" w:hAnsi="Aptos" w:cs="Aptos"/>
        </w:rPr>
        <w:t xml:space="preserve">who are in non-institutionalized group quarters.  For most (122) of </w:t>
      </w:r>
      <w:r w:rsidR="003711CF" w:rsidRPr="003711CF">
        <w:rPr>
          <w:rFonts w:ascii="Aptos" w:eastAsia="Aptos" w:hAnsi="Aptos" w:cs="Aptos"/>
        </w:rPr>
        <w:t>Virginia</w:t>
      </w:r>
      <w:r w:rsidR="003711CF">
        <w:rPr>
          <w:rFonts w:ascii="Aptos" w:eastAsia="Aptos" w:hAnsi="Aptos" w:cs="Aptos"/>
        </w:rPr>
        <w:t>’s 133 cities and counties, the group quarters population is estimated to be less than 5% of the total population.  For the 11 cities and counties where this is not the case, users have the option of subtracting the group quarters population found in a different file (</w:t>
      </w:r>
      <w:r w:rsidR="003711CF" w:rsidRPr="003711CF">
        <w:rPr>
          <w:rFonts w:ascii="Aptos" w:eastAsia="Aptos" w:hAnsi="Aptos" w:cs="Aptos"/>
        </w:rPr>
        <w:t>05_azone_gq_pop_by_age</w:t>
      </w:r>
      <w:r w:rsidR="003711CF">
        <w:rPr>
          <w:rFonts w:ascii="Aptos" w:eastAsia="Aptos" w:hAnsi="Aptos" w:cs="Aptos"/>
        </w:rPr>
        <w:t>) from the values in this file (</w:t>
      </w:r>
      <w:r w:rsidR="003711CF" w:rsidRPr="003711CF">
        <w:rPr>
          <w:rFonts w:ascii="Aptos" w:eastAsia="Aptos" w:hAnsi="Aptos" w:cs="Aptos"/>
        </w:rPr>
        <w:t>azone_hh_pop_by_age.csv</w:t>
      </w:r>
      <w:r w:rsidR="003711CF">
        <w:rPr>
          <w:rFonts w:ascii="Aptos" w:eastAsia="Aptos" w:hAnsi="Aptos" w:cs="Aptos"/>
        </w:rPr>
        <w:t>).  However, note that the group quarters file is itself an estimate (</w:t>
      </w:r>
      <w:r w:rsidR="002A11AA">
        <w:rPr>
          <w:rFonts w:ascii="Aptos" w:eastAsia="Aptos" w:hAnsi="Aptos" w:cs="Aptos"/>
        </w:rPr>
        <w:t>extrapolated</w:t>
      </w:r>
      <w:r w:rsidR="003711CF">
        <w:rPr>
          <w:rFonts w:ascii="Aptos" w:eastAsia="Aptos" w:hAnsi="Aptos" w:cs="Aptos"/>
        </w:rPr>
        <w:t xml:space="preserve"> from the 2020 decennial census</w:t>
      </w:r>
      <w:r w:rsidR="006262FB">
        <w:rPr>
          <w:rFonts w:ascii="Aptos" w:eastAsia="Aptos" w:hAnsi="Aptos" w:cs="Aptos"/>
        </w:rPr>
        <w:t>), so such adjustments may not be productive unless there is a large percentage shown below and a scenario requires such a differentiation.</w:t>
      </w:r>
    </w:p>
    <w:p w14:paraId="149C5C24" w14:textId="77777777" w:rsidR="006262FB" w:rsidRPr="006262FB" w:rsidRDefault="006262FB" w:rsidP="006262FB">
      <w:pPr>
        <w:pStyle w:val="ListParagraph"/>
        <w:rPr>
          <w:rFonts w:ascii="Aptos" w:eastAsia="Aptos" w:hAnsi="Aptos" w:cs="Aptos"/>
        </w:rPr>
      </w:pPr>
    </w:p>
    <w:p w14:paraId="39DAA944" w14:textId="3EFD8431" w:rsidR="006262FB" w:rsidRPr="003711CF" w:rsidRDefault="006262FB" w:rsidP="006262FB">
      <w:pPr>
        <w:pStyle w:val="ListParagraph"/>
        <w:rPr>
          <w:rFonts w:ascii="Aptos" w:eastAsia="Aptos" w:hAnsi="Aptos" w:cs="Aptos"/>
        </w:rPr>
      </w:pPr>
      <w:r>
        <w:rPr>
          <w:rFonts w:ascii="Aptos" w:eastAsia="Aptos" w:hAnsi="Aptos" w:cs="Aptos"/>
        </w:rPr>
        <w:t xml:space="preserve">Table.  Localities with the largest percentage of </w:t>
      </w:r>
      <w:r w:rsidR="002A11AA">
        <w:rPr>
          <w:rFonts w:ascii="Aptos" w:eastAsia="Aptos" w:hAnsi="Aptos" w:cs="Aptos"/>
        </w:rPr>
        <w:t>population</w:t>
      </w:r>
      <w:r>
        <w:rPr>
          <w:rFonts w:ascii="Aptos" w:eastAsia="Aptos" w:hAnsi="Aptos" w:cs="Aptos"/>
        </w:rPr>
        <w:t xml:space="preserve"> in group quarters</w:t>
      </w:r>
    </w:p>
    <w:tbl>
      <w:tblPr>
        <w:tblW w:w="726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0"/>
        <w:gridCol w:w="1210"/>
        <w:gridCol w:w="236"/>
        <w:gridCol w:w="2230"/>
        <w:gridCol w:w="1210"/>
      </w:tblGrid>
      <w:tr w:rsidR="006262FB" w:rsidRPr="003711CF" w14:paraId="1D7B048F" w14:textId="77777777" w:rsidTr="006262FB">
        <w:trPr>
          <w:trHeight w:val="300"/>
        </w:trPr>
        <w:tc>
          <w:tcPr>
            <w:tcW w:w="2380" w:type="dxa"/>
            <w:noWrap/>
            <w:vAlign w:val="bottom"/>
          </w:tcPr>
          <w:p w14:paraId="6A8ED063" w14:textId="4807C73D" w:rsidR="006262FB" w:rsidRPr="003711CF" w:rsidRDefault="006262FB" w:rsidP="006262FB">
            <w:pPr>
              <w:spacing w:after="0" w:line="240" w:lineRule="auto"/>
              <w:rPr>
                <w:rFonts w:ascii="Aptos Narrow" w:eastAsia="Times New Roman" w:hAnsi="Aptos Narrow" w:cs="Times New Roman"/>
                <w:color w:val="000000"/>
                <w:sz w:val="22"/>
              </w:rPr>
            </w:pPr>
            <w:r>
              <w:rPr>
                <w:rFonts w:ascii="Aptos Narrow" w:eastAsia="Times New Roman" w:hAnsi="Aptos Narrow" w:cs="Times New Roman"/>
                <w:color w:val="000000"/>
                <w:sz w:val="22"/>
              </w:rPr>
              <w:t>Locality</w:t>
            </w:r>
          </w:p>
        </w:tc>
        <w:tc>
          <w:tcPr>
            <w:tcW w:w="1210" w:type="dxa"/>
            <w:noWrap/>
            <w:vAlign w:val="bottom"/>
          </w:tcPr>
          <w:p w14:paraId="03DD6173" w14:textId="1742A9C7" w:rsidR="006262FB" w:rsidRPr="003711CF" w:rsidRDefault="006262FB" w:rsidP="006262FB">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Percentage</w:t>
            </w:r>
          </w:p>
        </w:tc>
        <w:tc>
          <w:tcPr>
            <w:tcW w:w="236" w:type="dxa"/>
            <w:noWrap/>
            <w:vAlign w:val="bottom"/>
          </w:tcPr>
          <w:p w14:paraId="5EF03970" w14:textId="77777777" w:rsidR="006262FB" w:rsidRPr="003711CF" w:rsidRDefault="006262FB" w:rsidP="006262FB">
            <w:pPr>
              <w:spacing w:after="0" w:line="240" w:lineRule="auto"/>
              <w:jc w:val="right"/>
              <w:rPr>
                <w:rFonts w:ascii="Aptos Narrow" w:eastAsia="Times New Roman" w:hAnsi="Aptos Narrow" w:cs="Times New Roman"/>
                <w:color w:val="000000"/>
                <w:sz w:val="22"/>
              </w:rPr>
            </w:pPr>
          </w:p>
        </w:tc>
        <w:tc>
          <w:tcPr>
            <w:tcW w:w="2230" w:type="dxa"/>
            <w:noWrap/>
            <w:vAlign w:val="bottom"/>
          </w:tcPr>
          <w:p w14:paraId="40D87486" w14:textId="24DA3F5C" w:rsidR="006262FB" w:rsidRPr="003711CF" w:rsidRDefault="006262FB" w:rsidP="006262FB">
            <w:pPr>
              <w:spacing w:after="0" w:line="240" w:lineRule="auto"/>
              <w:rPr>
                <w:rFonts w:ascii="Aptos Narrow" w:eastAsia="Times New Roman" w:hAnsi="Aptos Narrow" w:cs="Times New Roman"/>
                <w:color w:val="000000"/>
                <w:sz w:val="22"/>
              </w:rPr>
            </w:pPr>
            <w:r>
              <w:rPr>
                <w:rFonts w:ascii="Aptos Narrow" w:eastAsia="Times New Roman" w:hAnsi="Aptos Narrow" w:cs="Times New Roman"/>
                <w:color w:val="000000"/>
                <w:sz w:val="22"/>
              </w:rPr>
              <w:t>Locality</w:t>
            </w:r>
          </w:p>
        </w:tc>
        <w:tc>
          <w:tcPr>
            <w:tcW w:w="1210" w:type="dxa"/>
            <w:noWrap/>
            <w:vAlign w:val="bottom"/>
          </w:tcPr>
          <w:p w14:paraId="4AFB15AA" w14:textId="63BD7600" w:rsidR="006262FB" w:rsidRPr="003711CF" w:rsidRDefault="006262FB" w:rsidP="006262FB">
            <w:pPr>
              <w:spacing w:after="0" w:line="240" w:lineRule="auto"/>
              <w:jc w:val="right"/>
              <w:rPr>
                <w:rFonts w:ascii="Aptos Narrow" w:eastAsia="Times New Roman" w:hAnsi="Aptos Narrow" w:cs="Times New Roman"/>
                <w:color w:val="000000"/>
                <w:sz w:val="22"/>
              </w:rPr>
            </w:pPr>
            <w:r>
              <w:rPr>
                <w:rFonts w:ascii="Aptos Narrow" w:eastAsia="Times New Roman" w:hAnsi="Aptos Narrow" w:cs="Times New Roman"/>
                <w:color w:val="000000"/>
                <w:sz w:val="22"/>
              </w:rPr>
              <w:t>Percentage</w:t>
            </w:r>
          </w:p>
        </w:tc>
      </w:tr>
      <w:tr w:rsidR="003711CF" w:rsidRPr="003711CF" w14:paraId="40A2ACE9" w14:textId="77777777" w:rsidTr="006262FB">
        <w:trPr>
          <w:trHeight w:val="300"/>
        </w:trPr>
        <w:tc>
          <w:tcPr>
            <w:tcW w:w="2380" w:type="dxa"/>
            <w:noWrap/>
            <w:vAlign w:val="bottom"/>
            <w:hideMark/>
          </w:tcPr>
          <w:p w14:paraId="18CC5BFD" w14:textId="77777777" w:rsidR="003711CF" w:rsidRPr="003711CF" w:rsidRDefault="003711CF" w:rsidP="003711CF">
            <w:pPr>
              <w:spacing w:after="0" w:line="240" w:lineRule="auto"/>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Williamsburg City</w:t>
            </w:r>
          </w:p>
        </w:tc>
        <w:tc>
          <w:tcPr>
            <w:tcW w:w="1210" w:type="dxa"/>
            <w:noWrap/>
            <w:vAlign w:val="bottom"/>
            <w:hideMark/>
          </w:tcPr>
          <w:p w14:paraId="72F1C39C"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30.5%</w:t>
            </w:r>
          </w:p>
        </w:tc>
        <w:tc>
          <w:tcPr>
            <w:tcW w:w="236" w:type="dxa"/>
            <w:noWrap/>
            <w:vAlign w:val="bottom"/>
            <w:hideMark/>
          </w:tcPr>
          <w:p w14:paraId="3FEA3B8C"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p>
        </w:tc>
        <w:tc>
          <w:tcPr>
            <w:tcW w:w="2230" w:type="dxa"/>
            <w:noWrap/>
            <w:vAlign w:val="bottom"/>
            <w:hideMark/>
          </w:tcPr>
          <w:p w14:paraId="17FB37B6" w14:textId="77777777" w:rsidR="003711CF" w:rsidRPr="003711CF" w:rsidRDefault="003711CF" w:rsidP="003711CF">
            <w:pPr>
              <w:spacing w:after="0" w:line="240" w:lineRule="auto"/>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Prince George County</w:t>
            </w:r>
          </w:p>
        </w:tc>
        <w:tc>
          <w:tcPr>
            <w:tcW w:w="1210" w:type="dxa"/>
            <w:noWrap/>
            <w:vAlign w:val="bottom"/>
            <w:hideMark/>
          </w:tcPr>
          <w:p w14:paraId="1B951065"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12.8%</w:t>
            </w:r>
          </w:p>
        </w:tc>
      </w:tr>
      <w:tr w:rsidR="003711CF" w:rsidRPr="003711CF" w14:paraId="005AC05A" w14:textId="77777777" w:rsidTr="006262FB">
        <w:trPr>
          <w:trHeight w:val="300"/>
        </w:trPr>
        <w:tc>
          <w:tcPr>
            <w:tcW w:w="2380" w:type="dxa"/>
            <w:noWrap/>
            <w:vAlign w:val="bottom"/>
            <w:hideMark/>
          </w:tcPr>
          <w:p w14:paraId="3BD045A7" w14:textId="77777777" w:rsidR="003711CF" w:rsidRPr="003711CF" w:rsidRDefault="003711CF" w:rsidP="003711CF">
            <w:pPr>
              <w:spacing w:after="0" w:line="240" w:lineRule="auto"/>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Lexington City</w:t>
            </w:r>
          </w:p>
        </w:tc>
        <w:tc>
          <w:tcPr>
            <w:tcW w:w="1210" w:type="dxa"/>
            <w:noWrap/>
            <w:vAlign w:val="bottom"/>
            <w:hideMark/>
          </w:tcPr>
          <w:p w14:paraId="400CFDCC"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30.0%</w:t>
            </w:r>
          </w:p>
        </w:tc>
        <w:tc>
          <w:tcPr>
            <w:tcW w:w="236" w:type="dxa"/>
            <w:noWrap/>
            <w:vAlign w:val="bottom"/>
            <w:hideMark/>
          </w:tcPr>
          <w:p w14:paraId="4D7144B0"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p>
        </w:tc>
        <w:tc>
          <w:tcPr>
            <w:tcW w:w="2230" w:type="dxa"/>
            <w:noWrap/>
            <w:vAlign w:val="bottom"/>
            <w:hideMark/>
          </w:tcPr>
          <w:p w14:paraId="0D64FC04" w14:textId="77777777" w:rsidR="003711CF" w:rsidRPr="003711CF" w:rsidRDefault="003711CF" w:rsidP="003711CF">
            <w:pPr>
              <w:spacing w:after="0" w:line="240" w:lineRule="auto"/>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Lynchburg City</w:t>
            </w:r>
          </w:p>
        </w:tc>
        <w:tc>
          <w:tcPr>
            <w:tcW w:w="1210" w:type="dxa"/>
            <w:noWrap/>
            <w:vAlign w:val="bottom"/>
            <w:hideMark/>
          </w:tcPr>
          <w:p w14:paraId="7624E464"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12.0%</w:t>
            </w:r>
          </w:p>
        </w:tc>
      </w:tr>
      <w:tr w:rsidR="003711CF" w:rsidRPr="003711CF" w14:paraId="1CE82E14" w14:textId="77777777" w:rsidTr="006262FB">
        <w:trPr>
          <w:trHeight w:val="300"/>
        </w:trPr>
        <w:tc>
          <w:tcPr>
            <w:tcW w:w="2380" w:type="dxa"/>
            <w:noWrap/>
            <w:vAlign w:val="bottom"/>
            <w:hideMark/>
          </w:tcPr>
          <w:p w14:paraId="3491DF17" w14:textId="77777777" w:rsidR="003711CF" w:rsidRPr="003711CF" w:rsidRDefault="003711CF" w:rsidP="003711CF">
            <w:pPr>
              <w:spacing w:after="0" w:line="240" w:lineRule="auto"/>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Radford City</w:t>
            </w:r>
          </w:p>
        </w:tc>
        <w:tc>
          <w:tcPr>
            <w:tcW w:w="1210" w:type="dxa"/>
            <w:noWrap/>
            <w:vAlign w:val="bottom"/>
            <w:hideMark/>
          </w:tcPr>
          <w:p w14:paraId="5B283725"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19.7%</w:t>
            </w:r>
          </w:p>
        </w:tc>
        <w:tc>
          <w:tcPr>
            <w:tcW w:w="236" w:type="dxa"/>
            <w:noWrap/>
            <w:vAlign w:val="bottom"/>
            <w:hideMark/>
          </w:tcPr>
          <w:p w14:paraId="30D85ABD"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p>
        </w:tc>
        <w:tc>
          <w:tcPr>
            <w:tcW w:w="2230" w:type="dxa"/>
            <w:noWrap/>
            <w:vAlign w:val="bottom"/>
            <w:hideMark/>
          </w:tcPr>
          <w:p w14:paraId="771DC565" w14:textId="77777777" w:rsidR="003711CF" w:rsidRPr="003711CF" w:rsidRDefault="003711CF" w:rsidP="003711CF">
            <w:pPr>
              <w:spacing w:after="0" w:line="240" w:lineRule="auto"/>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Montgomery County</w:t>
            </w:r>
          </w:p>
        </w:tc>
        <w:tc>
          <w:tcPr>
            <w:tcW w:w="1210" w:type="dxa"/>
            <w:noWrap/>
            <w:vAlign w:val="bottom"/>
            <w:hideMark/>
          </w:tcPr>
          <w:p w14:paraId="4C2AB17F"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10.3%</w:t>
            </w:r>
          </w:p>
        </w:tc>
      </w:tr>
      <w:tr w:rsidR="003711CF" w:rsidRPr="003711CF" w14:paraId="7F93BCCD" w14:textId="77777777" w:rsidTr="006262FB">
        <w:trPr>
          <w:trHeight w:val="300"/>
        </w:trPr>
        <w:tc>
          <w:tcPr>
            <w:tcW w:w="2380" w:type="dxa"/>
            <w:noWrap/>
            <w:vAlign w:val="bottom"/>
            <w:hideMark/>
          </w:tcPr>
          <w:p w14:paraId="123C800C" w14:textId="77777777" w:rsidR="003711CF" w:rsidRPr="003711CF" w:rsidRDefault="003711CF" w:rsidP="003711CF">
            <w:pPr>
              <w:spacing w:after="0" w:line="240" w:lineRule="auto"/>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Harrisonburg City</w:t>
            </w:r>
          </w:p>
        </w:tc>
        <w:tc>
          <w:tcPr>
            <w:tcW w:w="1210" w:type="dxa"/>
            <w:noWrap/>
            <w:vAlign w:val="bottom"/>
            <w:hideMark/>
          </w:tcPr>
          <w:p w14:paraId="36090A7A"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14.6%</w:t>
            </w:r>
          </w:p>
        </w:tc>
        <w:tc>
          <w:tcPr>
            <w:tcW w:w="236" w:type="dxa"/>
            <w:noWrap/>
            <w:vAlign w:val="bottom"/>
            <w:hideMark/>
          </w:tcPr>
          <w:p w14:paraId="13E3B40E"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p>
        </w:tc>
        <w:tc>
          <w:tcPr>
            <w:tcW w:w="2230" w:type="dxa"/>
            <w:noWrap/>
            <w:vAlign w:val="bottom"/>
            <w:hideMark/>
          </w:tcPr>
          <w:p w14:paraId="217F2660" w14:textId="77777777" w:rsidR="003711CF" w:rsidRPr="003711CF" w:rsidRDefault="003711CF" w:rsidP="003711CF">
            <w:pPr>
              <w:spacing w:after="0" w:line="240" w:lineRule="auto"/>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Fredericksburg City</w:t>
            </w:r>
          </w:p>
        </w:tc>
        <w:tc>
          <w:tcPr>
            <w:tcW w:w="1210" w:type="dxa"/>
            <w:noWrap/>
            <w:vAlign w:val="bottom"/>
            <w:hideMark/>
          </w:tcPr>
          <w:p w14:paraId="25EFE793"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8.3%</w:t>
            </w:r>
          </w:p>
        </w:tc>
      </w:tr>
      <w:tr w:rsidR="003711CF" w:rsidRPr="003711CF" w14:paraId="0D448E44" w14:textId="77777777" w:rsidTr="006262FB">
        <w:trPr>
          <w:trHeight w:val="300"/>
        </w:trPr>
        <w:tc>
          <w:tcPr>
            <w:tcW w:w="2380" w:type="dxa"/>
            <w:noWrap/>
            <w:vAlign w:val="bottom"/>
            <w:hideMark/>
          </w:tcPr>
          <w:p w14:paraId="61BF12D6" w14:textId="77777777" w:rsidR="003711CF" w:rsidRPr="003711CF" w:rsidRDefault="003711CF" w:rsidP="003711CF">
            <w:pPr>
              <w:spacing w:after="0" w:line="240" w:lineRule="auto"/>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Prince Edward County</w:t>
            </w:r>
          </w:p>
        </w:tc>
        <w:tc>
          <w:tcPr>
            <w:tcW w:w="1210" w:type="dxa"/>
            <w:noWrap/>
            <w:vAlign w:val="bottom"/>
            <w:hideMark/>
          </w:tcPr>
          <w:p w14:paraId="7A427A13"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13.4%</w:t>
            </w:r>
          </w:p>
        </w:tc>
        <w:tc>
          <w:tcPr>
            <w:tcW w:w="236" w:type="dxa"/>
            <w:noWrap/>
            <w:vAlign w:val="bottom"/>
            <w:hideMark/>
          </w:tcPr>
          <w:p w14:paraId="63521F0A"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p>
        </w:tc>
        <w:tc>
          <w:tcPr>
            <w:tcW w:w="2230" w:type="dxa"/>
            <w:noWrap/>
            <w:vAlign w:val="bottom"/>
            <w:hideMark/>
          </w:tcPr>
          <w:p w14:paraId="607DB173" w14:textId="77777777" w:rsidR="003711CF" w:rsidRPr="003711CF" w:rsidRDefault="003711CF" w:rsidP="003711CF">
            <w:pPr>
              <w:spacing w:after="0" w:line="240" w:lineRule="auto"/>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Buena Vista City</w:t>
            </w:r>
          </w:p>
        </w:tc>
        <w:tc>
          <w:tcPr>
            <w:tcW w:w="1210" w:type="dxa"/>
            <w:noWrap/>
            <w:vAlign w:val="bottom"/>
            <w:hideMark/>
          </w:tcPr>
          <w:p w14:paraId="510D7B6B"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6.7%</w:t>
            </w:r>
          </w:p>
        </w:tc>
      </w:tr>
      <w:tr w:rsidR="003711CF" w:rsidRPr="003711CF" w14:paraId="4BBC9BEA" w14:textId="77777777" w:rsidTr="006262FB">
        <w:trPr>
          <w:trHeight w:val="300"/>
        </w:trPr>
        <w:tc>
          <w:tcPr>
            <w:tcW w:w="2380" w:type="dxa"/>
            <w:noWrap/>
            <w:vAlign w:val="bottom"/>
            <w:hideMark/>
          </w:tcPr>
          <w:p w14:paraId="1A128ABE"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p>
        </w:tc>
        <w:tc>
          <w:tcPr>
            <w:tcW w:w="1210" w:type="dxa"/>
            <w:noWrap/>
            <w:vAlign w:val="bottom"/>
            <w:hideMark/>
          </w:tcPr>
          <w:p w14:paraId="54614BCD" w14:textId="77777777" w:rsidR="003711CF" w:rsidRPr="003711CF" w:rsidRDefault="003711CF" w:rsidP="003711CF">
            <w:pPr>
              <w:spacing w:after="0" w:line="240" w:lineRule="auto"/>
              <w:rPr>
                <w:rFonts w:eastAsia="Times New Roman" w:cs="Times New Roman"/>
                <w:sz w:val="20"/>
                <w:szCs w:val="20"/>
              </w:rPr>
            </w:pPr>
          </w:p>
        </w:tc>
        <w:tc>
          <w:tcPr>
            <w:tcW w:w="236" w:type="dxa"/>
            <w:noWrap/>
            <w:vAlign w:val="bottom"/>
            <w:hideMark/>
          </w:tcPr>
          <w:p w14:paraId="33A5DAD4" w14:textId="77777777" w:rsidR="003711CF" w:rsidRPr="003711CF" w:rsidRDefault="003711CF" w:rsidP="003711CF">
            <w:pPr>
              <w:spacing w:after="0" w:line="240" w:lineRule="auto"/>
              <w:rPr>
                <w:rFonts w:eastAsia="Times New Roman" w:cs="Times New Roman"/>
                <w:sz w:val="20"/>
                <w:szCs w:val="20"/>
              </w:rPr>
            </w:pPr>
          </w:p>
        </w:tc>
        <w:tc>
          <w:tcPr>
            <w:tcW w:w="2230" w:type="dxa"/>
            <w:noWrap/>
            <w:vAlign w:val="bottom"/>
            <w:hideMark/>
          </w:tcPr>
          <w:p w14:paraId="7CC8CB4E" w14:textId="77777777" w:rsidR="003711CF" w:rsidRPr="003711CF" w:rsidRDefault="003711CF" w:rsidP="003711CF">
            <w:pPr>
              <w:spacing w:after="0" w:line="240" w:lineRule="auto"/>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Salem City</w:t>
            </w:r>
          </w:p>
        </w:tc>
        <w:tc>
          <w:tcPr>
            <w:tcW w:w="1210" w:type="dxa"/>
            <w:noWrap/>
            <w:vAlign w:val="bottom"/>
            <w:hideMark/>
          </w:tcPr>
          <w:p w14:paraId="3E2C7CCD" w14:textId="77777777" w:rsidR="003711CF" w:rsidRPr="003711CF" w:rsidRDefault="003711CF" w:rsidP="003711CF">
            <w:pPr>
              <w:spacing w:after="0" w:line="240" w:lineRule="auto"/>
              <w:jc w:val="right"/>
              <w:rPr>
                <w:rFonts w:ascii="Aptos Narrow" w:eastAsia="Times New Roman" w:hAnsi="Aptos Narrow" w:cs="Times New Roman"/>
                <w:color w:val="000000"/>
                <w:sz w:val="22"/>
              </w:rPr>
            </w:pPr>
            <w:r w:rsidRPr="003711CF">
              <w:rPr>
                <w:rFonts w:ascii="Aptos Narrow" w:eastAsia="Times New Roman" w:hAnsi="Aptos Narrow" w:cs="Times New Roman"/>
                <w:color w:val="000000"/>
                <w:sz w:val="22"/>
              </w:rPr>
              <w:t>5.5%</w:t>
            </w:r>
          </w:p>
        </w:tc>
      </w:tr>
    </w:tbl>
    <w:p w14:paraId="510F0C9D" w14:textId="77777777" w:rsidR="003711CF" w:rsidRPr="00B3008A" w:rsidRDefault="003711CF" w:rsidP="003711CF">
      <w:pPr>
        <w:pStyle w:val="ListParagraph"/>
        <w:rPr>
          <w:rFonts w:ascii="Aptos" w:eastAsia="Aptos" w:hAnsi="Aptos" w:cs="Aptos"/>
        </w:rPr>
      </w:pPr>
    </w:p>
    <w:p w14:paraId="4A270CF1" w14:textId="408B27C4" w:rsidR="7F4E3695" w:rsidRDefault="7F4E3695" w:rsidP="7F4E3695">
      <w:pPr>
        <w:ind w:firstLine="720"/>
        <w:rPr>
          <w:rFonts w:ascii="Aptos" w:eastAsia="Aptos" w:hAnsi="Aptos" w:cs="Aptos"/>
        </w:rPr>
      </w:pPr>
    </w:p>
    <w:p w14:paraId="38159147" w14:textId="77777777" w:rsidR="00EE0F9D" w:rsidRDefault="00EE0F9D" w:rsidP="00EE0F9D">
      <w:pPr>
        <w:pStyle w:val="PlainText"/>
        <w:rPr>
          <w:rFonts w:ascii="Calibri" w:hAnsi="Calibri" w:cs="Calibri"/>
          <w:b/>
          <w:bCs/>
          <w:sz w:val="24"/>
          <w:szCs w:val="24"/>
        </w:rPr>
      </w:pPr>
      <w:r w:rsidRPr="0009459B">
        <w:rPr>
          <w:rFonts w:ascii="Calibri" w:hAnsi="Calibri" w:cs="Calibri"/>
          <w:b/>
          <w:bCs/>
          <w:sz w:val="24"/>
          <w:szCs w:val="24"/>
        </w:rPr>
        <w:t>Reference</w:t>
      </w:r>
    </w:p>
    <w:p w14:paraId="63E1AAF9" w14:textId="77777777" w:rsidR="00EE0F9D" w:rsidRPr="0009459B" w:rsidRDefault="00EE0F9D" w:rsidP="00342CB2">
      <w:pPr>
        <w:pStyle w:val="PlainText"/>
        <w:rPr>
          <w:rFonts w:ascii="Calibri" w:hAnsi="Calibri" w:cs="Calibri"/>
          <w:b/>
          <w:bCs/>
          <w:sz w:val="24"/>
          <w:szCs w:val="24"/>
        </w:rPr>
      </w:pPr>
    </w:p>
    <w:p w14:paraId="4ED5A61E" w14:textId="4E8B0B42" w:rsidR="381FB136" w:rsidRDefault="381FB136" w:rsidP="00342CB2">
      <w:pPr>
        <w:spacing w:after="0" w:line="240" w:lineRule="auto"/>
      </w:pPr>
      <w:r w:rsidRPr="66F56AE8">
        <w:rPr>
          <w:rFonts w:ascii="Aptos" w:eastAsia="Aptos" w:hAnsi="Aptos" w:cs="Aptos"/>
        </w:rPr>
        <w:t xml:space="preserve">VisionEval documentation: </w:t>
      </w:r>
      <w:hyperlink r:id="rId11" w:anchor="verspm-azone_hh_pop_by_age.csv">
        <w:r w:rsidRPr="66F56AE8">
          <w:rPr>
            <w:rStyle w:val="Hyperlink"/>
            <w:rFonts w:ascii="Aptos" w:eastAsia="Aptos" w:hAnsi="Aptos" w:cs="Aptos"/>
          </w:rPr>
          <w:t>https://visioneval.github.io/docs/model-inputs.html#verspm-azone_hh_pop_by_age.csv</w:t>
        </w:r>
      </w:hyperlink>
    </w:p>
    <w:p w14:paraId="1F1C97C9" w14:textId="77777777" w:rsidR="006262FB" w:rsidRDefault="006262FB" w:rsidP="00342CB2">
      <w:pPr>
        <w:spacing w:after="0" w:line="240" w:lineRule="auto"/>
        <w:rPr>
          <w:rFonts w:ascii="Aptos" w:eastAsia="Aptos" w:hAnsi="Aptos" w:cs="Aptos"/>
        </w:rPr>
      </w:pPr>
    </w:p>
    <w:p w14:paraId="7F84762C" w14:textId="0BE957B6" w:rsidR="006D311D" w:rsidRDefault="66F56AE8" w:rsidP="00342CB2">
      <w:pPr>
        <w:spacing w:after="0" w:line="240" w:lineRule="auto"/>
        <w:rPr>
          <w:rFonts w:ascii="Aptos" w:eastAsia="Aptos" w:hAnsi="Aptos" w:cs="Aptos"/>
        </w:rPr>
      </w:pPr>
      <w:r w:rsidRPr="66F56AE8">
        <w:rPr>
          <w:rFonts w:ascii="Aptos" w:eastAsia="Aptos" w:hAnsi="Aptos" w:cs="Aptos"/>
        </w:rPr>
        <w:t>U.S. Census Bureau Table S0101: Age and Sex (202</w:t>
      </w:r>
      <w:r w:rsidR="006262FB">
        <w:rPr>
          <w:rFonts w:ascii="Aptos" w:eastAsia="Aptos" w:hAnsi="Aptos" w:cs="Aptos"/>
        </w:rPr>
        <w:t>4</w:t>
      </w:r>
      <w:r w:rsidRPr="66F56AE8">
        <w:rPr>
          <w:rFonts w:ascii="Aptos" w:eastAsia="Aptos" w:hAnsi="Aptos" w:cs="Aptos"/>
        </w:rPr>
        <w:t>)</w:t>
      </w:r>
      <w:r w:rsidR="6748FBEC" w:rsidRPr="66F56AE8">
        <w:rPr>
          <w:rFonts w:ascii="Aptos" w:eastAsia="Aptos" w:hAnsi="Aptos" w:cs="Aptos"/>
        </w:rPr>
        <w:t xml:space="preserve">: </w:t>
      </w:r>
      <w:hyperlink r:id="rId12">
        <w:r w:rsidR="6748FBEC" w:rsidRPr="66F56AE8">
          <w:rPr>
            <w:rStyle w:val="Hyperlink"/>
            <w:rFonts w:ascii="Aptos" w:eastAsia="Aptos" w:hAnsi="Aptos" w:cs="Aptos"/>
          </w:rPr>
          <w:t>https://data.census.gov/table/ACSST5Y2023.S0101?q=population+by+age&amp;g=040XX00US51$0500000</w:t>
        </w:r>
      </w:hyperlink>
      <w:r w:rsidR="6748FBEC" w:rsidRPr="66F56AE8">
        <w:rPr>
          <w:rFonts w:ascii="Aptos" w:eastAsia="Aptos" w:hAnsi="Aptos" w:cs="Aptos"/>
        </w:rPr>
        <w:t xml:space="preserve"> </w:t>
      </w:r>
    </w:p>
    <w:p w14:paraId="7B66C8E7" w14:textId="77777777" w:rsidR="00EE0F9D" w:rsidRPr="0009459B" w:rsidRDefault="00EE0F9D" w:rsidP="00342CB2">
      <w:pPr>
        <w:pStyle w:val="PlainText"/>
        <w:rPr>
          <w:rFonts w:ascii="Calibri" w:hAnsi="Calibri" w:cs="Calibri"/>
          <w:b/>
          <w:bCs/>
          <w:sz w:val="24"/>
          <w:szCs w:val="24"/>
        </w:rPr>
      </w:pPr>
    </w:p>
    <w:p w14:paraId="22C951C1" w14:textId="77777777" w:rsidR="00EE0F9D" w:rsidRPr="0009459B" w:rsidRDefault="00EE0F9D" w:rsidP="00342CB2">
      <w:pPr>
        <w:pStyle w:val="PlainText"/>
        <w:rPr>
          <w:rFonts w:ascii="Calibri" w:hAnsi="Calibri" w:cs="Calibri"/>
          <w:sz w:val="24"/>
          <w:szCs w:val="24"/>
        </w:rPr>
      </w:pPr>
      <w:r w:rsidRPr="0009459B">
        <w:rPr>
          <w:rFonts w:ascii="Calibri" w:hAnsi="Calibri" w:cs="Calibri"/>
          <w:sz w:val="24"/>
          <w:szCs w:val="24"/>
        </w:rPr>
        <w:t>Woods &amp; Poole, Inc. Technical Description of the Woods &amp; Poole Economics, Inc. 2024 Regional Projections and Database, Washington, D.C., 2024.</w:t>
      </w:r>
    </w:p>
    <w:p w14:paraId="358F255C" w14:textId="2B912C8C" w:rsidR="006D311D" w:rsidRDefault="006D311D" w:rsidP="00EE0F9D">
      <w:pPr>
        <w:rPr>
          <w:rFonts w:ascii="Aptos" w:eastAsia="Aptos" w:hAnsi="Aptos" w:cs="Aptos"/>
        </w:rPr>
      </w:pPr>
    </w:p>
    <w:p w14:paraId="423A8E78" w14:textId="56D950EA" w:rsidR="002A11AA" w:rsidRDefault="002A11AA" w:rsidP="00EE0F9D">
      <w:pPr>
        <w:rPr>
          <w:rFonts w:ascii="Aptos" w:eastAsia="Aptos" w:hAnsi="Aptos" w:cs="Aptos"/>
        </w:rPr>
      </w:pPr>
      <w:r>
        <w:rPr>
          <w:rFonts w:ascii="Aptos" w:eastAsia="Aptos" w:hAnsi="Aptos" w:cs="Aptos"/>
        </w:rPr>
        <w:t>Scrap work</w:t>
      </w:r>
    </w:p>
    <w:p w14:paraId="29D99D68"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VA001.CSV    TOTAL POPULATION </w:t>
      </w:r>
    </w:p>
    <w:p w14:paraId="1C785E53"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VA002.CSV      POPULATION AGE UNDER 5 YEARS </w:t>
      </w:r>
    </w:p>
    <w:p w14:paraId="50C74AD4"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VA003.CSV      POPULATION AGE 5 to 9 YEARS </w:t>
      </w:r>
    </w:p>
    <w:p w14:paraId="088E7518"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VA004.CSV      POPULATION AGE 10 to 14 YEARS </w:t>
      </w:r>
    </w:p>
    <w:p w14:paraId="5C2ED788"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VA005.CSV      POPULATION AGE 15 to 19 YEARS </w:t>
      </w:r>
    </w:p>
    <w:p w14:paraId="0C0F76FE"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VA006.CSV      POPULATION AGE 20 to 24 YEARS </w:t>
      </w:r>
    </w:p>
    <w:p w14:paraId="4854A80B"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VA007.CSV      POPULATION AGE 25 to 29 YEARS </w:t>
      </w:r>
    </w:p>
    <w:p w14:paraId="72BF898E"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VA008.CSV      POPULATION AGE 30 to 34 YEARS </w:t>
      </w:r>
    </w:p>
    <w:p w14:paraId="390D0B71"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VA009.CSV      POPULATION AGE 35 to 39 YEARS </w:t>
      </w:r>
    </w:p>
    <w:p w14:paraId="447CB575"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VA010.CSV      POPULATION AGE 40 to 44 YEARS </w:t>
      </w:r>
    </w:p>
    <w:p w14:paraId="7F4A2750"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VA011.CSV      POPULATION AGE 45 to 49 YEARS </w:t>
      </w:r>
    </w:p>
    <w:p w14:paraId="5AD311C9"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VA012.CSV      POPULATION AGE 50 to 54 YEARS </w:t>
      </w:r>
    </w:p>
    <w:p w14:paraId="6E5E313F"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VA013.CSV      POPULATION AGE 55 to 59 YEARS </w:t>
      </w:r>
    </w:p>
    <w:p w14:paraId="2E9426F0"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VA014.CSV      POPULATION AGE 60 to 64 YEARS </w:t>
      </w:r>
    </w:p>
    <w:p w14:paraId="04A69225"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VA015.CSV      POPULATION AGE 65 to 69 YEARS </w:t>
      </w:r>
    </w:p>
    <w:p w14:paraId="05413776"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VA016.CSV      POPULATION AGE 70 to 74 YEARS </w:t>
      </w:r>
    </w:p>
    <w:p w14:paraId="31F96F2D"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VA017.CSV      POPULATION AGE 75 to 79 YEARS </w:t>
      </w:r>
    </w:p>
    <w:p w14:paraId="492AEBDC"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VA018.CSV      POPULATION AGE 80 to 84 YEARS </w:t>
      </w:r>
    </w:p>
    <w:p w14:paraId="0EA740F3" w14:textId="77777777" w:rsidR="00342CB2" w:rsidRPr="00080901" w:rsidRDefault="00342CB2" w:rsidP="00342CB2">
      <w:pPr>
        <w:pStyle w:val="PlainText"/>
        <w:rPr>
          <w:rFonts w:ascii="Courier New" w:hAnsi="Courier New" w:cs="Courier New"/>
        </w:rPr>
      </w:pPr>
      <w:r w:rsidRPr="00080901">
        <w:rPr>
          <w:rFonts w:ascii="Courier New" w:hAnsi="Courier New" w:cs="Courier New"/>
        </w:rPr>
        <w:t xml:space="preserve">VA019.CSV      POPULATION AGE 85 YEARS and OVER </w:t>
      </w:r>
    </w:p>
    <w:p w14:paraId="169694DD" w14:textId="77777777" w:rsidR="00342CB2" w:rsidRDefault="00342CB2" w:rsidP="00EE0F9D">
      <w:pPr>
        <w:rPr>
          <w:rFonts w:ascii="Aptos" w:eastAsia="Aptos" w:hAnsi="Aptos" w:cs="Aptos"/>
        </w:rPr>
      </w:pPr>
    </w:p>
    <w:sectPr w:rsidR="00342CB2" w:rsidSect="00EE0F9D">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6ACC3" w14:textId="77777777" w:rsidR="006946F0" w:rsidRDefault="006946F0" w:rsidP="002A11AA">
      <w:pPr>
        <w:spacing w:after="0" w:line="240" w:lineRule="auto"/>
      </w:pPr>
      <w:r>
        <w:separator/>
      </w:r>
    </w:p>
  </w:endnote>
  <w:endnote w:type="continuationSeparator" w:id="0">
    <w:p w14:paraId="525AF938" w14:textId="77777777" w:rsidR="006946F0" w:rsidRDefault="006946F0" w:rsidP="002A1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359024"/>
      <w:docPartObj>
        <w:docPartGallery w:val="Page Numbers (Bottom of Page)"/>
        <w:docPartUnique/>
      </w:docPartObj>
    </w:sdtPr>
    <w:sdtEndPr>
      <w:rPr>
        <w:noProof/>
      </w:rPr>
    </w:sdtEndPr>
    <w:sdtContent>
      <w:p w14:paraId="56F353BF" w14:textId="4C6805B1" w:rsidR="002A11AA" w:rsidRDefault="002A11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B21237" w14:textId="77777777" w:rsidR="002A11AA" w:rsidRDefault="002A11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0A477" w14:textId="77777777" w:rsidR="006946F0" w:rsidRDefault="006946F0" w:rsidP="002A11AA">
      <w:pPr>
        <w:spacing w:after="0" w:line="240" w:lineRule="auto"/>
      </w:pPr>
      <w:r>
        <w:separator/>
      </w:r>
    </w:p>
  </w:footnote>
  <w:footnote w:type="continuationSeparator" w:id="0">
    <w:p w14:paraId="406AA444" w14:textId="77777777" w:rsidR="006946F0" w:rsidRDefault="006946F0" w:rsidP="002A11A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70wvMUsKc1VTK" int2:id="EhCuYie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2D7514"/>
    <w:multiLevelType w:val="hybridMultilevel"/>
    <w:tmpl w:val="C4BAA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621452">
    <w:abstractNumId w:val="8"/>
  </w:num>
  <w:num w:numId="2" w16cid:durableId="1504517008">
    <w:abstractNumId w:val="6"/>
  </w:num>
  <w:num w:numId="3" w16cid:durableId="498278061">
    <w:abstractNumId w:val="5"/>
  </w:num>
  <w:num w:numId="4" w16cid:durableId="1358657561">
    <w:abstractNumId w:val="4"/>
  </w:num>
  <w:num w:numId="5" w16cid:durableId="1109469393">
    <w:abstractNumId w:val="7"/>
  </w:num>
  <w:num w:numId="6" w16cid:durableId="1513298906">
    <w:abstractNumId w:val="3"/>
  </w:num>
  <w:num w:numId="7" w16cid:durableId="137648822">
    <w:abstractNumId w:val="2"/>
  </w:num>
  <w:num w:numId="8" w16cid:durableId="395250129">
    <w:abstractNumId w:val="1"/>
  </w:num>
  <w:num w:numId="9" w16cid:durableId="1178618955">
    <w:abstractNumId w:val="0"/>
  </w:num>
  <w:num w:numId="10" w16cid:durableId="18108578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ACA"/>
    <w:rsid w:val="0029639D"/>
    <w:rsid w:val="002A11AA"/>
    <w:rsid w:val="00326F90"/>
    <w:rsid w:val="00342CB2"/>
    <w:rsid w:val="003711CF"/>
    <w:rsid w:val="00444152"/>
    <w:rsid w:val="005E2994"/>
    <w:rsid w:val="006262FB"/>
    <w:rsid w:val="006946F0"/>
    <w:rsid w:val="006D311D"/>
    <w:rsid w:val="00974CD3"/>
    <w:rsid w:val="00A8606E"/>
    <w:rsid w:val="00AA1D8D"/>
    <w:rsid w:val="00AE694B"/>
    <w:rsid w:val="00B3008A"/>
    <w:rsid w:val="00B47730"/>
    <w:rsid w:val="00BC28FD"/>
    <w:rsid w:val="00CA23E7"/>
    <w:rsid w:val="00CB0664"/>
    <w:rsid w:val="00E04A10"/>
    <w:rsid w:val="00EE0F9D"/>
    <w:rsid w:val="00FC693F"/>
    <w:rsid w:val="08092331"/>
    <w:rsid w:val="0C62A024"/>
    <w:rsid w:val="0D684529"/>
    <w:rsid w:val="113B5697"/>
    <w:rsid w:val="12FFF8B9"/>
    <w:rsid w:val="217FDEF8"/>
    <w:rsid w:val="248506B7"/>
    <w:rsid w:val="29C053E1"/>
    <w:rsid w:val="2AB88710"/>
    <w:rsid w:val="30BEDF7C"/>
    <w:rsid w:val="30D6C94B"/>
    <w:rsid w:val="381FB136"/>
    <w:rsid w:val="3E2B3C6C"/>
    <w:rsid w:val="4CB2A1E6"/>
    <w:rsid w:val="4F502B25"/>
    <w:rsid w:val="546C1A02"/>
    <w:rsid w:val="578D4987"/>
    <w:rsid w:val="5888B3DD"/>
    <w:rsid w:val="5C3B27EA"/>
    <w:rsid w:val="66F56AE8"/>
    <w:rsid w:val="6748FBEC"/>
    <w:rsid w:val="69EDF882"/>
    <w:rsid w:val="6B26173B"/>
    <w:rsid w:val="6CC06751"/>
    <w:rsid w:val="75C3E82C"/>
    <w:rsid w:val="7F4E3695"/>
    <w:rsid w:val="7FFA12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991495-EC5E-4437-A3F8-1AE3218E1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66F56AE8"/>
    <w:rPr>
      <w:color w:val="0000FF"/>
      <w:u w:val="single"/>
    </w:rPr>
  </w:style>
  <w:style w:type="paragraph" w:styleId="PlainText">
    <w:name w:val="Plain Text"/>
    <w:basedOn w:val="Normal"/>
    <w:link w:val="PlainTextChar"/>
    <w:uiPriority w:val="99"/>
    <w:unhideWhenUsed/>
    <w:rsid w:val="00EE0F9D"/>
    <w:pPr>
      <w:spacing w:after="0" w:line="240" w:lineRule="auto"/>
    </w:pPr>
    <w:rPr>
      <w:rFonts w:ascii="Consolas" w:eastAsiaTheme="minorHAnsi" w:hAnsi="Consolas"/>
      <w:kern w:val="2"/>
      <w:sz w:val="21"/>
      <w:szCs w:val="21"/>
      <w14:ligatures w14:val="standardContextual"/>
    </w:rPr>
  </w:style>
  <w:style w:type="character" w:customStyle="1" w:styleId="PlainTextChar">
    <w:name w:val="Plain Text Char"/>
    <w:basedOn w:val="DefaultParagraphFont"/>
    <w:link w:val="PlainText"/>
    <w:uiPriority w:val="99"/>
    <w:rsid w:val="00EE0F9D"/>
    <w:rPr>
      <w:rFonts w:ascii="Consolas" w:eastAsiaTheme="minorHAnsi" w:hAnsi="Consolas"/>
      <w:kern w:val="2"/>
      <w:sz w:val="21"/>
      <w:szCs w:val="21"/>
      <w14:ligatures w14:val="standardContextual"/>
    </w:rPr>
  </w:style>
  <w:style w:type="character" w:styleId="FollowedHyperlink">
    <w:name w:val="FollowedHyperlink"/>
    <w:basedOn w:val="DefaultParagraphFont"/>
    <w:uiPriority w:val="99"/>
    <w:semiHidden/>
    <w:unhideWhenUsed/>
    <w:rsid w:val="00342C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ioneval.github.io/docs/model-inputs.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census.gov/table/ACSST5Y2023.S0101?q=population+by+age&amp;g=040XX00US51$0500000" TargetMode="Externa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sioneval.github.io/docs/model-inputs.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ata.census.gov/table/ACSST5Y2023.S0101?q=population+by+age&amp;g=040XX00US51$050000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3</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Miller, John S. (VDOT)</cp:lastModifiedBy>
  <cp:revision>9</cp:revision>
  <dcterms:created xsi:type="dcterms:W3CDTF">2013-12-23T23:15:00Z</dcterms:created>
  <dcterms:modified xsi:type="dcterms:W3CDTF">2026-06-01T21:00:00Z</dcterms:modified>
  <cp:category/>
</cp:coreProperties>
</file>